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40C" w:rsidRDefault="0031056C" w:rsidP="0077540C">
      <w:pPr>
        <w:rPr>
          <w:rStyle w:val="Hyperlink"/>
          <w:i/>
          <w:sz w:val="16"/>
          <w:szCs w:val="16"/>
        </w:rPr>
      </w:pPr>
      <w:hyperlink r:id="rId6" w:history="1">
        <w:r w:rsidR="0077540C" w:rsidRPr="0077540C">
          <w:rPr>
            <w:rStyle w:val="Hyperlink"/>
            <w:i/>
            <w:sz w:val="16"/>
            <w:szCs w:val="16"/>
          </w:rPr>
          <w:t>http://asic.gov.au/regulatory-resources/financial-services/giving-financial-product-advice/advice-on-self-managed-superannuation-funds-disclosure-of-risks/</w:t>
        </w:r>
      </w:hyperlink>
    </w:p>
    <w:p w:rsidR="00D250CF" w:rsidRDefault="00D250CF" w:rsidP="0077540C">
      <w:pPr>
        <w:rPr>
          <w:rStyle w:val="Hyperlink"/>
          <w:i/>
          <w:sz w:val="16"/>
          <w:szCs w:val="16"/>
        </w:rPr>
      </w:pPr>
    </w:p>
    <w:sdt>
      <w:sdtPr>
        <w:id w:val="-583987954"/>
        <w:docPartObj>
          <w:docPartGallery w:val="Table of Contents"/>
          <w:docPartUnique/>
        </w:docPartObj>
      </w:sdtPr>
      <w:sdtEndPr>
        <w:rPr>
          <w:rFonts w:ascii="Calibri" w:eastAsiaTheme="minorHAnsi" w:hAnsi="Calibri" w:cs="Calibri"/>
          <w:b/>
          <w:bCs/>
          <w:noProof/>
          <w:color w:val="auto"/>
          <w:sz w:val="22"/>
          <w:szCs w:val="22"/>
          <w:lang w:val="en-AU"/>
        </w:rPr>
      </w:sdtEndPr>
      <w:sdtContent>
        <w:p w:rsidR="00A71A05" w:rsidRDefault="00A71A05">
          <w:pPr>
            <w:pStyle w:val="TOCHeading"/>
          </w:pPr>
          <w:r>
            <w:t>Contents</w:t>
          </w:r>
        </w:p>
        <w:p w:rsidR="00A71A05" w:rsidRPr="00B4141A" w:rsidRDefault="00A71A05" w:rsidP="00B4141A">
          <w:pPr>
            <w:pStyle w:val="TOC1"/>
            <w:rPr>
              <w:rFonts w:asciiTheme="minorHAnsi" w:eastAsiaTheme="minorEastAsia" w:hAnsiTheme="minorHAnsi" w:cstheme="minorBidi"/>
              <w:lang w:eastAsia="en-AU"/>
            </w:rPr>
          </w:pPr>
          <w:r>
            <w:fldChar w:fldCharType="begin"/>
          </w:r>
          <w:r>
            <w:instrText xml:space="preserve"> TOC \o "1-3" \h \z \u </w:instrText>
          </w:r>
          <w:r>
            <w:fldChar w:fldCharType="separate"/>
          </w:r>
          <w:hyperlink w:anchor="_Toc491678240" w:history="1">
            <w:r w:rsidRPr="00B4141A">
              <w:rPr>
                <w:rStyle w:val="Hyperlink"/>
              </w:rPr>
              <w:t>Advice on self-managed superannuation funds: Disclosure of risks</w:t>
            </w:r>
            <w:r w:rsidRPr="00B4141A">
              <w:rPr>
                <w:webHidden/>
              </w:rPr>
              <w:tab/>
            </w:r>
            <w:r w:rsidRPr="00B4141A">
              <w:rPr>
                <w:webHidden/>
              </w:rPr>
              <w:fldChar w:fldCharType="begin"/>
            </w:r>
            <w:r w:rsidRPr="00B4141A">
              <w:rPr>
                <w:webHidden/>
              </w:rPr>
              <w:instrText xml:space="preserve"> PAGEREF _Toc491678240 \h </w:instrText>
            </w:r>
            <w:r w:rsidRPr="00B4141A">
              <w:rPr>
                <w:webHidden/>
              </w:rPr>
            </w:r>
            <w:r w:rsidRPr="00B4141A">
              <w:rPr>
                <w:webHidden/>
              </w:rPr>
              <w:fldChar w:fldCharType="separate"/>
            </w:r>
            <w:r w:rsidRPr="00B4141A">
              <w:rPr>
                <w:webHidden/>
              </w:rPr>
              <w:t>1</w:t>
            </w:r>
            <w:r w:rsidRPr="00B4141A">
              <w:rPr>
                <w:webHidden/>
              </w:rPr>
              <w:fldChar w:fldCharType="end"/>
            </w:r>
          </w:hyperlink>
        </w:p>
        <w:p w:rsidR="00A71A05" w:rsidRPr="00B4141A" w:rsidRDefault="00A71A05">
          <w:pPr>
            <w:pStyle w:val="TOC2"/>
            <w:tabs>
              <w:tab w:val="right" w:leader="dot" w:pos="9016"/>
            </w:tabs>
            <w:rPr>
              <w:rFonts w:asciiTheme="minorHAnsi" w:eastAsiaTheme="minorEastAsia" w:hAnsiTheme="minorHAnsi" w:cstheme="minorBidi"/>
              <w:noProof/>
              <w:sz w:val="16"/>
              <w:szCs w:val="16"/>
              <w:lang w:eastAsia="en-AU"/>
            </w:rPr>
          </w:pPr>
          <w:hyperlink w:anchor="_Toc491678241" w:history="1">
            <w:r w:rsidRPr="00B4141A">
              <w:rPr>
                <w:rStyle w:val="Hyperlink"/>
                <w:rFonts w:ascii="Tahoma" w:hAnsi="Tahoma" w:cs="Tahoma"/>
                <w:b/>
                <w:noProof/>
                <w:sz w:val="18"/>
                <w:szCs w:val="18"/>
              </w:rPr>
              <w:t>INFO 205</w:t>
            </w:r>
            <w:r w:rsidRPr="00B4141A">
              <w:rPr>
                <w:noProof/>
                <w:webHidden/>
                <w:sz w:val="16"/>
                <w:szCs w:val="16"/>
              </w:rPr>
              <w:tab/>
            </w:r>
            <w:r w:rsidRPr="00B4141A">
              <w:rPr>
                <w:noProof/>
                <w:webHidden/>
                <w:sz w:val="16"/>
                <w:szCs w:val="16"/>
              </w:rPr>
              <w:fldChar w:fldCharType="begin"/>
            </w:r>
            <w:r w:rsidRPr="00B4141A">
              <w:rPr>
                <w:noProof/>
                <w:webHidden/>
                <w:sz w:val="16"/>
                <w:szCs w:val="16"/>
              </w:rPr>
              <w:instrText xml:space="preserve"> PAGEREF _Toc491678241 \h </w:instrText>
            </w:r>
            <w:r w:rsidRPr="00B4141A">
              <w:rPr>
                <w:noProof/>
                <w:webHidden/>
                <w:sz w:val="16"/>
                <w:szCs w:val="16"/>
              </w:rPr>
            </w:r>
            <w:r w:rsidRPr="00B4141A">
              <w:rPr>
                <w:noProof/>
                <w:webHidden/>
                <w:sz w:val="16"/>
                <w:szCs w:val="16"/>
              </w:rPr>
              <w:fldChar w:fldCharType="separate"/>
            </w:r>
            <w:r w:rsidRPr="00B4141A">
              <w:rPr>
                <w:noProof/>
                <w:webHidden/>
                <w:sz w:val="16"/>
                <w:szCs w:val="16"/>
              </w:rPr>
              <w:t>2</w:t>
            </w:r>
            <w:r w:rsidRPr="00B4141A">
              <w:rPr>
                <w:noProof/>
                <w:webHidden/>
                <w:sz w:val="16"/>
                <w:szCs w:val="16"/>
              </w:rPr>
              <w:fldChar w:fldCharType="end"/>
            </w:r>
          </w:hyperlink>
        </w:p>
        <w:p w:rsidR="00A71A05" w:rsidRPr="00B4141A" w:rsidRDefault="00A71A05">
          <w:pPr>
            <w:pStyle w:val="TOC2"/>
            <w:tabs>
              <w:tab w:val="right" w:leader="dot" w:pos="9016"/>
            </w:tabs>
            <w:rPr>
              <w:rFonts w:asciiTheme="minorHAnsi" w:eastAsiaTheme="minorEastAsia" w:hAnsiTheme="minorHAnsi" w:cstheme="minorBidi"/>
              <w:noProof/>
              <w:sz w:val="16"/>
              <w:szCs w:val="16"/>
              <w:lang w:eastAsia="en-AU"/>
            </w:rPr>
          </w:pPr>
          <w:hyperlink w:anchor="_Toc491678242" w:history="1">
            <w:r w:rsidRPr="00B4141A">
              <w:rPr>
                <w:rStyle w:val="Hyperlink"/>
                <w:rFonts w:ascii="Tahoma" w:hAnsi="Tahoma" w:cs="Tahoma"/>
                <w:noProof/>
                <w:sz w:val="16"/>
                <w:szCs w:val="16"/>
              </w:rPr>
              <w:t>Lack of statutory compensation</w:t>
            </w:r>
            <w:r w:rsidRPr="00B4141A">
              <w:rPr>
                <w:noProof/>
                <w:webHidden/>
                <w:sz w:val="16"/>
                <w:szCs w:val="16"/>
              </w:rPr>
              <w:tab/>
            </w:r>
            <w:r w:rsidRPr="00B4141A">
              <w:rPr>
                <w:noProof/>
                <w:webHidden/>
                <w:sz w:val="16"/>
                <w:szCs w:val="16"/>
              </w:rPr>
              <w:fldChar w:fldCharType="begin"/>
            </w:r>
            <w:r w:rsidRPr="00B4141A">
              <w:rPr>
                <w:noProof/>
                <w:webHidden/>
                <w:sz w:val="16"/>
                <w:szCs w:val="16"/>
              </w:rPr>
              <w:instrText xml:space="preserve"> PAGEREF _Toc491678242 \h </w:instrText>
            </w:r>
            <w:r w:rsidRPr="00B4141A">
              <w:rPr>
                <w:noProof/>
                <w:webHidden/>
                <w:sz w:val="16"/>
                <w:szCs w:val="16"/>
              </w:rPr>
            </w:r>
            <w:r w:rsidRPr="00B4141A">
              <w:rPr>
                <w:noProof/>
                <w:webHidden/>
                <w:sz w:val="16"/>
                <w:szCs w:val="16"/>
              </w:rPr>
              <w:fldChar w:fldCharType="separate"/>
            </w:r>
            <w:r w:rsidRPr="00B4141A">
              <w:rPr>
                <w:noProof/>
                <w:webHidden/>
                <w:sz w:val="16"/>
                <w:szCs w:val="16"/>
              </w:rPr>
              <w:t>2</w:t>
            </w:r>
            <w:r w:rsidRPr="00B4141A">
              <w:rPr>
                <w:noProof/>
                <w:webHidden/>
                <w:sz w:val="16"/>
                <w:szCs w:val="16"/>
              </w:rPr>
              <w:fldChar w:fldCharType="end"/>
            </w:r>
          </w:hyperlink>
        </w:p>
        <w:p w:rsidR="00A71A05" w:rsidRPr="00B4141A" w:rsidRDefault="00A71A05">
          <w:pPr>
            <w:pStyle w:val="TOC2"/>
            <w:tabs>
              <w:tab w:val="right" w:leader="dot" w:pos="9016"/>
            </w:tabs>
            <w:rPr>
              <w:rFonts w:asciiTheme="minorHAnsi" w:eastAsiaTheme="minorEastAsia" w:hAnsiTheme="minorHAnsi" w:cstheme="minorBidi"/>
              <w:noProof/>
              <w:sz w:val="16"/>
              <w:szCs w:val="16"/>
              <w:lang w:eastAsia="en-AU"/>
            </w:rPr>
          </w:pPr>
          <w:hyperlink w:anchor="_Toc491678243" w:history="1">
            <w:r w:rsidRPr="00B4141A">
              <w:rPr>
                <w:rStyle w:val="Hyperlink"/>
                <w:rFonts w:ascii="Tahoma" w:hAnsi="Tahoma" w:cs="Tahoma"/>
                <w:noProof/>
                <w:sz w:val="16"/>
                <w:szCs w:val="16"/>
              </w:rPr>
              <w:t>Impact on insurance</w:t>
            </w:r>
            <w:r w:rsidRPr="00B4141A">
              <w:rPr>
                <w:noProof/>
                <w:webHidden/>
                <w:sz w:val="16"/>
                <w:szCs w:val="16"/>
              </w:rPr>
              <w:tab/>
            </w:r>
            <w:r w:rsidRPr="00B4141A">
              <w:rPr>
                <w:noProof/>
                <w:webHidden/>
                <w:sz w:val="16"/>
                <w:szCs w:val="16"/>
              </w:rPr>
              <w:fldChar w:fldCharType="begin"/>
            </w:r>
            <w:r w:rsidRPr="00B4141A">
              <w:rPr>
                <w:noProof/>
                <w:webHidden/>
                <w:sz w:val="16"/>
                <w:szCs w:val="16"/>
              </w:rPr>
              <w:instrText xml:space="preserve"> PAGEREF _Toc491678243 \h </w:instrText>
            </w:r>
            <w:r w:rsidRPr="00B4141A">
              <w:rPr>
                <w:noProof/>
                <w:webHidden/>
                <w:sz w:val="16"/>
                <w:szCs w:val="16"/>
              </w:rPr>
            </w:r>
            <w:r w:rsidRPr="00B4141A">
              <w:rPr>
                <w:noProof/>
                <w:webHidden/>
                <w:sz w:val="16"/>
                <w:szCs w:val="16"/>
              </w:rPr>
              <w:fldChar w:fldCharType="separate"/>
            </w:r>
            <w:r w:rsidRPr="00B4141A">
              <w:rPr>
                <w:noProof/>
                <w:webHidden/>
                <w:sz w:val="16"/>
                <w:szCs w:val="16"/>
              </w:rPr>
              <w:t>2</w:t>
            </w:r>
            <w:r w:rsidRPr="00B4141A">
              <w:rPr>
                <w:noProof/>
                <w:webHidden/>
                <w:sz w:val="16"/>
                <w:szCs w:val="16"/>
              </w:rPr>
              <w:fldChar w:fldCharType="end"/>
            </w:r>
          </w:hyperlink>
        </w:p>
        <w:p w:rsidR="00A71A05" w:rsidRPr="00B4141A" w:rsidRDefault="00A71A05">
          <w:pPr>
            <w:pStyle w:val="TOC2"/>
            <w:tabs>
              <w:tab w:val="right" w:leader="dot" w:pos="9016"/>
            </w:tabs>
            <w:rPr>
              <w:rFonts w:asciiTheme="minorHAnsi" w:eastAsiaTheme="minorEastAsia" w:hAnsiTheme="minorHAnsi" w:cstheme="minorBidi"/>
              <w:noProof/>
              <w:sz w:val="16"/>
              <w:szCs w:val="16"/>
              <w:lang w:eastAsia="en-AU"/>
            </w:rPr>
          </w:pPr>
          <w:hyperlink w:anchor="_Toc491678244" w:history="1">
            <w:r w:rsidRPr="00B4141A">
              <w:rPr>
                <w:rStyle w:val="Hyperlink"/>
                <w:rFonts w:ascii="Tahoma" w:hAnsi="Tahoma" w:cs="Tahoma"/>
                <w:noProof/>
                <w:sz w:val="16"/>
                <w:szCs w:val="16"/>
              </w:rPr>
              <w:t>Access to complaints mechanisms</w:t>
            </w:r>
            <w:r w:rsidRPr="00B4141A">
              <w:rPr>
                <w:noProof/>
                <w:webHidden/>
                <w:sz w:val="16"/>
                <w:szCs w:val="16"/>
              </w:rPr>
              <w:tab/>
            </w:r>
            <w:r w:rsidRPr="00B4141A">
              <w:rPr>
                <w:noProof/>
                <w:webHidden/>
                <w:sz w:val="16"/>
                <w:szCs w:val="16"/>
              </w:rPr>
              <w:fldChar w:fldCharType="begin"/>
            </w:r>
            <w:r w:rsidRPr="00B4141A">
              <w:rPr>
                <w:noProof/>
                <w:webHidden/>
                <w:sz w:val="16"/>
                <w:szCs w:val="16"/>
              </w:rPr>
              <w:instrText xml:space="preserve"> PAGEREF _Toc491678244 \h </w:instrText>
            </w:r>
            <w:r w:rsidRPr="00B4141A">
              <w:rPr>
                <w:noProof/>
                <w:webHidden/>
                <w:sz w:val="16"/>
                <w:szCs w:val="16"/>
              </w:rPr>
            </w:r>
            <w:r w:rsidRPr="00B4141A">
              <w:rPr>
                <w:noProof/>
                <w:webHidden/>
                <w:sz w:val="16"/>
                <w:szCs w:val="16"/>
              </w:rPr>
              <w:fldChar w:fldCharType="separate"/>
            </w:r>
            <w:r w:rsidRPr="00B4141A">
              <w:rPr>
                <w:noProof/>
                <w:webHidden/>
                <w:sz w:val="16"/>
                <w:szCs w:val="16"/>
              </w:rPr>
              <w:t>3</w:t>
            </w:r>
            <w:r w:rsidRPr="00B4141A">
              <w:rPr>
                <w:noProof/>
                <w:webHidden/>
                <w:sz w:val="16"/>
                <w:szCs w:val="16"/>
              </w:rPr>
              <w:fldChar w:fldCharType="end"/>
            </w:r>
          </w:hyperlink>
        </w:p>
        <w:p w:rsidR="00A71A05" w:rsidRPr="00B4141A" w:rsidRDefault="00A71A05">
          <w:pPr>
            <w:pStyle w:val="TOC2"/>
            <w:tabs>
              <w:tab w:val="right" w:leader="dot" w:pos="9016"/>
            </w:tabs>
            <w:rPr>
              <w:rFonts w:asciiTheme="minorHAnsi" w:eastAsiaTheme="minorEastAsia" w:hAnsiTheme="minorHAnsi" w:cstheme="minorBidi"/>
              <w:noProof/>
              <w:sz w:val="16"/>
              <w:szCs w:val="16"/>
              <w:lang w:eastAsia="en-AU"/>
            </w:rPr>
          </w:pPr>
          <w:hyperlink w:anchor="_Toc491678245" w:history="1">
            <w:r w:rsidRPr="00B4141A">
              <w:rPr>
                <w:rStyle w:val="Hyperlink"/>
                <w:rFonts w:ascii="Tahoma" w:hAnsi="Tahoma" w:cs="Tahoma"/>
                <w:noProof/>
                <w:sz w:val="16"/>
                <w:szCs w:val="16"/>
              </w:rPr>
              <w:t>The appropriateness of different SMSF structures</w:t>
            </w:r>
            <w:r w:rsidRPr="00B4141A">
              <w:rPr>
                <w:noProof/>
                <w:webHidden/>
                <w:sz w:val="16"/>
                <w:szCs w:val="16"/>
              </w:rPr>
              <w:tab/>
            </w:r>
            <w:r w:rsidRPr="00B4141A">
              <w:rPr>
                <w:noProof/>
                <w:webHidden/>
                <w:sz w:val="16"/>
                <w:szCs w:val="16"/>
              </w:rPr>
              <w:fldChar w:fldCharType="begin"/>
            </w:r>
            <w:r w:rsidRPr="00B4141A">
              <w:rPr>
                <w:noProof/>
                <w:webHidden/>
                <w:sz w:val="16"/>
                <w:szCs w:val="16"/>
              </w:rPr>
              <w:instrText xml:space="preserve"> PAGEREF _Toc491678245 \h </w:instrText>
            </w:r>
            <w:r w:rsidRPr="00B4141A">
              <w:rPr>
                <w:noProof/>
                <w:webHidden/>
                <w:sz w:val="16"/>
                <w:szCs w:val="16"/>
              </w:rPr>
            </w:r>
            <w:r w:rsidRPr="00B4141A">
              <w:rPr>
                <w:noProof/>
                <w:webHidden/>
                <w:sz w:val="16"/>
                <w:szCs w:val="16"/>
              </w:rPr>
              <w:fldChar w:fldCharType="separate"/>
            </w:r>
            <w:r w:rsidRPr="00B4141A">
              <w:rPr>
                <w:noProof/>
                <w:webHidden/>
                <w:sz w:val="16"/>
                <w:szCs w:val="16"/>
              </w:rPr>
              <w:t>3</w:t>
            </w:r>
            <w:r w:rsidRPr="00B4141A">
              <w:rPr>
                <w:noProof/>
                <w:webHidden/>
                <w:sz w:val="16"/>
                <w:szCs w:val="16"/>
              </w:rPr>
              <w:fldChar w:fldCharType="end"/>
            </w:r>
          </w:hyperlink>
        </w:p>
        <w:p w:rsidR="00A71A05" w:rsidRPr="00B4141A" w:rsidRDefault="00A71A05">
          <w:pPr>
            <w:pStyle w:val="TOC2"/>
            <w:tabs>
              <w:tab w:val="right" w:leader="dot" w:pos="9016"/>
            </w:tabs>
            <w:rPr>
              <w:rFonts w:asciiTheme="minorHAnsi" w:eastAsiaTheme="minorEastAsia" w:hAnsiTheme="minorHAnsi" w:cstheme="minorBidi"/>
              <w:noProof/>
              <w:sz w:val="16"/>
              <w:szCs w:val="16"/>
              <w:lang w:eastAsia="en-AU"/>
            </w:rPr>
          </w:pPr>
          <w:hyperlink w:anchor="_Toc491678246" w:history="1">
            <w:r w:rsidRPr="00B4141A">
              <w:rPr>
                <w:rStyle w:val="Hyperlink"/>
                <w:rFonts w:ascii="Tahoma" w:hAnsi="Tahoma" w:cs="Tahoma"/>
                <w:noProof/>
                <w:sz w:val="16"/>
                <w:szCs w:val="16"/>
              </w:rPr>
              <w:t>Trustee obligations and the time and skills necessary to operate an SMSF</w:t>
            </w:r>
            <w:r w:rsidRPr="00B4141A">
              <w:rPr>
                <w:noProof/>
                <w:webHidden/>
                <w:sz w:val="16"/>
                <w:szCs w:val="16"/>
              </w:rPr>
              <w:tab/>
            </w:r>
            <w:r w:rsidRPr="00B4141A">
              <w:rPr>
                <w:noProof/>
                <w:webHidden/>
                <w:sz w:val="16"/>
                <w:szCs w:val="16"/>
              </w:rPr>
              <w:fldChar w:fldCharType="begin"/>
            </w:r>
            <w:r w:rsidRPr="00B4141A">
              <w:rPr>
                <w:noProof/>
                <w:webHidden/>
                <w:sz w:val="16"/>
                <w:szCs w:val="16"/>
              </w:rPr>
              <w:instrText xml:space="preserve"> PAGEREF _Toc491678246 \h </w:instrText>
            </w:r>
            <w:r w:rsidRPr="00B4141A">
              <w:rPr>
                <w:noProof/>
                <w:webHidden/>
                <w:sz w:val="16"/>
                <w:szCs w:val="16"/>
              </w:rPr>
            </w:r>
            <w:r w:rsidRPr="00B4141A">
              <w:rPr>
                <w:noProof/>
                <w:webHidden/>
                <w:sz w:val="16"/>
                <w:szCs w:val="16"/>
              </w:rPr>
              <w:fldChar w:fldCharType="separate"/>
            </w:r>
            <w:r w:rsidRPr="00B4141A">
              <w:rPr>
                <w:noProof/>
                <w:webHidden/>
                <w:sz w:val="16"/>
                <w:szCs w:val="16"/>
              </w:rPr>
              <w:t>3</w:t>
            </w:r>
            <w:r w:rsidRPr="00B4141A">
              <w:rPr>
                <w:noProof/>
                <w:webHidden/>
                <w:sz w:val="16"/>
                <w:szCs w:val="16"/>
              </w:rPr>
              <w:fldChar w:fldCharType="end"/>
            </w:r>
          </w:hyperlink>
        </w:p>
        <w:p w:rsidR="00A71A05" w:rsidRPr="00B4141A" w:rsidRDefault="00A71A05">
          <w:pPr>
            <w:pStyle w:val="TOC2"/>
            <w:tabs>
              <w:tab w:val="right" w:leader="dot" w:pos="9016"/>
            </w:tabs>
            <w:rPr>
              <w:rFonts w:asciiTheme="minorHAnsi" w:eastAsiaTheme="minorEastAsia" w:hAnsiTheme="minorHAnsi" w:cstheme="minorBidi"/>
              <w:noProof/>
              <w:sz w:val="16"/>
              <w:szCs w:val="16"/>
              <w:lang w:eastAsia="en-AU"/>
            </w:rPr>
          </w:pPr>
          <w:hyperlink w:anchor="_Toc491678247" w:history="1">
            <w:r w:rsidRPr="00B4141A">
              <w:rPr>
                <w:rStyle w:val="Hyperlink"/>
                <w:rFonts w:ascii="Tahoma" w:hAnsi="Tahoma" w:cs="Tahoma"/>
                <w:noProof/>
                <w:sz w:val="16"/>
                <w:szCs w:val="16"/>
              </w:rPr>
              <w:t>Trustee obligations to develop an investment strategy</w:t>
            </w:r>
            <w:r w:rsidRPr="00B4141A">
              <w:rPr>
                <w:noProof/>
                <w:webHidden/>
                <w:sz w:val="16"/>
                <w:szCs w:val="16"/>
              </w:rPr>
              <w:tab/>
            </w:r>
            <w:r w:rsidRPr="00B4141A">
              <w:rPr>
                <w:noProof/>
                <w:webHidden/>
                <w:sz w:val="16"/>
                <w:szCs w:val="16"/>
              </w:rPr>
              <w:fldChar w:fldCharType="begin"/>
            </w:r>
            <w:r w:rsidRPr="00B4141A">
              <w:rPr>
                <w:noProof/>
                <w:webHidden/>
                <w:sz w:val="16"/>
                <w:szCs w:val="16"/>
              </w:rPr>
              <w:instrText xml:space="preserve"> PAGEREF _Toc491678247 \h </w:instrText>
            </w:r>
            <w:r w:rsidRPr="00B4141A">
              <w:rPr>
                <w:noProof/>
                <w:webHidden/>
                <w:sz w:val="16"/>
                <w:szCs w:val="16"/>
              </w:rPr>
            </w:r>
            <w:r w:rsidRPr="00B4141A">
              <w:rPr>
                <w:noProof/>
                <w:webHidden/>
                <w:sz w:val="16"/>
                <w:szCs w:val="16"/>
              </w:rPr>
              <w:fldChar w:fldCharType="separate"/>
            </w:r>
            <w:r w:rsidRPr="00B4141A">
              <w:rPr>
                <w:noProof/>
                <w:webHidden/>
                <w:sz w:val="16"/>
                <w:szCs w:val="16"/>
              </w:rPr>
              <w:t>4</w:t>
            </w:r>
            <w:r w:rsidRPr="00B4141A">
              <w:rPr>
                <w:noProof/>
                <w:webHidden/>
                <w:sz w:val="16"/>
                <w:szCs w:val="16"/>
              </w:rPr>
              <w:fldChar w:fldCharType="end"/>
            </w:r>
          </w:hyperlink>
        </w:p>
        <w:p w:rsidR="00A71A05" w:rsidRPr="00B4141A" w:rsidRDefault="00A71A05">
          <w:pPr>
            <w:pStyle w:val="TOC2"/>
            <w:tabs>
              <w:tab w:val="right" w:leader="dot" w:pos="9016"/>
            </w:tabs>
            <w:rPr>
              <w:rFonts w:asciiTheme="minorHAnsi" w:eastAsiaTheme="minorEastAsia" w:hAnsiTheme="minorHAnsi" w:cstheme="minorBidi"/>
              <w:noProof/>
              <w:sz w:val="16"/>
              <w:szCs w:val="16"/>
              <w:lang w:eastAsia="en-AU"/>
            </w:rPr>
          </w:pPr>
          <w:hyperlink w:anchor="_Toc491678248" w:history="1">
            <w:r w:rsidRPr="00B4141A">
              <w:rPr>
                <w:rStyle w:val="Hyperlink"/>
                <w:rFonts w:ascii="Tahoma" w:hAnsi="Tahoma" w:cs="Tahoma"/>
                <w:noProof/>
                <w:sz w:val="16"/>
                <w:szCs w:val="16"/>
              </w:rPr>
              <w:t>The need to consider an exit strategy</w:t>
            </w:r>
            <w:r w:rsidRPr="00B4141A">
              <w:rPr>
                <w:noProof/>
                <w:webHidden/>
                <w:sz w:val="16"/>
                <w:szCs w:val="16"/>
              </w:rPr>
              <w:tab/>
            </w:r>
            <w:r w:rsidRPr="00B4141A">
              <w:rPr>
                <w:noProof/>
                <w:webHidden/>
                <w:sz w:val="16"/>
                <w:szCs w:val="16"/>
              </w:rPr>
              <w:fldChar w:fldCharType="begin"/>
            </w:r>
            <w:r w:rsidRPr="00B4141A">
              <w:rPr>
                <w:noProof/>
                <w:webHidden/>
                <w:sz w:val="16"/>
                <w:szCs w:val="16"/>
              </w:rPr>
              <w:instrText xml:space="preserve"> PAGEREF _Toc491678248 \h </w:instrText>
            </w:r>
            <w:r w:rsidRPr="00B4141A">
              <w:rPr>
                <w:noProof/>
                <w:webHidden/>
                <w:sz w:val="16"/>
                <w:szCs w:val="16"/>
              </w:rPr>
            </w:r>
            <w:r w:rsidRPr="00B4141A">
              <w:rPr>
                <w:noProof/>
                <w:webHidden/>
                <w:sz w:val="16"/>
                <w:szCs w:val="16"/>
              </w:rPr>
              <w:fldChar w:fldCharType="separate"/>
            </w:r>
            <w:r w:rsidRPr="00B4141A">
              <w:rPr>
                <w:noProof/>
                <w:webHidden/>
                <w:sz w:val="16"/>
                <w:szCs w:val="16"/>
              </w:rPr>
              <w:t>4</w:t>
            </w:r>
            <w:r w:rsidRPr="00B4141A">
              <w:rPr>
                <w:noProof/>
                <w:webHidden/>
                <w:sz w:val="16"/>
                <w:szCs w:val="16"/>
              </w:rPr>
              <w:fldChar w:fldCharType="end"/>
            </w:r>
          </w:hyperlink>
        </w:p>
        <w:p w:rsidR="00A71A05" w:rsidRDefault="00A71A05">
          <w:pPr>
            <w:pStyle w:val="TOC2"/>
            <w:tabs>
              <w:tab w:val="right" w:leader="dot" w:pos="9016"/>
            </w:tabs>
            <w:rPr>
              <w:rFonts w:asciiTheme="minorHAnsi" w:eastAsiaTheme="minorEastAsia" w:hAnsiTheme="minorHAnsi" w:cstheme="minorBidi"/>
              <w:noProof/>
              <w:lang w:eastAsia="en-AU"/>
            </w:rPr>
          </w:pPr>
          <w:hyperlink w:anchor="_Toc491678249" w:history="1">
            <w:r w:rsidRPr="00B4141A">
              <w:rPr>
                <w:rStyle w:val="Hyperlink"/>
                <w:rFonts w:ascii="Tahoma" w:hAnsi="Tahoma" w:cs="Tahoma"/>
                <w:noProof/>
                <w:sz w:val="16"/>
                <w:szCs w:val="16"/>
              </w:rPr>
              <w:t>Additional information to be included in an SOA</w:t>
            </w:r>
            <w:r w:rsidRPr="00B4141A">
              <w:rPr>
                <w:noProof/>
                <w:webHidden/>
                <w:sz w:val="16"/>
                <w:szCs w:val="16"/>
              </w:rPr>
              <w:tab/>
            </w:r>
            <w:r w:rsidRPr="00B4141A">
              <w:rPr>
                <w:noProof/>
                <w:webHidden/>
                <w:sz w:val="16"/>
                <w:szCs w:val="16"/>
              </w:rPr>
              <w:fldChar w:fldCharType="begin"/>
            </w:r>
            <w:r w:rsidRPr="00B4141A">
              <w:rPr>
                <w:noProof/>
                <w:webHidden/>
                <w:sz w:val="16"/>
                <w:szCs w:val="16"/>
              </w:rPr>
              <w:instrText xml:space="preserve"> PAGEREF _Toc491678249 \h </w:instrText>
            </w:r>
            <w:r w:rsidRPr="00B4141A">
              <w:rPr>
                <w:noProof/>
                <w:webHidden/>
                <w:sz w:val="16"/>
                <w:szCs w:val="16"/>
              </w:rPr>
            </w:r>
            <w:r w:rsidRPr="00B4141A">
              <w:rPr>
                <w:noProof/>
                <w:webHidden/>
                <w:sz w:val="16"/>
                <w:szCs w:val="16"/>
              </w:rPr>
              <w:fldChar w:fldCharType="separate"/>
            </w:r>
            <w:r w:rsidRPr="00B4141A">
              <w:rPr>
                <w:noProof/>
                <w:webHidden/>
                <w:sz w:val="16"/>
                <w:szCs w:val="16"/>
              </w:rPr>
              <w:t>4</w:t>
            </w:r>
            <w:r w:rsidRPr="00B4141A">
              <w:rPr>
                <w:noProof/>
                <w:webHidden/>
                <w:sz w:val="16"/>
                <w:szCs w:val="16"/>
              </w:rPr>
              <w:fldChar w:fldCharType="end"/>
            </w:r>
          </w:hyperlink>
        </w:p>
        <w:p w:rsidR="00A71A05" w:rsidRDefault="00A71A05" w:rsidP="00B4141A">
          <w:pPr>
            <w:pStyle w:val="TOC1"/>
            <w:rPr>
              <w:rFonts w:asciiTheme="minorHAnsi" w:eastAsiaTheme="minorEastAsia" w:hAnsiTheme="minorHAnsi" w:cstheme="minorBidi"/>
              <w:lang w:eastAsia="en-AU"/>
            </w:rPr>
          </w:pPr>
          <w:hyperlink w:anchor="_Toc491678250" w:history="1">
            <w:r w:rsidRPr="00F6073C">
              <w:rPr>
                <w:rStyle w:val="Hyperlink"/>
              </w:rPr>
              <w:t>Advice on self-managed superannuation funds: Disclosure of costs</w:t>
            </w:r>
            <w:r>
              <w:rPr>
                <w:webHidden/>
              </w:rPr>
              <w:tab/>
            </w:r>
            <w:r>
              <w:rPr>
                <w:webHidden/>
              </w:rPr>
              <w:fldChar w:fldCharType="begin"/>
            </w:r>
            <w:r>
              <w:rPr>
                <w:webHidden/>
              </w:rPr>
              <w:instrText xml:space="preserve"> PAGEREF _Toc491678250 \h </w:instrText>
            </w:r>
            <w:r>
              <w:rPr>
                <w:webHidden/>
              </w:rPr>
            </w:r>
            <w:r>
              <w:rPr>
                <w:webHidden/>
              </w:rPr>
              <w:fldChar w:fldCharType="separate"/>
            </w:r>
            <w:r>
              <w:rPr>
                <w:webHidden/>
              </w:rPr>
              <w:t>5</w:t>
            </w:r>
            <w:r>
              <w:rPr>
                <w:webHidden/>
              </w:rPr>
              <w:fldChar w:fldCharType="end"/>
            </w:r>
          </w:hyperlink>
        </w:p>
        <w:p w:rsidR="00A71A05" w:rsidRPr="00A71A05" w:rsidRDefault="00A71A05">
          <w:pPr>
            <w:pStyle w:val="TOC2"/>
            <w:tabs>
              <w:tab w:val="right" w:leader="dot" w:pos="9016"/>
            </w:tabs>
            <w:rPr>
              <w:rFonts w:asciiTheme="minorHAnsi" w:eastAsiaTheme="minorEastAsia" w:hAnsiTheme="minorHAnsi" w:cstheme="minorBidi"/>
              <w:noProof/>
              <w:sz w:val="16"/>
              <w:szCs w:val="16"/>
              <w:lang w:eastAsia="en-AU"/>
            </w:rPr>
          </w:pPr>
          <w:hyperlink w:anchor="_Toc491678251" w:history="1">
            <w:r w:rsidRPr="00B4141A">
              <w:rPr>
                <w:rStyle w:val="Hyperlink"/>
                <w:rFonts w:ascii="Tahoma" w:hAnsi="Tahoma" w:cs="Tahoma"/>
                <w:b/>
                <w:noProof/>
                <w:sz w:val="18"/>
                <w:szCs w:val="18"/>
              </w:rPr>
              <w:t>INFO 206</w:t>
            </w:r>
            <w:r w:rsidRPr="00A71A05">
              <w:rPr>
                <w:noProof/>
                <w:webHidden/>
                <w:sz w:val="16"/>
                <w:szCs w:val="16"/>
              </w:rPr>
              <w:tab/>
            </w:r>
            <w:r w:rsidRPr="00A71A05">
              <w:rPr>
                <w:noProof/>
                <w:webHidden/>
                <w:sz w:val="16"/>
                <w:szCs w:val="16"/>
              </w:rPr>
              <w:fldChar w:fldCharType="begin"/>
            </w:r>
            <w:r w:rsidRPr="00A71A05">
              <w:rPr>
                <w:noProof/>
                <w:webHidden/>
                <w:sz w:val="16"/>
                <w:szCs w:val="16"/>
              </w:rPr>
              <w:instrText xml:space="preserve"> PAGEREF _Toc491678251 \h </w:instrText>
            </w:r>
            <w:r w:rsidRPr="00A71A05">
              <w:rPr>
                <w:noProof/>
                <w:webHidden/>
                <w:sz w:val="16"/>
                <w:szCs w:val="16"/>
              </w:rPr>
            </w:r>
            <w:r w:rsidRPr="00A71A05">
              <w:rPr>
                <w:noProof/>
                <w:webHidden/>
                <w:sz w:val="16"/>
                <w:szCs w:val="16"/>
              </w:rPr>
              <w:fldChar w:fldCharType="separate"/>
            </w:r>
            <w:r w:rsidRPr="00A71A05">
              <w:rPr>
                <w:noProof/>
                <w:webHidden/>
                <w:sz w:val="16"/>
                <w:szCs w:val="16"/>
              </w:rPr>
              <w:t>5</w:t>
            </w:r>
            <w:r w:rsidRPr="00A71A05">
              <w:rPr>
                <w:noProof/>
                <w:webHidden/>
                <w:sz w:val="16"/>
                <w:szCs w:val="16"/>
              </w:rPr>
              <w:fldChar w:fldCharType="end"/>
            </w:r>
          </w:hyperlink>
        </w:p>
        <w:p w:rsidR="00A71A05" w:rsidRPr="00A71A05" w:rsidRDefault="00A71A05">
          <w:pPr>
            <w:pStyle w:val="TOC2"/>
            <w:tabs>
              <w:tab w:val="right" w:leader="dot" w:pos="9016"/>
            </w:tabs>
            <w:rPr>
              <w:rFonts w:asciiTheme="minorHAnsi" w:eastAsiaTheme="minorEastAsia" w:hAnsiTheme="minorHAnsi" w:cstheme="minorBidi"/>
              <w:noProof/>
              <w:sz w:val="16"/>
              <w:szCs w:val="16"/>
              <w:lang w:eastAsia="en-AU"/>
            </w:rPr>
          </w:pPr>
          <w:hyperlink w:anchor="_Toc491678252" w:history="1">
            <w:r w:rsidRPr="00A71A05">
              <w:rPr>
                <w:rStyle w:val="Hyperlink"/>
                <w:rFonts w:ascii="Tahoma" w:hAnsi="Tahoma" w:cs="Tahoma"/>
                <w:noProof/>
                <w:sz w:val="16"/>
                <w:szCs w:val="16"/>
              </w:rPr>
              <w:t>Relevant conduct and disclosure obligations</w:t>
            </w:r>
            <w:r w:rsidRPr="00A71A05">
              <w:rPr>
                <w:noProof/>
                <w:webHidden/>
                <w:sz w:val="16"/>
                <w:szCs w:val="16"/>
              </w:rPr>
              <w:tab/>
            </w:r>
            <w:r w:rsidRPr="00A71A05">
              <w:rPr>
                <w:noProof/>
                <w:webHidden/>
                <w:sz w:val="16"/>
                <w:szCs w:val="16"/>
              </w:rPr>
              <w:fldChar w:fldCharType="begin"/>
            </w:r>
            <w:r w:rsidRPr="00A71A05">
              <w:rPr>
                <w:noProof/>
                <w:webHidden/>
                <w:sz w:val="16"/>
                <w:szCs w:val="16"/>
              </w:rPr>
              <w:instrText xml:space="preserve"> PAGEREF _Toc491678252 \h </w:instrText>
            </w:r>
            <w:r w:rsidRPr="00A71A05">
              <w:rPr>
                <w:noProof/>
                <w:webHidden/>
                <w:sz w:val="16"/>
                <w:szCs w:val="16"/>
              </w:rPr>
            </w:r>
            <w:r w:rsidRPr="00A71A05">
              <w:rPr>
                <w:noProof/>
                <w:webHidden/>
                <w:sz w:val="16"/>
                <w:szCs w:val="16"/>
              </w:rPr>
              <w:fldChar w:fldCharType="separate"/>
            </w:r>
            <w:r w:rsidRPr="00A71A05">
              <w:rPr>
                <w:noProof/>
                <w:webHidden/>
                <w:sz w:val="16"/>
                <w:szCs w:val="16"/>
              </w:rPr>
              <w:t>6</w:t>
            </w:r>
            <w:r w:rsidRPr="00A71A05">
              <w:rPr>
                <w:noProof/>
                <w:webHidden/>
                <w:sz w:val="16"/>
                <w:szCs w:val="16"/>
              </w:rPr>
              <w:fldChar w:fldCharType="end"/>
            </w:r>
          </w:hyperlink>
        </w:p>
        <w:p w:rsidR="00A71A05" w:rsidRPr="00A71A05" w:rsidRDefault="00A71A05">
          <w:pPr>
            <w:pStyle w:val="TOC2"/>
            <w:tabs>
              <w:tab w:val="right" w:leader="dot" w:pos="9016"/>
            </w:tabs>
            <w:rPr>
              <w:rFonts w:asciiTheme="minorHAnsi" w:eastAsiaTheme="minorEastAsia" w:hAnsiTheme="minorHAnsi" w:cstheme="minorBidi"/>
              <w:noProof/>
              <w:sz w:val="16"/>
              <w:szCs w:val="16"/>
              <w:lang w:eastAsia="en-AU"/>
            </w:rPr>
          </w:pPr>
          <w:hyperlink w:anchor="_Toc491678253" w:history="1">
            <w:r w:rsidRPr="00A71A05">
              <w:rPr>
                <w:rStyle w:val="Hyperlink"/>
                <w:rFonts w:ascii="Tahoma" w:hAnsi="Tahoma" w:cs="Tahoma"/>
                <w:noProof/>
                <w:sz w:val="16"/>
                <w:szCs w:val="16"/>
              </w:rPr>
              <w:t>Advice on the cost-effectiveness of an SMSF</w:t>
            </w:r>
            <w:r w:rsidRPr="00A71A05">
              <w:rPr>
                <w:noProof/>
                <w:webHidden/>
                <w:sz w:val="16"/>
                <w:szCs w:val="16"/>
              </w:rPr>
              <w:tab/>
            </w:r>
            <w:r w:rsidRPr="00A71A05">
              <w:rPr>
                <w:noProof/>
                <w:webHidden/>
                <w:sz w:val="16"/>
                <w:szCs w:val="16"/>
              </w:rPr>
              <w:fldChar w:fldCharType="begin"/>
            </w:r>
            <w:r w:rsidRPr="00A71A05">
              <w:rPr>
                <w:noProof/>
                <w:webHidden/>
                <w:sz w:val="16"/>
                <w:szCs w:val="16"/>
              </w:rPr>
              <w:instrText xml:space="preserve"> PAGEREF _Toc491678253 \h </w:instrText>
            </w:r>
            <w:r w:rsidRPr="00A71A05">
              <w:rPr>
                <w:noProof/>
                <w:webHidden/>
                <w:sz w:val="16"/>
                <w:szCs w:val="16"/>
              </w:rPr>
            </w:r>
            <w:r w:rsidRPr="00A71A05">
              <w:rPr>
                <w:noProof/>
                <w:webHidden/>
                <w:sz w:val="16"/>
                <w:szCs w:val="16"/>
              </w:rPr>
              <w:fldChar w:fldCharType="separate"/>
            </w:r>
            <w:r w:rsidRPr="00A71A05">
              <w:rPr>
                <w:noProof/>
                <w:webHidden/>
                <w:sz w:val="16"/>
                <w:szCs w:val="16"/>
              </w:rPr>
              <w:t>6</w:t>
            </w:r>
            <w:r w:rsidRPr="00A71A05">
              <w:rPr>
                <w:noProof/>
                <w:webHidden/>
                <w:sz w:val="16"/>
                <w:szCs w:val="16"/>
              </w:rPr>
              <w:fldChar w:fldCharType="end"/>
            </w:r>
          </w:hyperlink>
        </w:p>
        <w:p w:rsidR="00A71A05" w:rsidRPr="00A71A05" w:rsidRDefault="00A71A05">
          <w:pPr>
            <w:pStyle w:val="TOC3"/>
            <w:tabs>
              <w:tab w:val="right" w:leader="dot" w:pos="9016"/>
            </w:tabs>
            <w:rPr>
              <w:noProof/>
              <w:sz w:val="16"/>
              <w:szCs w:val="16"/>
            </w:rPr>
          </w:pPr>
          <w:hyperlink w:anchor="_Toc491678254" w:history="1">
            <w:r w:rsidRPr="00A71A05">
              <w:rPr>
                <w:rStyle w:val="Hyperlink"/>
                <w:rFonts w:ascii="Tahoma" w:hAnsi="Tahoma" w:cs="Tahoma"/>
                <w:noProof/>
                <w:sz w:val="16"/>
                <w:szCs w:val="16"/>
              </w:rPr>
              <w:t>Starting balances below $200,000</w:t>
            </w:r>
            <w:r w:rsidRPr="00A71A05">
              <w:rPr>
                <w:noProof/>
                <w:webHidden/>
                <w:sz w:val="16"/>
                <w:szCs w:val="16"/>
              </w:rPr>
              <w:tab/>
            </w:r>
            <w:r w:rsidRPr="00A71A05">
              <w:rPr>
                <w:noProof/>
                <w:webHidden/>
                <w:sz w:val="16"/>
                <w:szCs w:val="16"/>
              </w:rPr>
              <w:fldChar w:fldCharType="begin"/>
            </w:r>
            <w:r w:rsidRPr="00A71A05">
              <w:rPr>
                <w:noProof/>
                <w:webHidden/>
                <w:sz w:val="16"/>
                <w:szCs w:val="16"/>
              </w:rPr>
              <w:instrText xml:space="preserve"> PAGEREF _Toc491678254 \h </w:instrText>
            </w:r>
            <w:r w:rsidRPr="00A71A05">
              <w:rPr>
                <w:noProof/>
                <w:webHidden/>
                <w:sz w:val="16"/>
                <w:szCs w:val="16"/>
              </w:rPr>
            </w:r>
            <w:r w:rsidRPr="00A71A05">
              <w:rPr>
                <w:noProof/>
                <w:webHidden/>
                <w:sz w:val="16"/>
                <w:szCs w:val="16"/>
              </w:rPr>
              <w:fldChar w:fldCharType="separate"/>
            </w:r>
            <w:r w:rsidRPr="00A71A05">
              <w:rPr>
                <w:noProof/>
                <w:webHidden/>
                <w:sz w:val="16"/>
                <w:szCs w:val="16"/>
              </w:rPr>
              <w:t>6</w:t>
            </w:r>
            <w:r w:rsidRPr="00A71A05">
              <w:rPr>
                <w:noProof/>
                <w:webHidden/>
                <w:sz w:val="16"/>
                <w:szCs w:val="16"/>
              </w:rPr>
              <w:fldChar w:fldCharType="end"/>
            </w:r>
          </w:hyperlink>
        </w:p>
        <w:p w:rsidR="00A71A05" w:rsidRPr="00A71A05" w:rsidRDefault="00A71A05">
          <w:pPr>
            <w:pStyle w:val="TOC2"/>
            <w:tabs>
              <w:tab w:val="right" w:leader="dot" w:pos="9016"/>
            </w:tabs>
            <w:rPr>
              <w:rFonts w:asciiTheme="minorHAnsi" w:eastAsiaTheme="minorEastAsia" w:hAnsiTheme="minorHAnsi" w:cstheme="minorBidi"/>
              <w:noProof/>
              <w:sz w:val="16"/>
              <w:szCs w:val="16"/>
              <w:lang w:eastAsia="en-AU"/>
            </w:rPr>
          </w:pPr>
          <w:hyperlink w:anchor="_Toc491678255" w:history="1">
            <w:r w:rsidRPr="00A71A05">
              <w:rPr>
                <w:rStyle w:val="Hyperlink"/>
                <w:rFonts w:ascii="Tahoma" w:hAnsi="Tahoma" w:cs="Tahoma"/>
                <w:noProof/>
                <w:sz w:val="16"/>
                <w:szCs w:val="16"/>
              </w:rPr>
              <w:t>Advice on the costs of setting up, operating and winding up an SMSF</w:t>
            </w:r>
            <w:r w:rsidRPr="00A71A05">
              <w:rPr>
                <w:noProof/>
                <w:webHidden/>
                <w:sz w:val="16"/>
                <w:szCs w:val="16"/>
              </w:rPr>
              <w:tab/>
            </w:r>
            <w:r w:rsidRPr="00A71A05">
              <w:rPr>
                <w:noProof/>
                <w:webHidden/>
                <w:sz w:val="16"/>
                <w:szCs w:val="16"/>
              </w:rPr>
              <w:fldChar w:fldCharType="begin"/>
            </w:r>
            <w:r w:rsidRPr="00A71A05">
              <w:rPr>
                <w:noProof/>
                <w:webHidden/>
                <w:sz w:val="16"/>
                <w:szCs w:val="16"/>
              </w:rPr>
              <w:instrText xml:space="preserve"> PAGEREF _Toc491678255 \h </w:instrText>
            </w:r>
            <w:r w:rsidRPr="00A71A05">
              <w:rPr>
                <w:noProof/>
                <w:webHidden/>
                <w:sz w:val="16"/>
                <w:szCs w:val="16"/>
              </w:rPr>
            </w:r>
            <w:r w:rsidRPr="00A71A05">
              <w:rPr>
                <w:noProof/>
                <w:webHidden/>
                <w:sz w:val="16"/>
                <w:szCs w:val="16"/>
              </w:rPr>
              <w:fldChar w:fldCharType="separate"/>
            </w:r>
            <w:r w:rsidRPr="00A71A05">
              <w:rPr>
                <w:noProof/>
                <w:webHidden/>
                <w:sz w:val="16"/>
                <w:szCs w:val="16"/>
              </w:rPr>
              <w:t>7</w:t>
            </w:r>
            <w:r w:rsidRPr="00A71A05">
              <w:rPr>
                <w:noProof/>
                <w:webHidden/>
                <w:sz w:val="16"/>
                <w:szCs w:val="16"/>
              </w:rPr>
              <w:fldChar w:fldCharType="end"/>
            </w:r>
          </w:hyperlink>
        </w:p>
        <w:p w:rsidR="00A71A05" w:rsidRPr="00A71A05" w:rsidRDefault="00A71A05">
          <w:pPr>
            <w:pStyle w:val="TOC3"/>
            <w:tabs>
              <w:tab w:val="right" w:leader="dot" w:pos="9016"/>
            </w:tabs>
            <w:rPr>
              <w:noProof/>
              <w:sz w:val="16"/>
              <w:szCs w:val="16"/>
            </w:rPr>
          </w:pPr>
          <w:hyperlink w:anchor="_Toc491678256" w:history="1">
            <w:r w:rsidRPr="00A71A05">
              <w:rPr>
                <w:rStyle w:val="Hyperlink"/>
                <w:rFonts w:ascii="Tahoma" w:hAnsi="Tahoma" w:cs="Tahoma"/>
                <w:noProof/>
                <w:sz w:val="16"/>
                <w:szCs w:val="16"/>
              </w:rPr>
              <w:t>Unavoidable versus optional costs</w:t>
            </w:r>
            <w:r w:rsidRPr="00A71A05">
              <w:rPr>
                <w:noProof/>
                <w:webHidden/>
                <w:sz w:val="16"/>
                <w:szCs w:val="16"/>
              </w:rPr>
              <w:tab/>
            </w:r>
            <w:r w:rsidRPr="00A71A05">
              <w:rPr>
                <w:noProof/>
                <w:webHidden/>
                <w:sz w:val="16"/>
                <w:szCs w:val="16"/>
              </w:rPr>
              <w:fldChar w:fldCharType="begin"/>
            </w:r>
            <w:r w:rsidRPr="00A71A05">
              <w:rPr>
                <w:noProof/>
                <w:webHidden/>
                <w:sz w:val="16"/>
                <w:szCs w:val="16"/>
              </w:rPr>
              <w:instrText xml:space="preserve"> PAGEREF _Toc491678256 \h </w:instrText>
            </w:r>
            <w:r w:rsidRPr="00A71A05">
              <w:rPr>
                <w:noProof/>
                <w:webHidden/>
                <w:sz w:val="16"/>
                <w:szCs w:val="16"/>
              </w:rPr>
            </w:r>
            <w:r w:rsidRPr="00A71A05">
              <w:rPr>
                <w:noProof/>
                <w:webHidden/>
                <w:sz w:val="16"/>
                <w:szCs w:val="16"/>
              </w:rPr>
              <w:fldChar w:fldCharType="separate"/>
            </w:r>
            <w:r w:rsidRPr="00A71A05">
              <w:rPr>
                <w:noProof/>
                <w:webHidden/>
                <w:sz w:val="16"/>
                <w:szCs w:val="16"/>
              </w:rPr>
              <w:t>7</w:t>
            </w:r>
            <w:r w:rsidRPr="00A71A05">
              <w:rPr>
                <w:noProof/>
                <w:webHidden/>
                <w:sz w:val="16"/>
                <w:szCs w:val="16"/>
              </w:rPr>
              <w:fldChar w:fldCharType="end"/>
            </w:r>
          </w:hyperlink>
        </w:p>
        <w:p w:rsidR="00A71A05" w:rsidRPr="00A71A05" w:rsidRDefault="00A71A05">
          <w:pPr>
            <w:pStyle w:val="TOC2"/>
            <w:tabs>
              <w:tab w:val="right" w:leader="dot" w:pos="9016"/>
            </w:tabs>
            <w:rPr>
              <w:rFonts w:asciiTheme="minorHAnsi" w:eastAsiaTheme="minorEastAsia" w:hAnsiTheme="minorHAnsi" w:cstheme="minorBidi"/>
              <w:noProof/>
              <w:sz w:val="16"/>
              <w:szCs w:val="16"/>
              <w:lang w:eastAsia="en-AU"/>
            </w:rPr>
          </w:pPr>
          <w:hyperlink w:anchor="_Toc491678257" w:history="1">
            <w:r w:rsidRPr="00A71A05">
              <w:rPr>
                <w:rStyle w:val="Hyperlink"/>
                <w:rFonts w:ascii="Tahoma" w:hAnsi="Tahoma" w:cs="Tahoma"/>
                <w:noProof/>
                <w:sz w:val="16"/>
                <w:szCs w:val="16"/>
              </w:rPr>
              <w:t>Advice on the continued suitability of an SMSF for the client</w:t>
            </w:r>
            <w:r w:rsidRPr="00A71A05">
              <w:rPr>
                <w:noProof/>
                <w:webHidden/>
                <w:sz w:val="16"/>
                <w:szCs w:val="16"/>
              </w:rPr>
              <w:tab/>
            </w:r>
            <w:r w:rsidRPr="00A71A05">
              <w:rPr>
                <w:noProof/>
                <w:webHidden/>
                <w:sz w:val="16"/>
                <w:szCs w:val="16"/>
              </w:rPr>
              <w:fldChar w:fldCharType="begin"/>
            </w:r>
            <w:r w:rsidRPr="00A71A05">
              <w:rPr>
                <w:noProof/>
                <w:webHidden/>
                <w:sz w:val="16"/>
                <w:szCs w:val="16"/>
              </w:rPr>
              <w:instrText xml:space="preserve"> PAGEREF _Toc491678257 \h </w:instrText>
            </w:r>
            <w:r w:rsidRPr="00A71A05">
              <w:rPr>
                <w:noProof/>
                <w:webHidden/>
                <w:sz w:val="16"/>
                <w:szCs w:val="16"/>
              </w:rPr>
            </w:r>
            <w:r w:rsidRPr="00A71A05">
              <w:rPr>
                <w:noProof/>
                <w:webHidden/>
                <w:sz w:val="16"/>
                <w:szCs w:val="16"/>
              </w:rPr>
              <w:fldChar w:fldCharType="separate"/>
            </w:r>
            <w:r w:rsidRPr="00A71A05">
              <w:rPr>
                <w:noProof/>
                <w:webHidden/>
                <w:sz w:val="16"/>
                <w:szCs w:val="16"/>
              </w:rPr>
              <w:t>9</w:t>
            </w:r>
            <w:r w:rsidRPr="00A71A05">
              <w:rPr>
                <w:noProof/>
                <w:webHidden/>
                <w:sz w:val="16"/>
                <w:szCs w:val="16"/>
              </w:rPr>
              <w:fldChar w:fldCharType="end"/>
            </w:r>
          </w:hyperlink>
        </w:p>
        <w:p w:rsidR="00A71A05" w:rsidRDefault="00A71A05">
          <w:r>
            <w:rPr>
              <w:b/>
              <w:bCs/>
              <w:noProof/>
            </w:rPr>
            <w:fldChar w:fldCharType="end"/>
          </w:r>
        </w:p>
      </w:sdtContent>
    </w:sdt>
    <w:p w:rsidR="00D250CF" w:rsidRPr="0077540C" w:rsidRDefault="00D250CF" w:rsidP="0077540C">
      <w:pPr>
        <w:rPr>
          <w:i/>
          <w:sz w:val="16"/>
          <w:szCs w:val="16"/>
        </w:rPr>
      </w:pPr>
    </w:p>
    <w:p w:rsidR="0077540C" w:rsidRDefault="0077540C" w:rsidP="0077540C">
      <w:pPr>
        <w:pStyle w:val="Heading1"/>
        <w:shd w:val="clear" w:color="auto" w:fill="FFFFFF"/>
        <w:rPr>
          <w:rFonts w:ascii="Tahoma" w:eastAsia="Times New Roman" w:hAnsi="Tahoma" w:cs="Tahoma"/>
          <w:b w:val="0"/>
          <w:bCs w:val="0"/>
          <w:color w:val="000000"/>
          <w:sz w:val="40"/>
          <w:szCs w:val="40"/>
        </w:rPr>
      </w:pPr>
      <w:bookmarkStart w:id="0" w:name="_Toc491678240"/>
      <w:r>
        <w:rPr>
          <w:rFonts w:ascii="Tahoma" w:eastAsia="Times New Roman" w:hAnsi="Tahoma" w:cs="Tahoma"/>
          <w:b w:val="0"/>
          <w:bCs w:val="0"/>
          <w:color w:val="000000"/>
          <w:sz w:val="40"/>
          <w:szCs w:val="40"/>
        </w:rPr>
        <w:t>Advice on self-managed superannuation funds: Disclosure of risks</w:t>
      </w:r>
      <w:bookmarkEnd w:id="0"/>
    </w:p>
    <w:p w:rsidR="0077540C" w:rsidRPr="0077540C" w:rsidRDefault="0077540C" w:rsidP="0077540C">
      <w:pPr>
        <w:pStyle w:val="NormalWeb"/>
        <w:shd w:val="clear" w:color="auto" w:fill="FFFFFF"/>
        <w:rPr>
          <w:rFonts w:ascii="Tahoma" w:hAnsi="Tahoma" w:cs="Tahoma"/>
          <w:color w:val="000000"/>
          <w:sz w:val="20"/>
          <w:szCs w:val="20"/>
        </w:rPr>
      </w:pPr>
      <w:r w:rsidRPr="0077540C">
        <w:rPr>
          <w:rFonts w:ascii="Tahoma" w:hAnsi="Tahoma" w:cs="Tahoma"/>
          <w:color w:val="000000"/>
          <w:sz w:val="20"/>
          <w:szCs w:val="20"/>
        </w:rPr>
        <w:t>This information sheet (INFO 205) provides guidance for Australian financial services (AFS) licensees (including limited AFS licensees) and their representatives who provide personal advice to retail clients about self-managed superannuation funds (SMSFs).</w:t>
      </w:r>
    </w:p>
    <w:p w:rsidR="0077540C" w:rsidRPr="0077540C" w:rsidRDefault="0077540C" w:rsidP="0077540C">
      <w:pPr>
        <w:pStyle w:val="NormalWeb"/>
        <w:shd w:val="clear" w:color="auto" w:fill="FFFFFF"/>
        <w:spacing w:after="0" w:afterAutospacing="0"/>
        <w:rPr>
          <w:rFonts w:ascii="Tahoma" w:hAnsi="Tahoma" w:cs="Tahoma"/>
          <w:color w:val="000000"/>
          <w:sz w:val="20"/>
          <w:szCs w:val="20"/>
        </w:rPr>
      </w:pPr>
      <w:r w:rsidRPr="0077540C">
        <w:rPr>
          <w:rFonts w:ascii="Tahoma" w:hAnsi="Tahoma" w:cs="Tahoma"/>
          <w:color w:val="000000"/>
          <w:sz w:val="20"/>
          <w:szCs w:val="20"/>
        </w:rPr>
        <w:t>It explains:</w:t>
      </w:r>
    </w:p>
    <w:p w:rsidR="0077540C" w:rsidRPr="001E1213" w:rsidRDefault="0031056C" w:rsidP="001E1213">
      <w:pPr>
        <w:pStyle w:val="ListParagraph"/>
        <w:numPr>
          <w:ilvl w:val="0"/>
          <w:numId w:val="2"/>
        </w:numPr>
        <w:shd w:val="clear" w:color="auto" w:fill="FFFFFF"/>
        <w:spacing w:after="100" w:afterAutospacing="1"/>
        <w:rPr>
          <w:rFonts w:ascii="Tahoma" w:hAnsi="Tahoma" w:cs="Tahoma"/>
          <w:color w:val="000000"/>
          <w:sz w:val="20"/>
          <w:szCs w:val="20"/>
        </w:rPr>
      </w:pPr>
      <w:hyperlink r:id="rId7" w:anchor="relevant-conduct-and-disclosure-obligations" w:history="1">
        <w:r w:rsidR="0077540C" w:rsidRPr="001E1213">
          <w:rPr>
            <w:rStyle w:val="Hyperlink"/>
            <w:rFonts w:ascii="Tahoma" w:hAnsi="Tahoma" w:cs="Tahoma"/>
            <w:color w:val="0D6BBC"/>
            <w:sz w:val="20"/>
            <w:szCs w:val="20"/>
          </w:rPr>
          <w:t>the relevant conduct and disclosure obligations</w:t>
        </w:r>
      </w:hyperlink>
    </w:p>
    <w:p w:rsidR="0077540C" w:rsidRPr="001E1213" w:rsidRDefault="0077540C" w:rsidP="001E1213">
      <w:pPr>
        <w:pStyle w:val="ListParagraph"/>
        <w:numPr>
          <w:ilvl w:val="0"/>
          <w:numId w:val="2"/>
        </w:numPr>
        <w:shd w:val="clear" w:color="auto" w:fill="FFFFFF"/>
        <w:spacing w:before="100" w:beforeAutospacing="1" w:after="100" w:afterAutospacing="1"/>
        <w:rPr>
          <w:rFonts w:ascii="Tahoma" w:hAnsi="Tahoma" w:cs="Tahoma"/>
          <w:color w:val="000000"/>
          <w:sz w:val="20"/>
          <w:szCs w:val="20"/>
        </w:rPr>
      </w:pPr>
      <w:r w:rsidRPr="001E1213">
        <w:rPr>
          <w:rFonts w:ascii="Tahoma" w:hAnsi="Tahoma" w:cs="Tahoma"/>
          <w:color w:val="000000"/>
          <w:sz w:val="20"/>
          <w:szCs w:val="20"/>
        </w:rPr>
        <w:t>the risks that should be considered by the adviser and disclosed to the client when providing personal advice about SMSFs, including:</w:t>
      </w:r>
    </w:p>
    <w:p w:rsidR="0077540C" w:rsidRPr="001E1213" w:rsidRDefault="0031056C" w:rsidP="001E1213">
      <w:pPr>
        <w:pStyle w:val="ListParagraph"/>
        <w:numPr>
          <w:ilvl w:val="0"/>
          <w:numId w:val="2"/>
        </w:numPr>
        <w:shd w:val="clear" w:color="auto" w:fill="FFFFFF"/>
        <w:spacing w:before="100" w:beforeAutospacing="1" w:after="100" w:afterAutospacing="1"/>
        <w:rPr>
          <w:rFonts w:ascii="Tahoma" w:hAnsi="Tahoma" w:cs="Tahoma"/>
          <w:color w:val="000000"/>
          <w:sz w:val="20"/>
          <w:szCs w:val="20"/>
        </w:rPr>
      </w:pPr>
      <w:hyperlink r:id="rId8" w:anchor="lack-of-statutory-compensation" w:history="1">
        <w:r w:rsidR="0077540C" w:rsidRPr="001E1213">
          <w:rPr>
            <w:rStyle w:val="Hyperlink"/>
            <w:rFonts w:ascii="Tahoma" w:hAnsi="Tahoma" w:cs="Tahoma"/>
            <w:color w:val="0D6BBC"/>
            <w:sz w:val="20"/>
            <w:szCs w:val="20"/>
          </w:rPr>
          <w:t>the lack of statutory compensation</w:t>
        </w:r>
      </w:hyperlink>
    </w:p>
    <w:p w:rsidR="0077540C" w:rsidRPr="001E1213" w:rsidRDefault="0031056C" w:rsidP="001E1213">
      <w:pPr>
        <w:pStyle w:val="ListParagraph"/>
        <w:numPr>
          <w:ilvl w:val="0"/>
          <w:numId w:val="2"/>
        </w:numPr>
        <w:shd w:val="clear" w:color="auto" w:fill="FFFFFF"/>
        <w:spacing w:before="100" w:beforeAutospacing="1" w:after="100" w:afterAutospacing="1"/>
        <w:rPr>
          <w:rFonts w:ascii="Tahoma" w:hAnsi="Tahoma" w:cs="Tahoma"/>
          <w:color w:val="000000"/>
          <w:sz w:val="20"/>
          <w:szCs w:val="20"/>
        </w:rPr>
      </w:pPr>
      <w:hyperlink r:id="rId9" w:anchor="impact-on-insurance" w:history="1">
        <w:r w:rsidR="0077540C" w:rsidRPr="001E1213">
          <w:rPr>
            <w:rStyle w:val="Hyperlink"/>
            <w:rFonts w:ascii="Tahoma" w:hAnsi="Tahoma" w:cs="Tahoma"/>
            <w:color w:val="0D6BBC"/>
            <w:sz w:val="20"/>
            <w:szCs w:val="20"/>
          </w:rPr>
          <w:t>the impact on insurance</w:t>
        </w:r>
      </w:hyperlink>
    </w:p>
    <w:p w:rsidR="0077540C" w:rsidRPr="001E1213" w:rsidRDefault="0031056C" w:rsidP="001E1213">
      <w:pPr>
        <w:pStyle w:val="ListParagraph"/>
        <w:numPr>
          <w:ilvl w:val="0"/>
          <w:numId w:val="2"/>
        </w:numPr>
        <w:shd w:val="clear" w:color="auto" w:fill="FFFFFF"/>
        <w:spacing w:before="100" w:beforeAutospacing="1" w:after="100" w:afterAutospacing="1"/>
        <w:rPr>
          <w:rFonts w:ascii="Tahoma" w:hAnsi="Tahoma" w:cs="Tahoma"/>
          <w:color w:val="000000"/>
          <w:sz w:val="20"/>
          <w:szCs w:val="20"/>
        </w:rPr>
      </w:pPr>
      <w:hyperlink r:id="rId10" w:anchor="access-to-complaints-mechanisms" w:history="1">
        <w:r w:rsidR="0077540C" w:rsidRPr="001E1213">
          <w:rPr>
            <w:rStyle w:val="Hyperlink"/>
            <w:rFonts w:ascii="Tahoma" w:hAnsi="Tahoma" w:cs="Tahoma"/>
            <w:color w:val="0D6BBC"/>
            <w:sz w:val="20"/>
            <w:szCs w:val="20"/>
          </w:rPr>
          <w:t>access to complaints mechanisms</w:t>
        </w:r>
      </w:hyperlink>
    </w:p>
    <w:p w:rsidR="0077540C" w:rsidRPr="001E1213" w:rsidRDefault="0031056C" w:rsidP="001E1213">
      <w:pPr>
        <w:pStyle w:val="ListParagraph"/>
        <w:numPr>
          <w:ilvl w:val="0"/>
          <w:numId w:val="2"/>
        </w:numPr>
        <w:shd w:val="clear" w:color="auto" w:fill="FFFFFF"/>
        <w:spacing w:before="100" w:beforeAutospacing="1" w:after="100" w:afterAutospacing="1"/>
        <w:rPr>
          <w:rFonts w:ascii="Tahoma" w:hAnsi="Tahoma" w:cs="Tahoma"/>
          <w:color w:val="000000"/>
          <w:sz w:val="20"/>
          <w:szCs w:val="20"/>
        </w:rPr>
      </w:pPr>
      <w:hyperlink r:id="rId11" w:anchor="different-smsf-structures" w:history="1">
        <w:r w:rsidR="0077540C" w:rsidRPr="001E1213">
          <w:rPr>
            <w:rStyle w:val="Hyperlink"/>
            <w:rFonts w:ascii="Tahoma" w:hAnsi="Tahoma" w:cs="Tahoma"/>
            <w:color w:val="0D6BBC"/>
            <w:sz w:val="20"/>
            <w:szCs w:val="20"/>
          </w:rPr>
          <w:t>the appropriateness of different SMSF structures</w:t>
        </w:r>
      </w:hyperlink>
    </w:p>
    <w:p w:rsidR="0077540C" w:rsidRPr="001E1213" w:rsidRDefault="0031056C" w:rsidP="001E1213">
      <w:pPr>
        <w:pStyle w:val="ListParagraph"/>
        <w:numPr>
          <w:ilvl w:val="0"/>
          <w:numId w:val="2"/>
        </w:numPr>
        <w:shd w:val="clear" w:color="auto" w:fill="FFFFFF"/>
        <w:spacing w:before="100" w:beforeAutospacing="1" w:after="100" w:afterAutospacing="1"/>
        <w:rPr>
          <w:rFonts w:ascii="Tahoma" w:hAnsi="Tahoma" w:cs="Tahoma"/>
          <w:color w:val="000000"/>
          <w:sz w:val="20"/>
          <w:szCs w:val="20"/>
        </w:rPr>
      </w:pPr>
      <w:hyperlink r:id="rId12" w:anchor="trustee-obligations-time-and-skills" w:history="1">
        <w:r w:rsidR="0077540C" w:rsidRPr="001E1213">
          <w:rPr>
            <w:rStyle w:val="Hyperlink"/>
            <w:rFonts w:ascii="Tahoma" w:hAnsi="Tahoma" w:cs="Tahoma"/>
            <w:color w:val="0D6BBC"/>
            <w:sz w:val="20"/>
            <w:szCs w:val="20"/>
          </w:rPr>
          <w:t>trustee obligations and the time and skills necessary to operate an SMSF</w:t>
        </w:r>
      </w:hyperlink>
    </w:p>
    <w:p w:rsidR="0077540C" w:rsidRPr="001E1213" w:rsidRDefault="0031056C" w:rsidP="001E1213">
      <w:pPr>
        <w:pStyle w:val="ListParagraph"/>
        <w:numPr>
          <w:ilvl w:val="0"/>
          <w:numId w:val="2"/>
        </w:numPr>
        <w:shd w:val="clear" w:color="auto" w:fill="FFFFFF"/>
        <w:spacing w:before="100" w:beforeAutospacing="1" w:after="100" w:afterAutospacing="1"/>
        <w:rPr>
          <w:rFonts w:ascii="Tahoma" w:hAnsi="Tahoma" w:cs="Tahoma"/>
          <w:color w:val="000000"/>
          <w:sz w:val="20"/>
          <w:szCs w:val="20"/>
        </w:rPr>
      </w:pPr>
      <w:hyperlink r:id="rId13" w:anchor="trustee-obligations-investment-strategy" w:history="1">
        <w:r w:rsidR="0077540C" w:rsidRPr="001E1213">
          <w:rPr>
            <w:rStyle w:val="Hyperlink"/>
            <w:rFonts w:ascii="Tahoma" w:hAnsi="Tahoma" w:cs="Tahoma"/>
            <w:color w:val="0D6BBC"/>
            <w:sz w:val="20"/>
            <w:szCs w:val="20"/>
          </w:rPr>
          <w:t>trustee obligations to develop an investment strategy</w:t>
        </w:r>
      </w:hyperlink>
    </w:p>
    <w:p w:rsidR="0077540C" w:rsidRPr="001E1213" w:rsidRDefault="0031056C" w:rsidP="001E1213">
      <w:pPr>
        <w:pStyle w:val="ListParagraph"/>
        <w:numPr>
          <w:ilvl w:val="0"/>
          <w:numId w:val="2"/>
        </w:numPr>
        <w:shd w:val="clear" w:color="auto" w:fill="FFFFFF"/>
        <w:spacing w:before="100" w:beforeAutospacing="1" w:after="100" w:afterAutospacing="1"/>
        <w:rPr>
          <w:rFonts w:ascii="Tahoma" w:hAnsi="Tahoma" w:cs="Tahoma"/>
          <w:color w:val="000000"/>
          <w:sz w:val="20"/>
          <w:szCs w:val="20"/>
        </w:rPr>
      </w:pPr>
      <w:hyperlink r:id="rId14" w:anchor="exit-strategy" w:history="1">
        <w:r w:rsidR="0077540C" w:rsidRPr="001E1213">
          <w:rPr>
            <w:rStyle w:val="Hyperlink"/>
            <w:rFonts w:ascii="Tahoma" w:hAnsi="Tahoma" w:cs="Tahoma"/>
            <w:color w:val="0D6BBC"/>
            <w:sz w:val="20"/>
            <w:szCs w:val="20"/>
          </w:rPr>
          <w:t>the need to consider an exit strategy</w:t>
        </w:r>
      </w:hyperlink>
    </w:p>
    <w:p w:rsidR="0077540C" w:rsidRPr="001E1213" w:rsidRDefault="0031056C" w:rsidP="001E1213">
      <w:pPr>
        <w:pStyle w:val="ListParagraph"/>
        <w:numPr>
          <w:ilvl w:val="0"/>
          <w:numId w:val="2"/>
        </w:numPr>
        <w:shd w:val="clear" w:color="auto" w:fill="FFFFFF"/>
        <w:spacing w:before="100" w:beforeAutospacing="1" w:after="100" w:afterAutospacing="1"/>
        <w:rPr>
          <w:rFonts w:ascii="Tahoma" w:hAnsi="Tahoma" w:cs="Tahoma"/>
          <w:color w:val="000000"/>
          <w:sz w:val="20"/>
          <w:szCs w:val="20"/>
        </w:rPr>
      </w:pPr>
      <w:hyperlink r:id="rId15" w:anchor="additional-information" w:history="1">
        <w:r w:rsidR="0077540C" w:rsidRPr="001E1213">
          <w:rPr>
            <w:rStyle w:val="Hyperlink"/>
            <w:rFonts w:ascii="Tahoma" w:hAnsi="Tahoma" w:cs="Tahoma"/>
            <w:color w:val="0D6BBC"/>
            <w:sz w:val="20"/>
            <w:szCs w:val="20"/>
          </w:rPr>
          <w:t>the additional information that must be included in a Statement of Advice </w:t>
        </w:r>
      </w:hyperlink>
      <w:r w:rsidR="0077540C" w:rsidRPr="001E1213">
        <w:rPr>
          <w:rFonts w:ascii="Tahoma" w:hAnsi="Tahoma" w:cs="Tahoma"/>
          <w:color w:val="000000"/>
          <w:sz w:val="20"/>
          <w:szCs w:val="20"/>
        </w:rPr>
        <w:t>(SOA).</w:t>
      </w:r>
    </w:p>
    <w:p w:rsidR="0040332B" w:rsidRPr="0040332B" w:rsidRDefault="0040332B" w:rsidP="0040332B">
      <w:pPr>
        <w:pStyle w:val="NormalWeb"/>
        <w:shd w:val="clear" w:color="auto" w:fill="FFFFFF"/>
        <w:ind w:left="360"/>
        <w:rPr>
          <w:rFonts w:ascii="Tahoma" w:hAnsi="Tahoma" w:cs="Tahoma"/>
          <w:color w:val="000000"/>
          <w:sz w:val="20"/>
          <w:szCs w:val="20"/>
        </w:rPr>
      </w:pPr>
      <w:r w:rsidRPr="0040332B">
        <w:rPr>
          <w:rFonts w:ascii="Tahoma" w:hAnsi="Tahoma" w:cs="Tahoma"/>
          <w:color w:val="000000"/>
          <w:sz w:val="20"/>
          <w:szCs w:val="20"/>
        </w:rPr>
        <w:lastRenderedPageBreak/>
        <w:t>It provides ‘compliance tips’, which indicate the factors that ASIC is likely to look more closely at as part of our surveillance activities.</w:t>
      </w:r>
    </w:p>
    <w:p w:rsidR="0040332B" w:rsidRPr="0040332B" w:rsidRDefault="0040332B" w:rsidP="0040332B">
      <w:pPr>
        <w:pStyle w:val="NormalWeb"/>
        <w:shd w:val="clear" w:color="auto" w:fill="FFFFFF"/>
        <w:ind w:left="360"/>
        <w:rPr>
          <w:rFonts w:ascii="Tahoma" w:hAnsi="Tahoma" w:cs="Tahoma"/>
          <w:color w:val="000000"/>
          <w:sz w:val="20"/>
          <w:szCs w:val="20"/>
        </w:rPr>
      </w:pPr>
      <w:r w:rsidRPr="0040332B">
        <w:rPr>
          <w:rFonts w:ascii="Tahoma" w:hAnsi="Tahoma" w:cs="Tahoma"/>
          <w:color w:val="000000"/>
          <w:sz w:val="20"/>
          <w:szCs w:val="20"/>
        </w:rPr>
        <w:t>It should also help AFS licensees and their representatives comply with the conduct and disclosure obligations in Parts 7.7 and 7.7A of the </w:t>
      </w:r>
      <w:r w:rsidRPr="0040332B">
        <w:rPr>
          <w:rStyle w:val="Emphasis"/>
          <w:rFonts w:ascii="Tahoma" w:hAnsi="Tahoma" w:cs="Tahoma"/>
          <w:color w:val="000000"/>
          <w:sz w:val="20"/>
          <w:szCs w:val="20"/>
        </w:rPr>
        <w:t>Corporations Act 2001</w:t>
      </w:r>
      <w:r w:rsidRPr="0040332B">
        <w:rPr>
          <w:rFonts w:ascii="Tahoma" w:hAnsi="Tahoma" w:cs="Tahoma"/>
          <w:color w:val="000000"/>
          <w:sz w:val="20"/>
          <w:szCs w:val="20"/>
        </w:rPr>
        <w:t> (Corporations Act).</w:t>
      </w:r>
    </w:p>
    <w:p w:rsidR="00494BD4" w:rsidRDefault="0040332B" w:rsidP="0040332B">
      <w:pPr>
        <w:pStyle w:val="NormalWeb"/>
        <w:shd w:val="clear" w:color="auto" w:fill="FFFFFF"/>
        <w:ind w:left="360"/>
        <w:rPr>
          <w:rFonts w:ascii="Tahoma" w:hAnsi="Tahoma" w:cs="Tahoma"/>
          <w:color w:val="000000"/>
          <w:sz w:val="20"/>
          <w:szCs w:val="20"/>
        </w:rPr>
      </w:pPr>
      <w:r w:rsidRPr="0040332B">
        <w:rPr>
          <w:rFonts w:ascii="Tahoma" w:hAnsi="Tahoma" w:cs="Tahoma"/>
          <w:color w:val="000000"/>
          <w:sz w:val="20"/>
          <w:szCs w:val="20"/>
        </w:rPr>
        <w:t>It focuses on the risks associated with setting up and switching to an SMSF, and should be read with Information Sheet 182 </w:t>
      </w:r>
      <w:r w:rsidRPr="0040332B">
        <w:rPr>
          <w:rStyle w:val="Emphasis"/>
          <w:rFonts w:ascii="Tahoma" w:hAnsi="Tahoma" w:cs="Tahoma"/>
          <w:color w:val="000000"/>
          <w:sz w:val="20"/>
          <w:szCs w:val="20"/>
        </w:rPr>
        <w:t>Super switching advice: Complying with your obligations</w:t>
      </w:r>
      <w:r w:rsidRPr="0040332B">
        <w:rPr>
          <w:rFonts w:ascii="Tahoma" w:hAnsi="Tahoma" w:cs="Tahoma"/>
          <w:color w:val="000000"/>
          <w:sz w:val="20"/>
          <w:szCs w:val="20"/>
        </w:rPr>
        <w:t> (</w:t>
      </w:r>
      <w:hyperlink r:id="rId16" w:tooltip="Super switching advice - complying with your obligations - INFO 182" w:history="1">
        <w:r w:rsidRPr="0040332B">
          <w:rPr>
            <w:rStyle w:val="Hyperlink"/>
            <w:rFonts w:ascii="Tahoma" w:hAnsi="Tahoma" w:cs="Tahoma"/>
            <w:color w:val="0D6BBC"/>
            <w:sz w:val="20"/>
            <w:szCs w:val="20"/>
          </w:rPr>
          <w:t>INFO 182</w:t>
        </w:r>
      </w:hyperlink>
      <w:r w:rsidRPr="0040332B">
        <w:rPr>
          <w:rFonts w:ascii="Tahoma" w:hAnsi="Tahoma" w:cs="Tahoma"/>
          <w:color w:val="000000"/>
          <w:sz w:val="20"/>
          <w:szCs w:val="20"/>
        </w:rPr>
        <w:t>) and Information Sheet 206 </w:t>
      </w:r>
      <w:r w:rsidRPr="0040332B">
        <w:rPr>
          <w:rStyle w:val="Emphasis"/>
          <w:rFonts w:ascii="Tahoma" w:hAnsi="Tahoma" w:cs="Tahoma"/>
          <w:color w:val="000000"/>
          <w:sz w:val="20"/>
          <w:szCs w:val="20"/>
        </w:rPr>
        <w:t>Advice on self-managed superannuation funds: Disclosure of costs</w:t>
      </w:r>
      <w:r w:rsidRPr="0040332B">
        <w:rPr>
          <w:rFonts w:ascii="Tahoma" w:hAnsi="Tahoma" w:cs="Tahoma"/>
          <w:color w:val="000000"/>
          <w:sz w:val="20"/>
          <w:szCs w:val="20"/>
        </w:rPr>
        <w:t> (</w:t>
      </w:r>
      <w:hyperlink r:id="rId17" w:tooltip="Advice on self-managed superannuation funds: Disclosure of costs" w:history="1">
        <w:r w:rsidRPr="0040332B">
          <w:rPr>
            <w:rStyle w:val="Hyperlink"/>
            <w:rFonts w:ascii="Tahoma" w:hAnsi="Tahoma" w:cs="Tahoma"/>
            <w:color w:val="0D6BBC"/>
            <w:sz w:val="20"/>
            <w:szCs w:val="20"/>
          </w:rPr>
          <w:t>INFO 206</w:t>
        </w:r>
      </w:hyperlink>
      <w:r w:rsidRPr="0040332B">
        <w:rPr>
          <w:rFonts w:ascii="Tahoma" w:hAnsi="Tahoma" w:cs="Tahoma"/>
          <w:color w:val="000000"/>
          <w:sz w:val="20"/>
          <w:szCs w:val="20"/>
        </w:rPr>
        <w:t>).</w:t>
      </w:r>
    </w:p>
    <w:p w:rsidR="0040332B" w:rsidRPr="00494BD4" w:rsidRDefault="00494BD4" w:rsidP="00494BD4">
      <w:pPr>
        <w:pStyle w:val="Heading2"/>
        <w:shd w:val="clear" w:color="auto" w:fill="FFFFFF"/>
        <w:rPr>
          <w:rFonts w:ascii="Tahoma" w:hAnsi="Tahoma" w:cs="Tahoma"/>
          <w:b/>
          <w:bCs/>
          <w:color w:val="000000"/>
        </w:rPr>
      </w:pPr>
      <w:bookmarkStart w:id="1" w:name="_Toc491678241"/>
      <w:r w:rsidRPr="00494BD4">
        <w:rPr>
          <w:rFonts w:ascii="Tahoma" w:hAnsi="Tahoma" w:cs="Tahoma"/>
          <w:b/>
          <w:bCs/>
          <w:color w:val="000000"/>
        </w:rPr>
        <w:t>INFO 205</w:t>
      </w:r>
      <w:bookmarkEnd w:id="1"/>
    </w:p>
    <w:p w:rsidR="00494BD4" w:rsidRPr="00494BD4" w:rsidRDefault="00494BD4" w:rsidP="00494BD4">
      <w:pPr>
        <w:pStyle w:val="Heading2"/>
        <w:shd w:val="clear" w:color="auto" w:fill="FFFFFF"/>
        <w:rPr>
          <w:rFonts w:ascii="Tahoma" w:hAnsi="Tahoma" w:cs="Tahoma"/>
          <w:color w:val="000000"/>
          <w:sz w:val="22"/>
          <w:szCs w:val="22"/>
        </w:rPr>
      </w:pPr>
      <w:bookmarkStart w:id="2" w:name="_Toc491678242"/>
      <w:r w:rsidRPr="00494BD4">
        <w:rPr>
          <w:rFonts w:ascii="Tahoma" w:hAnsi="Tahoma" w:cs="Tahoma"/>
          <w:b/>
          <w:bCs/>
          <w:color w:val="000000"/>
          <w:sz w:val="22"/>
          <w:szCs w:val="22"/>
        </w:rPr>
        <w:t>Lack of statutory compensation</w:t>
      </w:r>
      <w:bookmarkEnd w:id="2"/>
    </w:p>
    <w:p w:rsidR="00494BD4" w:rsidRPr="00494BD4" w:rsidRDefault="00494BD4" w:rsidP="00494BD4">
      <w:pPr>
        <w:pStyle w:val="NormalWeb"/>
        <w:shd w:val="clear" w:color="auto" w:fill="FFFFFF"/>
        <w:rPr>
          <w:rFonts w:ascii="Tahoma" w:hAnsi="Tahoma" w:cs="Tahoma"/>
          <w:color w:val="000000"/>
          <w:sz w:val="20"/>
          <w:szCs w:val="20"/>
        </w:rPr>
      </w:pPr>
      <w:r w:rsidRPr="00494BD4">
        <w:rPr>
          <w:rFonts w:ascii="Tahoma" w:hAnsi="Tahoma" w:cs="Tahoma"/>
          <w:color w:val="000000"/>
          <w:sz w:val="20"/>
          <w:szCs w:val="20"/>
        </w:rPr>
        <w:t>When advising a retail client to transfer (the whole or part of) an existing superannuation account balance from a superannuation fund regulated by the Australian Prudential Regulation Authority (APRA) to an SMSF, the client should be made aware that SMSFs are not subject to the same government protections that are available in APRA-regulated superannuation funds, such as statutory compensation in the event of theft or fraud.</w:t>
      </w:r>
    </w:p>
    <w:p w:rsidR="00494BD4" w:rsidRPr="00494BD4" w:rsidRDefault="00494BD4" w:rsidP="00494BD4">
      <w:pPr>
        <w:pStyle w:val="NormalWeb"/>
        <w:shd w:val="clear" w:color="auto" w:fill="FFFFFF"/>
        <w:rPr>
          <w:rFonts w:ascii="Tahoma" w:hAnsi="Tahoma" w:cs="Tahoma"/>
          <w:color w:val="000000"/>
          <w:sz w:val="20"/>
          <w:szCs w:val="20"/>
        </w:rPr>
      </w:pPr>
      <w:r w:rsidRPr="00494BD4">
        <w:rPr>
          <w:rFonts w:ascii="Tahoma" w:hAnsi="Tahoma" w:cs="Tahoma"/>
          <w:color w:val="000000"/>
          <w:sz w:val="20"/>
          <w:szCs w:val="20"/>
        </w:rPr>
        <w:t>Examples of appropriate disclosure when advising a retail client to set up an SMSF are:</w:t>
      </w:r>
    </w:p>
    <w:p w:rsidR="00494BD4" w:rsidRPr="00494BD4" w:rsidRDefault="00494BD4" w:rsidP="00494BD4">
      <w:pPr>
        <w:numPr>
          <w:ilvl w:val="0"/>
          <w:numId w:val="3"/>
        </w:numPr>
        <w:shd w:val="clear" w:color="auto" w:fill="FFFFFF"/>
        <w:spacing w:before="100" w:beforeAutospacing="1" w:after="100" w:afterAutospacing="1"/>
        <w:ind w:left="709" w:hanging="425"/>
        <w:rPr>
          <w:rFonts w:ascii="Tahoma" w:hAnsi="Tahoma" w:cs="Tahoma"/>
          <w:color w:val="000000"/>
          <w:sz w:val="20"/>
          <w:szCs w:val="20"/>
        </w:rPr>
      </w:pPr>
      <w:r w:rsidRPr="00494BD4">
        <w:rPr>
          <w:rFonts w:ascii="Tahoma" w:hAnsi="Tahoma" w:cs="Tahoma"/>
          <w:color w:val="000000"/>
          <w:sz w:val="20"/>
          <w:szCs w:val="20"/>
        </w:rPr>
        <w:t>the client is taking themselves outside the compensation framework available to investors in an APRA-regulated superannuation fund in the event of theft or fraud on the fund</w:t>
      </w:r>
    </w:p>
    <w:p w:rsidR="00494BD4" w:rsidRPr="00494BD4" w:rsidRDefault="00494BD4" w:rsidP="00494BD4">
      <w:pPr>
        <w:numPr>
          <w:ilvl w:val="0"/>
          <w:numId w:val="3"/>
        </w:numPr>
        <w:shd w:val="clear" w:color="auto" w:fill="FFFFFF"/>
        <w:spacing w:before="100" w:beforeAutospacing="1" w:after="100" w:afterAutospacing="1"/>
        <w:ind w:left="709" w:hanging="425"/>
        <w:rPr>
          <w:rFonts w:ascii="Tahoma" w:hAnsi="Tahoma" w:cs="Tahoma"/>
          <w:color w:val="000000"/>
          <w:sz w:val="20"/>
          <w:szCs w:val="20"/>
        </w:rPr>
      </w:pPr>
      <w:r w:rsidRPr="00494BD4">
        <w:rPr>
          <w:rFonts w:ascii="Tahoma" w:hAnsi="Tahoma" w:cs="Tahoma"/>
          <w:color w:val="000000"/>
          <w:sz w:val="20"/>
          <w:szCs w:val="20"/>
        </w:rPr>
        <w:t>the client will not be eligible for compensation under superannuation laws if the SMSF suffers loss as a result of theft or fraud in the underlying investment asset.</w:t>
      </w:r>
    </w:p>
    <w:p w:rsidR="00494BD4" w:rsidRPr="00494BD4" w:rsidRDefault="00494BD4" w:rsidP="00494BD4">
      <w:pPr>
        <w:pStyle w:val="NormalWeb"/>
        <w:shd w:val="clear" w:color="auto" w:fill="FFFFFF"/>
        <w:rPr>
          <w:rFonts w:ascii="Tahoma" w:hAnsi="Tahoma" w:cs="Tahoma"/>
          <w:color w:val="000000"/>
          <w:sz w:val="20"/>
          <w:szCs w:val="20"/>
        </w:rPr>
      </w:pPr>
      <w:r w:rsidRPr="00494BD4">
        <w:rPr>
          <w:rFonts w:ascii="Tahoma" w:hAnsi="Tahoma" w:cs="Tahoma"/>
          <w:color w:val="000000"/>
          <w:sz w:val="20"/>
          <w:szCs w:val="20"/>
        </w:rPr>
        <w:t>Even if no transfer is involved, when advising a retail client to set up an SMSF, advisers should make it clear that these government protections are not available to SMSFs.</w:t>
      </w:r>
    </w:p>
    <w:p w:rsidR="00494BD4" w:rsidRPr="00D250CF" w:rsidRDefault="00494BD4" w:rsidP="00494BD4">
      <w:pPr>
        <w:pStyle w:val="in-page"/>
        <w:shd w:val="clear" w:color="auto" w:fill="F0EEE9"/>
        <w:spacing w:after="240" w:afterAutospacing="0"/>
        <w:rPr>
          <w:rFonts w:ascii="Tahoma" w:hAnsi="Tahoma" w:cs="Tahoma"/>
          <w:color w:val="000000"/>
          <w:sz w:val="20"/>
          <w:szCs w:val="20"/>
        </w:rPr>
      </w:pPr>
      <w:r w:rsidRPr="00D250CF">
        <w:rPr>
          <w:rStyle w:val="Strong"/>
          <w:rFonts w:ascii="Tahoma" w:hAnsi="Tahoma" w:cs="Tahoma"/>
          <w:color w:val="000000"/>
          <w:sz w:val="20"/>
          <w:szCs w:val="20"/>
        </w:rPr>
        <w:t>Compliance tip:</w:t>
      </w:r>
      <w:r w:rsidRPr="00D250CF">
        <w:rPr>
          <w:rFonts w:ascii="Tahoma" w:hAnsi="Tahoma" w:cs="Tahoma"/>
          <w:color w:val="000000"/>
          <w:sz w:val="20"/>
          <w:szCs w:val="20"/>
        </w:rPr>
        <w:t> We are likely to look at whether the client received advice on the lack of statutory compensation when they received a recommendation to switch their superannuation from an APRA-regulated superannuation fund to an SMSF.</w:t>
      </w:r>
    </w:p>
    <w:p w:rsidR="0031056C" w:rsidRDefault="0031056C" w:rsidP="00D250CF">
      <w:pPr>
        <w:pStyle w:val="Heading2"/>
        <w:shd w:val="clear" w:color="auto" w:fill="FFFFFF"/>
        <w:rPr>
          <w:rFonts w:ascii="Tahoma" w:hAnsi="Tahoma" w:cs="Tahoma"/>
          <w:b/>
          <w:bCs/>
          <w:color w:val="000000"/>
          <w:sz w:val="22"/>
          <w:szCs w:val="22"/>
        </w:rPr>
      </w:pPr>
      <w:bookmarkStart w:id="3" w:name="_Toc491678243"/>
    </w:p>
    <w:p w:rsidR="00D250CF" w:rsidRPr="00D250CF" w:rsidRDefault="00D250CF" w:rsidP="00D250CF">
      <w:pPr>
        <w:pStyle w:val="Heading2"/>
        <w:shd w:val="clear" w:color="auto" w:fill="FFFFFF"/>
        <w:rPr>
          <w:rFonts w:ascii="Tahoma" w:hAnsi="Tahoma" w:cs="Tahoma"/>
          <w:color w:val="000000"/>
          <w:sz w:val="22"/>
          <w:szCs w:val="22"/>
        </w:rPr>
      </w:pPr>
      <w:r w:rsidRPr="00D250CF">
        <w:rPr>
          <w:rFonts w:ascii="Tahoma" w:hAnsi="Tahoma" w:cs="Tahoma"/>
          <w:b/>
          <w:bCs/>
          <w:color w:val="000000"/>
          <w:sz w:val="22"/>
          <w:szCs w:val="22"/>
        </w:rPr>
        <w:t>Impact on insurance</w:t>
      </w:r>
      <w:bookmarkEnd w:id="3"/>
    </w:p>
    <w:p w:rsidR="00D250CF" w:rsidRPr="00D250CF" w:rsidRDefault="00D250CF" w:rsidP="00D250CF">
      <w:pPr>
        <w:pStyle w:val="NormalWeb"/>
        <w:shd w:val="clear" w:color="auto" w:fill="FFFFFF"/>
        <w:rPr>
          <w:rFonts w:ascii="Tahoma" w:hAnsi="Tahoma" w:cs="Tahoma"/>
          <w:color w:val="000000"/>
          <w:sz w:val="20"/>
          <w:szCs w:val="20"/>
        </w:rPr>
      </w:pPr>
      <w:r w:rsidRPr="00D250CF">
        <w:rPr>
          <w:rFonts w:ascii="Tahoma" w:hAnsi="Tahoma" w:cs="Tahoma"/>
          <w:color w:val="000000"/>
          <w:sz w:val="20"/>
          <w:szCs w:val="20"/>
        </w:rPr>
        <w:t>Advisers should consider a retail client’s need for appropriate and affordable life and total and permanent disability (TPD) insurance cover, and also include this information in the SOA.</w:t>
      </w:r>
    </w:p>
    <w:p w:rsidR="00D250CF" w:rsidRPr="00D250CF" w:rsidRDefault="00D250CF" w:rsidP="00D250CF">
      <w:pPr>
        <w:pStyle w:val="NormalWeb"/>
        <w:shd w:val="clear" w:color="auto" w:fill="FFFFFF"/>
        <w:rPr>
          <w:rFonts w:ascii="Tahoma" w:hAnsi="Tahoma" w:cs="Tahoma"/>
          <w:color w:val="000000"/>
          <w:sz w:val="20"/>
          <w:szCs w:val="20"/>
        </w:rPr>
      </w:pPr>
      <w:r w:rsidRPr="00D250CF">
        <w:rPr>
          <w:rFonts w:ascii="Tahoma" w:hAnsi="Tahoma" w:cs="Tahoma"/>
          <w:color w:val="000000"/>
          <w:sz w:val="20"/>
          <w:szCs w:val="20"/>
        </w:rPr>
        <w:t>Unless the SMSF trustee specifically takes out insurance for fund members, there may be no cover. Our experience is that life and TPD insurance is generally more expensive and harder to obtain for SMSFs than for larger APRA-regulated superannuation funds, which can often also offer default levels of cover without a medical assessment.</w:t>
      </w:r>
    </w:p>
    <w:p w:rsidR="00D250CF" w:rsidRPr="00D250CF" w:rsidRDefault="00D250CF" w:rsidP="00D250CF">
      <w:pPr>
        <w:pStyle w:val="NormalWeb"/>
        <w:shd w:val="clear" w:color="auto" w:fill="FFFFFF"/>
        <w:rPr>
          <w:rFonts w:ascii="Tahoma" w:hAnsi="Tahoma" w:cs="Tahoma"/>
          <w:color w:val="000000"/>
          <w:sz w:val="20"/>
          <w:szCs w:val="20"/>
        </w:rPr>
      </w:pPr>
      <w:r w:rsidRPr="00D250CF">
        <w:rPr>
          <w:rFonts w:ascii="Tahoma" w:hAnsi="Tahoma" w:cs="Tahoma"/>
          <w:color w:val="000000"/>
          <w:sz w:val="20"/>
          <w:szCs w:val="20"/>
        </w:rPr>
        <w:t>The lack of insurance cover may have significant consequences.</w:t>
      </w:r>
    </w:p>
    <w:p w:rsidR="00D250CF" w:rsidRPr="00D250CF" w:rsidRDefault="00D250CF" w:rsidP="00D250CF">
      <w:pPr>
        <w:shd w:val="clear" w:color="auto" w:fill="F0EEE9"/>
        <w:rPr>
          <w:rFonts w:ascii="Tahoma" w:hAnsi="Tahoma" w:cs="Tahoma"/>
          <w:color w:val="000000"/>
          <w:sz w:val="20"/>
          <w:szCs w:val="20"/>
        </w:rPr>
      </w:pPr>
      <w:r w:rsidRPr="00D250CF">
        <w:rPr>
          <w:rStyle w:val="Strong"/>
          <w:rFonts w:ascii="Tahoma" w:hAnsi="Tahoma" w:cs="Tahoma"/>
          <w:color w:val="000000"/>
          <w:sz w:val="20"/>
          <w:szCs w:val="20"/>
        </w:rPr>
        <w:t>Compliance tip:</w:t>
      </w:r>
      <w:r w:rsidRPr="00D250CF">
        <w:rPr>
          <w:rFonts w:ascii="Tahoma" w:hAnsi="Tahoma" w:cs="Tahoma"/>
          <w:color w:val="000000"/>
          <w:sz w:val="20"/>
          <w:szCs w:val="20"/>
        </w:rPr>
        <w:t> We are likely to look at whether the adviser has considered the costs and benefits of the following options for the client, including:</w:t>
      </w:r>
    </w:p>
    <w:p w:rsidR="00D250CF" w:rsidRPr="00D250CF" w:rsidRDefault="00D250CF" w:rsidP="00D250CF">
      <w:pPr>
        <w:numPr>
          <w:ilvl w:val="0"/>
          <w:numId w:val="4"/>
        </w:numPr>
        <w:shd w:val="clear" w:color="auto" w:fill="F0EEE9"/>
        <w:spacing w:before="100" w:beforeAutospacing="1" w:after="100" w:afterAutospacing="1"/>
        <w:ind w:left="0"/>
        <w:rPr>
          <w:rFonts w:ascii="Tahoma" w:hAnsi="Tahoma" w:cs="Tahoma"/>
          <w:color w:val="000000"/>
          <w:sz w:val="20"/>
          <w:szCs w:val="20"/>
        </w:rPr>
      </w:pPr>
      <w:r w:rsidRPr="00D250CF">
        <w:rPr>
          <w:rFonts w:ascii="Tahoma" w:hAnsi="Tahoma" w:cs="Tahoma"/>
          <w:color w:val="000000"/>
          <w:sz w:val="20"/>
          <w:szCs w:val="20"/>
        </w:rPr>
        <w:t>not fully closing down the client’s existing APRA-regulated superannuation fund to maintain their existing life and TPD insurance cover</w:t>
      </w:r>
    </w:p>
    <w:p w:rsidR="00D250CF" w:rsidRPr="00D250CF" w:rsidRDefault="00D250CF" w:rsidP="00D250CF">
      <w:pPr>
        <w:numPr>
          <w:ilvl w:val="0"/>
          <w:numId w:val="4"/>
        </w:numPr>
        <w:shd w:val="clear" w:color="auto" w:fill="F0EEE9"/>
        <w:spacing w:before="100" w:beforeAutospacing="1" w:after="100" w:afterAutospacing="1"/>
        <w:ind w:left="0"/>
        <w:rPr>
          <w:rFonts w:ascii="Tahoma" w:hAnsi="Tahoma" w:cs="Tahoma"/>
          <w:color w:val="000000"/>
          <w:sz w:val="20"/>
          <w:szCs w:val="20"/>
        </w:rPr>
      </w:pPr>
      <w:r w:rsidRPr="00D250CF">
        <w:rPr>
          <w:rFonts w:ascii="Tahoma" w:hAnsi="Tahoma" w:cs="Tahoma"/>
          <w:color w:val="000000"/>
          <w:sz w:val="20"/>
          <w:szCs w:val="20"/>
        </w:rPr>
        <w:t>not holding any life and TPD insurance, or</w:t>
      </w:r>
    </w:p>
    <w:p w:rsidR="00D250CF" w:rsidRPr="00D250CF" w:rsidRDefault="00D250CF" w:rsidP="00D250CF">
      <w:pPr>
        <w:numPr>
          <w:ilvl w:val="0"/>
          <w:numId w:val="4"/>
        </w:numPr>
        <w:shd w:val="clear" w:color="auto" w:fill="F0EEE9"/>
        <w:spacing w:before="100" w:beforeAutospacing="1" w:after="100" w:afterAutospacing="1"/>
        <w:ind w:left="0"/>
        <w:rPr>
          <w:rFonts w:ascii="Tahoma" w:hAnsi="Tahoma" w:cs="Tahoma"/>
          <w:color w:val="000000"/>
          <w:sz w:val="20"/>
          <w:szCs w:val="20"/>
        </w:rPr>
      </w:pPr>
      <w:r w:rsidRPr="00D250CF">
        <w:rPr>
          <w:rFonts w:ascii="Tahoma" w:hAnsi="Tahoma" w:cs="Tahoma"/>
          <w:color w:val="000000"/>
          <w:sz w:val="20"/>
          <w:szCs w:val="20"/>
        </w:rPr>
        <w:t>replacing existing cover with a new insurance policy taken out by the SMSF on behalf of some or all of the members of the SMSF.</w:t>
      </w:r>
    </w:p>
    <w:p w:rsidR="00D250CF" w:rsidRPr="00D250CF" w:rsidRDefault="00D250CF" w:rsidP="00D250CF">
      <w:pPr>
        <w:shd w:val="clear" w:color="auto" w:fill="F0EEE9"/>
        <w:rPr>
          <w:rFonts w:ascii="Tahoma" w:hAnsi="Tahoma" w:cs="Tahoma"/>
          <w:color w:val="000000"/>
          <w:sz w:val="20"/>
          <w:szCs w:val="20"/>
        </w:rPr>
      </w:pPr>
      <w:r w:rsidRPr="00D250CF">
        <w:rPr>
          <w:rFonts w:ascii="Tahoma" w:hAnsi="Tahoma" w:cs="Tahoma"/>
          <w:color w:val="000000"/>
          <w:sz w:val="20"/>
          <w:szCs w:val="20"/>
        </w:rPr>
        <w:lastRenderedPageBreak/>
        <w:t>We are likely to be particularly concerned if:</w:t>
      </w:r>
    </w:p>
    <w:p w:rsidR="00D250CF" w:rsidRPr="00D250CF" w:rsidRDefault="00D250CF" w:rsidP="00D250CF">
      <w:pPr>
        <w:numPr>
          <w:ilvl w:val="0"/>
          <w:numId w:val="5"/>
        </w:numPr>
        <w:shd w:val="clear" w:color="auto" w:fill="F0EEE9"/>
        <w:spacing w:before="100" w:beforeAutospacing="1" w:after="100" w:afterAutospacing="1"/>
        <w:ind w:left="0"/>
        <w:rPr>
          <w:rFonts w:ascii="Tahoma" w:hAnsi="Tahoma" w:cs="Tahoma"/>
          <w:color w:val="000000"/>
          <w:sz w:val="20"/>
          <w:szCs w:val="20"/>
        </w:rPr>
      </w:pPr>
      <w:r w:rsidRPr="00D250CF">
        <w:rPr>
          <w:rFonts w:ascii="Tahoma" w:hAnsi="Tahoma" w:cs="Tahoma"/>
          <w:color w:val="000000"/>
          <w:sz w:val="20"/>
          <w:szCs w:val="20"/>
        </w:rPr>
        <w:t>the client had an existing life and TPD insurance policy, but the adviser did not consider the risk of losing this cover when recommending the establishment of an SMSF</w:t>
      </w:r>
    </w:p>
    <w:p w:rsidR="00D250CF" w:rsidRPr="00D250CF" w:rsidRDefault="00D250CF" w:rsidP="00D250CF">
      <w:pPr>
        <w:numPr>
          <w:ilvl w:val="0"/>
          <w:numId w:val="5"/>
        </w:numPr>
        <w:shd w:val="clear" w:color="auto" w:fill="F0EEE9"/>
        <w:spacing w:before="100" w:beforeAutospacing="1" w:after="100" w:afterAutospacing="1"/>
        <w:ind w:left="0"/>
        <w:rPr>
          <w:rFonts w:ascii="Tahoma" w:hAnsi="Tahoma" w:cs="Tahoma"/>
          <w:color w:val="000000"/>
          <w:sz w:val="20"/>
          <w:szCs w:val="20"/>
        </w:rPr>
      </w:pPr>
      <w:r w:rsidRPr="00D250CF">
        <w:rPr>
          <w:rFonts w:ascii="Tahoma" w:hAnsi="Tahoma" w:cs="Tahoma"/>
          <w:color w:val="000000"/>
          <w:sz w:val="20"/>
          <w:szCs w:val="20"/>
        </w:rPr>
        <w:t>there was no consideration of the client’s life and TPD insurance needs when they are not yet a retiree and have not accumulated a superannuation balance to be sufficiently self-insured.</w:t>
      </w:r>
    </w:p>
    <w:p w:rsidR="00D250CF" w:rsidRPr="00D250CF" w:rsidRDefault="00D250CF" w:rsidP="00D250CF">
      <w:pPr>
        <w:pStyle w:val="Heading2"/>
        <w:shd w:val="clear" w:color="auto" w:fill="FFFFFF"/>
        <w:rPr>
          <w:rFonts w:ascii="Tahoma" w:hAnsi="Tahoma" w:cs="Tahoma"/>
          <w:b/>
          <w:bCs/>
          <w:color w:val="000000"/>
          <w:sz w:val="22"/>
          <w:szCs w:val="22"/>
        </w:rPr>
      </w:pPr>
      <w:bookmarkStart w:id="4" w:name="access-to-complaints-mechanisms"/>
      <w:bookmarkStart w:id="5" w:name="_Toc491678244"/>
      <w:bookmarkEnd w:id="4"/>
      <w:r w:rsidRPr="00D250CF">
        <w:rPr>
          <w:rFonts w:ascii="Tahoma" w:hAnsi="Tahoma" w:cs="Tahoma"/>
          <w:b/>
          <w:bCs/>
          <w:color w:val="000000"/>
          <w:sz w:val="22"/>
          <w:szCs w:val="22"/>
        </w:rPr>
        <w:t>Access to complaints mechanisms</w:t>
      </w:r>
      <w:bookmarkEnd w:id="5"/>
    </w:p>
    <w:p w:rsidR="00D250CF" w:rsidRPr="00D250CF" w:rsidRDefault="00D250CF" w:rsidP="00D250CF">
      <w:pPr>
        <w:pStyle w:val="NormalWeb"/>
        <w:shd w:val="clear" w:color="auto" w:fill="FFFFFF"/>
        <w:rPr>
          <w:rFonts w:ascii="Tahoma" w:hAnsi="Tahoma" w:cs="Tahoma"/>
          <w:color w:val="000000"/>
          <w:sz w:val="20"/>
          <w:szCs w:val="20"/>
        </w:rPr>
      </w:pPr>
      <w:r w:rsidRPr="00D250CF">
        <w:rPr>
          <w:rFonts w:ascii="Tahoma" w:hAnsi="Tahoma" w:cs="Tahoma"/>
          <w:color w:val="000000"/>
          <w:sz w:val="20"/>
          <w:szCs w:val="20"/>
        </w:rPr>
        <w:t>Retail clients should understand that certain dispute resolution mechanisms, such as the Superannuation Complaints Tribunal (SCT), may not be available to SMSFs.</w:t>
      </w:r>
    </w:p>
    <w:p w:rsidR="00D250CF" w:rsidRPr="00D250CF" w:rsidRDefault="00D250CF" w:rsidP="00D250CF">
      <w:pPr>
        <w:pStyle w:val="NormalWeb"/>
        <w:shd w:val="clear" w:color="auto" w:fill="FFFFFF"/>
        <w:rPr>
          <w:rFonts w:ascii="Tahoma" w:hAnsi="Tahoma" w:cs="Tahoma"/>
          <w:color w:val="000000"/>
          <w:sz w:val="20"/>
          <w:szCs w:val="20"/>
        </w:rPr>
      </w:pPr>
      <w:r w:rsidRPr="00D250CF">
        <w:rPr>
          <w:rFonts w:ascii="Tahoma" w:hAnsi="Tahoma" w:cs="Tahoma"/>
          <w:color w:val="000000"/>
          <w:sz w:val="20"/>
          <w:szCs w:val="20"/>
        </w:rPr>
        <w:t>However, the types of disputes and complaints that may arise for SMSF investors may be different from those in an APRA-regulated superannuation fund, and access to other complaints mechanisms may be available to SMSF investors (e.g. the Financial Ombudsman Service Limited or the Credit and Investments Ombudsman).</w:t>
      </w:r>
    </w:p>
    <w:p w:rsidR="00D250CF" w:rsidRPr="00D250CF" w:rsidRDefault="00D250CF" w:rsidP="00D250CF">
      <w:pPr>
        <w:pStyle w:val="in-page"/>
        <w:shd w:val="clear" w:color="auto" w:fill="F0EEE9"/>
        <w:spacing w:after="240" w:afterAutospacing="0"/>
        <w:rPr>
          <w:rFonts w:ascii="Tahoma" w:hAnsi="Tahoma" w:cs="Tahoma"/>
          <w:color w:val="000000"/>
          <w:sz w:val="20"/>
          <w:szCs w:val="20"/>
        </w:rPr>
      </w:pPr>
      <w:r w:rsidRPr="00D250CF">
        <w:rPr>
          <w:rStyle w:val="Strong"/>
          <w:rFonts w:ascii="Tahoma" w:hAnsi="Tahoma" w:cs="Tahoma"/>
          <w:color w:val="000000"/>
          <w:sz w:val="20"/>
          <w:szCs w:val="20"/>
        </w:rPr>
        <w:t>Compliance tip:</w:t>
      </w:r>
      <w:r w:rsidRPr="00D250CF">
        <w:rPr>
          <w:rFonts w:ascii="Tahoma" w:hAnsi="Tahoma" w:cs="Tahoma"/>
          <w:color w:val="000000"/>
          <w:sz w:val="20"/>
          <w:szCs w:val="20"/>
        </w:rPr>
        <w:t> We are likely to look at whether the adviser has explained that in switching to an SMSF, the client will not be able to access certain dispute resolution mechanisms (e.g. the SCT).</w:t>
      </w:r>
    </w:p>
    <w:p w:rsidR="00582A31" w:rsidRDefault="00582A31" w:rsidP="00D250CF">
      <w:pPr>
        <w:pStyle w:val="Heading2"/>
        <w:shd w:val="clear" w:color="auto" w:fill="FFFFFF"/>
        <w:rPr>
          <w:rFonts w:ascii="Tahoma" w:hAnsi="Tahoma" w:cs="Tahoma"/>
          <w:b/>
          <w:bCs/>
          <w:color w:val="000000"/>
          <w:sz w:val="22"/>
          <w:szCs w:val="22"/>
        </w:rPr>
      </w:pPr>
      <w:bookmarkStart w:id="6" w:name="different-smsf-structures"/>
      <w:bookmarkStart w:id="7" w:name="_Toc491678245"/>
      <w:bookmarkEnd w:id="6"/>
    </w:p>
    <w:p w:rsidR="00D250CF" w:rsidRPr="00D250CF" w:rsidRDefault="00D250CF" w:rsidP="00D250CF">
      <w:pPr>
        <w:pStyle w:val="Heading2"/>
        <w:shd w:val="clear" w:color="auto" w:fill="FFFFFF"/>
        <w:rPr>
          <w:rFonts w:ascii="Tahoma" w:hAnsi="Tahoma" w:cs="Tahoma"/>
          <w:b/>
          <w:bCs/>
          <w:color w:val="000000"/>
          <w:sz w:val="22"/>
          <w:szCs w:val="22"/>
        </w:rPr>
      </w:pPr>
      <w:r w:rsidRPr="00D250CF">
        <w:rPr>
          <w:rFonts w:ascii="Tahoma" w:hAnsi="Tahoma" w:cs="Tahoma"/>
          <w:b/>
          <w:bCs/>
          <w:color w:val="000000"/>
          <w:sz w:val="22"/>
          <w:szCs w:val="22"/>
        </w:rPr>
        <w:t>The appropriateness of different SMSF structures</w:t>
      </w:r>
      <w:bookmarkEnd w:id="7"/>
    </w:p>
    <w:p w:rsidR="00D250CF" w:rsidRPr="00D250CF" w:rsidRDefault="00D250CF" w:rsidP="00D250CF">
      <w:pPr>
        <w:pStyle w:val="NormalWeb"/>
        <w:shd w:val="clear" w:color="auto" w:fill="FFFFFF"/>
        <w:rPr>
          <w:rFonts w:ascii="Tahoma" w:hAnsi="Tahoma" w:cs="Tahoma"/>
          <w:color w:val="000000"/>
          <w:sz w:val="20"/>
          <w:szCs w:val="20"/>
        </w:rPr>
      </w:pPr>
      <w:r w:rsidRPr="00D250CF">
        <w:rPr>
          <w:rFonts w:ascii="Tahoma" w:hAnsi="Tahoma" w:cs="Tahoma"/>
          <w:color w:val="000000"/>
          <w:sz w:val="20"/>
          <w:szCs w:val="20"/>
        </w:rPr>
        <w:t>Advisers should consider and advise a retail client on the most appropriate SMSF structure when establishing an SMSF. Selecting the most appropriate structure (i.e. a corporate or individual trustee structure) can have important tax and succession planning implications for clients. It can also be costly to change structures, ownership of assets and trustees after the SMSF has been established.</w:t>
      </w:r>
    </w:p>
    <w:p w:rsidR="00D250CF" w:rsidRPr="00D250CF" w:rsidRDefault="00D250CF" w:rsidP="00D250CF">
      <w:pPr>
        <w:pStyle w:val="in-page"/>
        <w:shd w:val="clear" w:color="auto" w:fill="F0EEE9"/>
        <w:spacing w:after="240" w:afterAutospacing="0"/>
        <w:rPr>
          <w:rFonts w:ascii="Tahoma" w:hAnsi="Tahoma" w:cs="Tahoma"/>
          <w:color w:val="000000"/>
          <w:sz w:val="20"/>
          <w:szCs w:val="20"/>
        </w:rPr>
      </w:pPr>
      <w:r w:rsidRPr="00D250CF">
        <w:rPr>
          <w:rStyle w:val="Strong"/>
          <w:rFonts w:ascii="Tahoma" w:hAnsi="Tahoma" w:cs="Tahoma"/>
          <w:color w:val="000000"/>
          <w:sz w:val="20"/>
          <w:szCs w:val="20"/>
        </w:rPr>
        <w:t>Compliance tip:</w:t>
      </w:r>
      <w:r w:rsidRPr="00D250CF">
        <w:rPr>
          <w:rFonts w:ascii="Tahoma" w:hAnsi="Tahoma" w:cs="Tahoma"/>
          <w:color w:val="000000"/>
          <w:sz w:val="20"/>
          <w:szCs w:val="20"/>
        </w:rPr>
        <w:t> We are likely to look at whether clients have been adequately advised on SMSF structures. We are likely to be particularly concerned if a client has been directed to an SMSF without consideration of the appropriateness of the SMSF structure, or if the client has been directed to a particular type of SMSF structure without consideration of its appropriateness.</w:t>
      </w:r>
    </w:p>
    <w:p w:rsidR="00582A31" w:rsidRDefault="00582A31" w:rsidP="00D250CF">
      <w:pPr>
        <w:pStyle w:val="Heading2"/>
        <w:shd w:val="clear" w:color="auto" w:fill="FFFFFF"/>
        <w:rPr>
          <w:rFonts w:ascii="Tahoma" w:hAnsi="Tahoma" w:cs="Tahoma"/>
          <w:b/>
          <w:bCs/>
          <w:color w:val="000000"/>
          <w:sz w:val="22"/>
          <w:szCs w:val="22"/>
        </w:rPr>
      </w:pPr>
      <w:bookmarkStart w:id="8" w:name="trustee-obligations-time-and-skills"/>
      <w:bookmarkStart w:id="9" w:name="_Toc491678246"/>
      <w:bookmarkEnd w:id="8"/>
    </w:p>
    <w:p w:rsidR="00D250CF" w:rsidRPr="00D250CF" w:rsidRDefault="00D250CF" w:rsidP="00D250CF">
      <w:pPr>
        <w:pStyle w:val="Heading2"/>
        <w:shd w:val="clear" w:color="auto" w:fill="FFFFFF"/>
        <w:rPr>
          <w:rFonts w:ascii="Tahoma" w:hAnsi="Tahoma" w:cs="Tahoma"/>
          <w:b/>
          <w:bCs/>
          <w:color w:val="000000"/>
          <w:sz w:val="22"/>
          <w:szCs w:val="22"/>
        </w:rPr>
      </w:pPr>
      <w:r w:rsidRPr="00D250CF">
        <w:rPr>
          <w:rFonts w:ascii="Tahoma" w:hAnsi="Tahoma" w:cs="Tahoma"/>
          <w:b/>
          <w:bCs/>
          <w:color w:val="000000"/>
          <w:sz w:val="22"/>
          <w:szCs w:val="22"/>
        </w:rPr>
        <w:t>Trustee obligations and the time and skills necessary to operate an SMSF</w:t>
      </w:r>
      <w:bookmarkEnd w:id="9"/>
    </w:p>
    <w:p w:rsidR="00D250CF" w:rsidRPr="00D250CF" w:rsidRDefault="00D250CF" w:rsidP="00D250CF">
      <w:pPr>
        <w:pStyle w:val="NormalWeb"/>
        <w:shd w:val="clear" w:color="auto" w:fill="FFFFFF"/>
        <w:rPr>
          <w:rFonts w:ascii="Tahoma" w:hAnsi="Tahoma" w:cs="Tahoma"/>
          <w:color w:val="000000"/>
          <w:sz w:val="20"/>
          <w:szCs w:val="20"/>
        </w:rPr>
      </w:pPr>
      <w:r w:rsidRPr="00D250CF">
        <w:rPr>
          <w:rFonts w:ascii="Tahoma" w:hAnsi="Tahoma" w:cs="Tahoma"/>
          <w:color w:val="000000"/>
          <w:sz w:val="20"/>
          <w:szCs w:val="20"/>
        </w:rPr>
        <w:t>An SMSF is not for every retail client, even if they do have a significant amount to invest. Factors such as their financial literacy, understanding of the legal, taxation and other requirements, available time and general interest are all things to be considered. SMSF trustees need to understand the obligations associated with undertaking the role.</w:t>
      </w:r>
    </w:p>
    <w:p w:rsidR="00D250CF" w:rsidRPr="00D250CF" w:rsidRDefault="00D250CF" w:rsidP="00D250CF">
      <w:pPr>
        <w:pStyle w:val="NormalWeb"/>
        <w:shd w:val="clear" w:color="auto" w:fill="FFFFFF"/>
        <w:rPr>
          <w:rFonts w:ascii="Tahoma" w:hAnsi="Tahoma" w:cs="Tahoma"/>
          <w:color w:val="000000"/>
          <w:sz w:val="20"/>
          <w:szCs w:val="20"/>
        </w:rPr>
      </w:pPr>
      <w:r w:rsidRPr="00D250CF">
        <w:rPr>
          <w:rFonts w:ascii="Tahoma" w:hAnsi="Tahoma" w:cs="Tahoma"/>
          <w:color w:val="000000"/>
          <w:sz w:val="20"/>
          <w:szCs w:val="20"/>
        </w:rPr>
        <w:t>Obligations with which SMSF trustees must comply under superannuation and taxation laws include:</w:t>
      </w:r>
    </w:p>
    <w:p w:rsidR="00D250CF" w:rsidRPr="00D250CF" w:rsidRDefault="00D250CF" w:rsidP="00D250CF">
      <w:pPr>
        <w:numPr>
          <w:ilvl w:val="0"/>
          <w:numId w:val="6"/>
        </w:numPr>
        <w:shd w:val="clear" w:color="auto" w:fill="FFFFFF"/>
        <w:spacing w:before="100" w:beforeAutospacing="1" w:after="100" w:afterAutospacing="1"/>
        <w:ind w:left="0"/>
        <w:rPr>
          <w:rFonts w:ascii="Tahoma" w:hAnsi="Tahoma" w:cs="Tahoma"/>
          <w:color w:val="000000"/>
          <w:sz w:val="20"/>
          <w:szCs w:val="20"/>
        </w:rPr>
      </w:pPr>
      <w:r w:rsidRPr="00D250CF">
        <w:rPr>
          <w:rFonts w:ascii="Tahoma" w:hAnsi="Tahoma" w:cs="Tahoma"/>
          <w:color w:val="000000"/>
          <w:sz w:val="20"/>
          <w:szCs w:val="20"/>
        </w:rPr>
        <w:t>maintaining the fund for the sole purpose of providing retirement benefits to SMSF members, or to their dependants if a member dies before retirement</w:t>
      </w:r>
    </w:p>
    <w:p w:rsidR="00D250CF" w:rsidRPr="00D250CF" w:rsidRDefault="00D250CF" w:rsidP="00D250CF">
      <w:pPr>
        <w:numPr>
          <w:ilvl w:val="0"/>
          <w:numId w:val="6"/>
        </w:numPr>
        <w:shd w:val="clear" w:color="auto" w:fill="FFFFFF"/>
        <w:spacing w:before="100" w:beforeAutospacing="1" w:after="100" w:afterAutospacing="1"/>
        <w:ind w:left="0"/>
        <w:rPr>
          <w:rFonts w:ascii="Tahoma" w:hAnsi="Tahoma" w:cs="Tahoma"/>
          <w:color w:val="000000"/>
          <w:sz w:val="20"/>
          <w:szCs w:val="20"/>
        </w:rPr>
      </w:pPr>
      <w:r w:rsidRPr="00D250CF">
        <w:rPr>
          <w:rFonts w:ascii="Tahoma" w:hAnsi="Tahoma" w:cs="Tahoma"/>
          <w:color w:val="000000"/>
          <w:sz w:val="20"/>
          <w:szCs w:val="20"/>
        </w:rPr>
        <w:t>accepting contributions and paying benefits (pension or lump sums) to members and their beneficiaries in accordance with superannuation and taxation laws and the SMSF trust deed</w:t>
      </w:r>
    </w:p>
    <w:p w:rsidR="00D250CF" w:rsidRPr="00D250CF" w:rsidRDefault="00D250CF" w:rsidP="00D250CF">
      <w:pPr>
        <w:numPr>
          <w:ilvl w:val="0"/>
          <w:numId w:val="6"/>
        </w:numPr>
        <w:shd w:val="clear" w:color="auto" w:fill="FFFFFF"/>
        <w:spacing w:before="100" w:beforeAutospacing="1" w:after="100" w:afterAutospacing="1"/>
        <w:ind w:left="0"/>
        <w:rPr>
          <w:rFonts w:ascii="Tahoma" w:hAnsi="Tahoma" w:cs="Tahoma"/>
          <w:color w:val="000000"/>
          <w:sz w:val="20"/>
          <w:szCs w:val="20"/>
        </w:rPr>
      </w:pPr>
      <w:r w:rsidRPr="00D250CF">
        <w:rPr>
          <w:rFonts w:ascii="Tahoma" w:hAnsi="Tahoma" w:cs="Tahoma"/>
          <w:color w:val="000000"/>
          <w:sz w:val="20"/>
          <w:szCs w:val="20"/>
        </w:rPr>
        <w:t>valuing the fund’s assets at market value for the preparation of financial accounts and statements</w:t>
      </w:r>
    </w:p>
    <w:p w:rsidR="00D250CF" w:rsidRPr="00D250CF" w:rsidRDefault="00D250CF" w:rsidP="00D250CF">
      <w:pPr>
        <w:numPr>
          <w:ilvl w:val="0"/>
          <w:numId w:val="6"/>
        </w:numPr>
        <w:shd w:val="clear" w:color="auto" w:fill="FFFFFF"/>
        <w:spacing w:before="100" w:beforeAutospacing="1" w:after="100" w:afterAutospacing="1"/>
        <w:ind w:left="0"/>
        <w:rPr>
          <w:rFonts w:ascii="Tahoma" w:hAnsi="Tahoma" w:cs="Tahoma"/>
          <w:color w:val="000000"/>
          <w:sz w:val="20"/>
          <w:szCs w:val="20"/>
        </w:rPr>
      </w:pPr>
      <w:r w:rsidRPr="00D250CF">
        <w:rPr>
          <w:rFonts w:ascii="Tahoma" w:hAnsi="Tahoma" w:cs="Tahoma"/>
          <w:color w:val="000000"/>
          <w:sz w:val="20"/>
          <w:szCs w:val="20"/>
        </w:rPr>
        <w:t>having the financial accounts and statements for the SMSF audited each year by an approved SMSF auditor</w:t>
      </w:r>
    </w:p>
    <w:p w:rsidR="00D250CF" w:rsidRPr="00D250CF" w:rsidRDefault="00D250CF" w:rsidP="00D250CF">
      <w:pPr>
        <w:numPr>
          <w:ilvl w:val="0"/>
          <w:numId w:val="6"/>
        </w:numPr>
        <w:shd w:val="clear" w:color="auto" w:fill="FFFFFF"/>
        <w:spacing w:before="100" w:beforeAutospacing="1" w:after="100" w:afterAutospacing="1"/>
        <w:ind w:left="0"/>
        <w:rPr>
          <w:rFonts w:ascii="Tahoma" w:hAnsi="Tahoma" w:cs="Tahoma"/>
          <w:color w:val="000000"/>
          <w:sz w:val="20"/>
          <w:szCs w:val="20"/>
        </w:rPr>
      </w:pPr>
      <w:r w:rsidRPr="00D250CF">
        <w:rPr>
          <w:rFonts w:ascii="Tahoma" w:hAnsi="Tahoma" w:cs="Tahoma"/>
          <w:color w:val="000000"/>
          <w:sz w:val="20"/>
          <w:szCs w:val="20"/>
        </w:rPr>
        <w:t>meeting the reporting and administration obligations imposed by the Australian Taxation Office (ATO).</w:t>
      </w:r>
    </w:p>
    <w:p w:rsidR="00D250CF" w:rsidRPr="00D250CF" w:rsidRDefault="00D250CF" w:rsidP="00D250CF">
      <w:pPr>
        <w:pStyle w:val="NormalWeb"/>
        <w:shd w:val="clear" w:color="auto" w:fill="FFFFFF"/>
        <w:rPr>
          <w:rFonts w:ascii="Tahoma" w:hAnsi="Tahoma" w:cs="Tahoma"/>
          <w:color w:val="000000"/>
          <w:sz w:val="20"/>
          <w:szCs w:val="20"/>
        </w:rPr>
      </w:pPr>
      <w:r w:rsidRPr="00D250CF">
        <w:rPr>
          <w:rFonts w:ascii="Tahoma" w:hAnsi="Tahoma" w:cs="Tahoma"/>
          <w:color w:val="000000"/>
          <w:sz w:val="20"/>
          <w:szCs w:val="20"/>
        </w:rPr>
        <w:t>Failure to comply with obligations under superannuation and taxation laws can have significant consequences (e.g. the loss of tax concessions). Even if one trustee is less actively involved, all trustees are equally required to comply with these trustee responsibilities and obligations and are liable for the actions of other trustees.</w:t>
      </w:r>
    </w:p>
    <w:p w:rsidR="00D250CF" w:rsidRPr="00D250CF" w:rsidRDefault="00D250CF" w:rsidP="00D250CF">
      <w:pPr>
        <w:pStyle w:val="NormalWeb"/>
        <w:shd w:val="clear" w:color="auto" w:fill="FFFFFF"/>
        <w:rPr>
          <w:rFonts w:ascii="Tahoma" w:hAnsi="Tahoma" w:cs="Tahoma"/>
          <w:color w:val="000000"/>
          <w:sz w:val="20"/>
          <w:szCs w:val="20"/>
        </w:rPr>
      </w:pPr>
      <w:r w:rsidRPr="00D250CF">
        <w:rPr>
          <w:rFonts w:ascii="Tahoma" w:hAnsi="Tahoma" w:cs="Tahoma"/>
          <w:color w:val="000000"/>
          <w:sz w:val="20"/>
          <w:szCs w:val="20"/>
        </w:rPr>
        <w:lastRenderedPageBreak/>
        <w:t>Advisers should consider whether an SMSF is appropriate for a retail client in terms of the time and skills that may be needed to operate the SMSF and to generate the expected benefits. Clients may outsource some of these functions if they do not have the time and relevant skills, such as investment management and administration of the SMSF. However, trustees are still ultimately responsible for the operation of the SMSF. Advisers should ensure clients are aware of this and consider whether the client is prepared to accept these responsibilities and obligations as an SMSF trustee.</w:t>
      </w:r>
    </w:p>
    <w:p w:rsidR="00D250CF" w:rsidRPr="00D250CF" w:rsidRDefault="00D250CF" w:rsidP="00D250CF">
      <w:pPr>
        <w:pStyle w:val="NormalWeb"/>
        <w:shd w:val="clear" w:color="auto" w:fill="FFFFFF"/>
        <w:rPr>
          <w:rFonts w:ascii="Tahoma" w:hAnsi="Tahoma" w:cs="Tahoma"/>
          <w:color w:val="000000"/>
          <w:sz w:val="20"/>
          <w:szCs w:val="20"/>
        </w:rPr>
      </w:pPr>
      <w:r w:rsidRPr="00D250CF">
        <w:rPr>
          <w:rFonts w:ascii="Tahoma" w:hAnsi="Tahoma" w:cs="Tahoma"/>
          <w:color w:val="000000"/>
          <w:sz w:val="20"/>
          <w:szCs w:val="20"/>
        </w:rPr>
        <w:t>Retail clients should be made aware that the degree of time and skill required may depend on how they choose to stay updated on current developments or changes in superannuation and taxation laws and/or whether they choose to operate their SMSF without the assistance of SMSF professionals.</w:t>
      </w:r>
    </w:p>
    <w:p w:rsidR="00D250CF" w:rsidRPr="00D250CF" w:rsidRDefault="00D250CF" w:rsidP="00D250CF">
      <w:pPr>
        <w:pStyle w:val="NormalWeb"/>
        <w:shd w:val="clear" w:color="auto" w:fill="FFFFFF"/>
        <w:rPr>
          <w:rFonts w:ascii="Tahoma" w:hAnsi="Tahoma" w:cs="Tahoma"/>
          <w:color w:val="000000"/>
          <w:sz w:val="20"/>
          <w:szCs w:val="20"/>
        </w:rPr>
      </w:pPr>
      <w:r w:rsidRPr="00D250CF">
        <w:rPr>
          <w:rFonts w:ascii="Tahoma" w:hAnsi="Tahoma" w:cs="Tahoma"/>
          <w:color w:val="000000"/>
          <w:sz w:val="20"/>
          <w:szCs w:val="20"/>
        </w:rPr>
        <w:t>There may be other options available for clients who may not be prepared to take on the responsibilities and obligations of an SMSF trustee. These options may still provide some of the benefits of an SMSF, such as a ‘member direct investment facility’ within an APRA-regulated fund.</w:t>
      </w:r>
    </w:p>
    <w:p w:rsidR="00D250CF" w:rsidRPr="00D250CF" w:rsidRDefault="00D250CF" w:rsidP="00D250CF">
      <w:pPr>
        <w:pStyle w:val="in-page"/>
        <w:shd w:val="clear" w:color="auto" w:fill="F0EEE9"/>
        <w:spacing w:after="240" w:afterAutospacing="0"/>
        <w:rPr>
          <w:rFonts w:ascii="Tahoma" w:hAnsi="Tahoma" w:cs="Tahoma"/>
          <w:color w:val="000000"/>
          <w:sz w:val="20"/>
          <w:szCs w:val="20"/>
        </w:rPr>
      </w:pPr>
      <w:r w:rsidRPr="00D250CF">
        <w:rPr>
          <w:rStyle w:val="Strong"/>
          <w:rFonts w:ascii="Tahoma" w:hAnsi="Tahoma" w:cs="Tahoma"/>
          <w:color w:val="000000"/>
          <w:sz w:val="20"/>
          <w:szCs w:val="20"/>
        </w:rPr>
        <w:t>Compliance tip:</w:t>
      </w:r>
      <w:r w:rsidRPr="00D250CF">
        <w:rPr>
          <w:rFonts w:ascii="Tahoma" w:hAnsi="Tahoma" w:cs="Tahoma"/>
          <w:color w:val="000000"/>
          <w:sz w:val="20"/>
          <w:szCs w:val="20"/>
        </w:rPr>
        <w:t> We are likely to look at whether clients have been adequately advised about the time, skills and obligations necessary to operate an SMSF and that, even if they outsource some aspects of managing the fund, they will remain ultimately responsible for complying with their responsibilities and obligations.</w:t>
      </w:r>
      <w:r w:rsidRPr="00D250CF">
        <w:rPr>
          <w:rFonts w:ascii="Tahoma" w:hAnsi="Tahoma" w:cs="Tahoma"/>
          <w:color w:val="000000"/>
          <w:sz w:val="20"/>
          <w:szCs w:val="20"/>
        </w:rPr>
        <w:br/>
      </w:r>
      <w:r w:rsidRPr="00D250CF">
        <w:rPr>
          <w:rFonts w:ascii="Tahoma" w:hAnsi="Tahoma" w:cs="Tahoma"/>
          <w:color w:val="000000"/>
          <w:sz w:val="20"/>
          <w:szCs w:val="20"/>
        </w:rPr>
        <w:br/>
        <w:t>We are likely to be particularly concerned if an SMSF has been recommended to a client and there has been no consideration of whether they have the time, skills and knowledge to operate an SMSF or whether they are able to appropriately develop their skills and knowledge to operate an SMSF.</w:t>
      </w:r>
    </w:p>
    <w:p w:rsidR="0031056C" w:rsidRDefault="0031056C" w:rsidP="00D250CF">
      <w:pPr>
        <w:pStyle w:val="Heading2"/>
        <w:shd w:val="clear" w:color="auto" w:fill="FFFFFF"/>
        <w:rPr>
          <w:rFonts w:ascii="Tahoma" w:hAnsi="Tahoma" w:cs="Tahoma"/>
          <w:b/>
          <w:bCs/>
          <w:color w:val="000000"/>
          <w:sz w:val="22"/>
          <w:szCs w:val="22"/>
        </w:rPr>
      </w:pPr>
      <w:bookmarkStart w:id="10" w:name="trustee-obligations-investment-strategy"/>
      <w:bookmarkStart w:id="11" w:name="_Toc491678247"/>
      <w:bookmarkEnd w:id="10"/>
    </w:p>
    <w:p w:rsidR="00D250CF" w:rsidRPr="00D250CF" w:rsidRDefault="00D250CF" w:rsidP="00D250CF">
      <w:pPr>
        <w:pStyle w:val="Heading2"/>
        <w:shd w:val="clear" w:color="auto" w:fill="FFFFFF"/>
        <w:rPr>
          <w:rFonts w:ascii="Tahoma" w:hAnsi="Tahoma" w:cs="Tahoma"/>
          <w:b/>
          <w:bCs/>
          <w:color w:val="000000"/>
          <w:sz w:val="22"/>
          <w:szCs w:val="22"/>
        </w:rPr>
      </w:pPr>
      <w:bookmarkStart w:id="12" w:name="_GoBack"/>
      <w:bookmarkEnd w:id="12"/>
      <w:r w:rsidRPr="00D250CF">
        <w:rPr>
          <w:rFonts w:ascii="Tahoma" w:hAnsi="Tahoma" w:cs="Tahoma"/>
          <w:b/>
          <w:bCs/>
          <w:color w:val="000000"/>
          <w:sz w:val="22"/>
          <w:szCs w:val="22"/>
        </w:rPr>
        <w:t>Trustee obligations to develop an investment strategy</w:t>
      </w:r>
      <w:bookmarkEnd w:id="11"/>
    </w:p>
    <w:p w:rsidR="00D250CF" w:rsidRPr="00D250CF" w:rsidRDefault="00D250CF" w:rsidP="00D250CF">
      <w:pPr>
        <w:pStyle w:val="NormalWeb"/>
        <w:shd w:val="clear" w:color="auto" w:fill="FFFFFF"/>
        <w:rPr>
          <w:rFonts w:ascii="Tahoma" w:hAnsi="Tahoma" w:cs="Tahoma"/>
          <w:color w:val="000000"/>
          <w:sz w:val="20"/>
          <w:szCs w:val="20"/>
        </w:rPr>
      </w:pPr>
      <w:r w:rsidRPr="00D250CF">
        <w:rPr>
          <w:rFonts w:ascii="Tahoma" w:hAnsi="Tahoma" w:cs="Tahoma"/>
          <w:color w:val="000000"/>
          <w:sz w:val="20"/>
          <w:szCs w:val="20"/>
        </w:rPr>
        <w:t>Under superannuation laws, SMSF trustees must develop an investment strategy to ensure the SMSF is likely to meet members’ retirement needs. Such a strategy may consider whether the members of the fund have other retirement or investment savings they can draw on outside the SMSF and whether the SMSF’s investments are appropriately diversified.</w:t>
      </w:r>
    </w:p>
    <w:p w:rsidR="00D250CF" w:rsidRPr="00D250CF" w:rsidRDefault="00D250CF" w:rsidP="00D250CF">
      <w:pPr>
        <w:pStyle w:val="NormalWeb"/>
        <w:shd w:val="clear" w:color="auto" w:fill="FFFFFF"/>
        <w:rPr>
          <w:rFonts w:ascii="Tahoma" w:hAnsi="Tahoma" w:cs="Tahoma"/>
          <w:color w:val="000000"/>
          <w:sz w:val="20"/>
          <w:szCs w:val="20"/>
        </w:rPr>
      </w:pPr>
      <w:r w:rsidRPr="00D250CF">
        <w:rPr>
          <w:rFonts w:ascii="Tahoma" w:hAnsi="Tahoma" w:cs="Tahoma"/>
          <w:color w:val="000000"/>
          <w:sz w:val="20"/>
          <w:szCs w:val="20"/>
        </w:rPr>
        <w:t>SMSF trustees should conduct a regular review of the fund’s investment strategy to ensure it remains current. It is important that trustees understand:</w:t>
      </w:r>
    </w:p>
    <w:p w:rsidR="00D250CF" w:rsidRPr="00D250CF" w:rsidRDefault="00D250CF" w:rsidP="00D250CF">
      <w:pPr>
        <w:numPr>
          <w:ilvl w:val="0"/>
          <w:numId w:val="7"/>
        </w:numPr>
        <w:shd w:val="clear" w:color="auto" w:fill="FFFFFF"/>
        <w:spacing w:before="100" w:beforeAutospacing="1" w:after="100" w:afterAutospacing="1"/>
        <w:ind w:left="0"/>
        <w:rPr>
          <w:rFonts w:ascii="Tahoma" w:hAnsi="Tahoma" w:cs="Tahoma"/>
          <w:color w:val="000000"/>
          <w:sz w:val="20"/>
          <w:szCs w:val="20"/>
        </w:rPr>
      </w:pPr>
      <w:r w:rsidRPr="00D250CF">
        <w:rPr>
          <w:rFonts w:ascii="Tahoma" w:hAnsi="Tahoma" w:cs="Tahoma"/>
          <w:color w:val="000000"/>
          <w:sz w:val="20"/>
          <w:szCs w:val="20"/>
        </w:rPr>
        <w:t>the benefits associated with asset diversification and investing across a number of asset classes (e.g. shares, real property and fixed interest products) in a long-term investment strategy, such as improving the risk and return profile of an SMSF</w:t>
      </w:r>
    </w:p>
    <w:p w:rsidR="00D250CF" w:rsidRPr="00D250CF" w:rsidRDefault="00D250CF" w:rsidP="00D250CF">
      <w:pPr>
        <w:numPr>
          <w:ilvl w:val="0"/>
          <w:numId w:val="7"/>
        </w:numPr>
        <w:shd w:val="clear" w:color="auto" w:fill="FFFFFF"/>
        <w:spacing w:before="100" w:beforeAutospacing="1" w:after="100" w:afterAutospacing="1"/>
        <w:ind w:left="0"/>
        <w:rPr>
          <w:rFonts w:ascii="Tahoma" w:hAnsi="Tahoma" w:cs="Tahoma"/>
          <w:color w:val="000000"/>
          <w:sz w:val="20"/>
          <w:szCs w:val="20"/>
        </w:rPr>
      </w:pPr>
      <w:r w:rsidRPr="00D250CF">
        <w:rPr>
          <w:rFonts w:ascii="Tahoma" w:hAnsi="Tahoma" w:cs="Tahoma"/>
          <w:color w:val="000000"/>
          <w:sz w:val="20"/>
          <w:szCs w:val="20"/>
        </w:rPr>
        <w:t>there are some restrictions on SMSF investments</w:t>
      </w:r>
    </w:p>
    <w:p w:rsidR="00D250CF" w:rsidRPr="00D250CF" w:rsidRDefault="00D250CF" w:rsidP="00D250CF">
      <w:pPr>
        <w:numPr>
          <w:ilvl w:val="0"/>
          <w:numId w:val="7"/>
        </w:numPr>
        <w:shd w:val="clear" w:color="auto" w:fill="FFFFFF"/>
        <w:spacing w:before="100" w:beforeAutospacing="1" w:after="100" w:afterAutospacing="1"/>
        <w:ind w:left="0"/>
        <w:rPr>
          <w:rFonts w:ascii="Tahoma" w:hAnsi="Tahoma" w:cs="Tahoma"/>
          <w:color w:val="000000"/>
          <w:sz w:val="20"/>
          <w:szCs w:val="20"/>
        </w:rPr>
      </w:pPr>
      <w:r w:rsidRPr="00D250CF">
        <w:rPr>
          <w:rFonts w:ascii="Tahoma" w:hAnsi="Tahoma" w:cs="Tahoma"/>
          <w:color w:val="000000"/>
          <w:sz w:val="20"/>
          <w:szCs w:val="20"/>
        </w:rPr>
        <w:t>certain transactions are prohibited, such as lending the fund’s money, or providing financial assistance, to a member of the fund or their relatives.</w:t>
      </w:r>
    </w:p>
    <w:p w:rsidR="00D250CF" w:rsidRPr="00D250CF" w:rsidRDefault="00D250CF" w:rsidP="00D250CF">
      <w:pPr>
        <w:pStyle w:val="NormalWeb"/>
        <w:shd w:val="clear" w:color="auto" w:fill="FFFFFF"/>
        <w:rPr>
          <w:rFonts w:ascii="Tahoma" w:hAnsi="Tahoma" w:cs="Tahoma"/>
          <w:color w:val="000000"/>
          <w:sz w:val="20"/>
          <w:szCs w:val="20"/>
        </w:rPr>
      </w:pPr>
      <w:r w:rsidRPr="00D250CF">
        <w:rPr>
          <w:rFonts w:ascii="Tahoma" w:hAnsi="Tahoma" w:cs="Tahoma"/>
          <w:color w:val="000000"/>
          <w:sz w:val="20"/>
          <w:szCs w:val="20"/>
        </w:rPr>
        <w:t>Where a limited recourse borrowing arrangement is recommended, trustees should be provided with an explanation of the associated risks and how this arrangement is appropriate for the SMSF.</w:t>
      </w:r>
    </w:p>
    <w:p w:rsidR="00D250CF" w:rsidRPr="00D250CF" w:rsidRDefault="00D250CF" w:rsidP="00D250CF">
      <w:pPr>
        <w:pStyle w:val="in-page"/>
        <w:shd w:val="clear" w:color="auto" w:fill="F0EEE9"/>
        <w:spacing w:after="240" w:afterAutospacing="0"/>
        <w:rPr>
          <w:rFonts w:ascii="Tahoma" w:hAnsi="Tahoma" w:cs="Tahoma"/>
          <w:color w:val="000000"/>
          <w:sz w:val="20"/>
          <w:szCs w:val="20"/>
        </w:rPr>
      </w:pPr>
      <w:r w:rsidRPr="00D250CF">
        <w:rPr>
          <w:rStyle w:val="Strong"/>
          <w:rFonts w:ascii="Tahoma" w:hAnsi="Tahoma" w:cs="Tahoma"/>
          <w:color w:val="000000"/>
          <w:sz w:val="20"/>
          <w:szCs w:val="20"/>
        </w:rPr>
        <w:t>Compliance tip:</w:t>
      </w:r>
      <w:r w:rsidRPr="00D250CF">
        <w:rPr>
          <w:rFonts w:ascii="Tahoma" w:hAnsi="Tahoma" w:cs="Tahoma"/>
          <w:color w:val="000000"/>
          <w:sz w:val="20"/>
          <w:szCs w:val="20"/>
        </w:rPr>
        <w:t> We are likely to look at what advice clients receive about their SMSF investment strategy and whether or not the advice was appropriate to the risk appetite and investment goals of the client.</w:t>
      </w:r>
    </w:p>
    <w:p w:rsidR="00582A31" w:rsidRDefault="00582A31" w:rsidP="00D250CF">
      <w:pPr>
        <w:pStyle w:val="Heading2"/>
        <w:shd w:val="clear" w:color="auto" w:fill="FFFFFF"/>
        <w:rPr>
          <w:rFonts w:ascii="Tahoma" w:hAnsi="Tahoma" w:cs="Tahoma"/>
          <w:b/>
          <w:bCs/>
          <w:color w:val="000000"/>
          <w:sz w:val="22"/>
          <w:szCs w:val="22"/>
        </w:rPr>
      </w:pPr>
      <w:bookmarkStart w:id="13" w:name="exit-strategy"/>
      <w:bookmarkStart w:id="14" w:name="_Toc491678248"/>
      <w:bookmarkEnd w:id="13"/>
    </w:p>
    <w:p w:rsidR="00D250CF" w:rsidRPr="00D250CF" w:rsidRDefault="00D250CF" w:rsidP="00D250CF">
      <w:pPr>
        <w:pStyle w:val="Heading2"/>
        <w:shd w:val="clear" w:color="auto" w:fill="FFFFFF"/>
        <w:rPr>
          <w:rFonts w:ascii="Tahoma" w:hAnsi="Tahoma" w:cs="Tahoma"/>
          <w:b/>
          <w:bCs/>
          <w:color w:val="000000"/>
          <w:sz w:val="22"/>
          <w:szCs w:val="22"/>
        </w:rPr>
      </w:pPr>
      <w:r w:rsidRPr="00D250CF">
        <w:rPr>
          <w:rFonts w:ascii="Tahoma" w:hAnsi="Tahoma" w:cs="Tahoma"/>
          <w:b/>
          <w:bCs/>
          <w:color w:val="000000"/>
          <w:sz w:val="22"/>
          <w:szCs w:val="22"/>
        </w:rPr>
        <w:t>The need to consider an exit strategy</w:t>
      </w:r>
      <w:bookmarkEnd w:id="14"/>
    </w:p>
    <w:p w:rsidR="00D250CF" w:rsidRPr="00D250CF" w:rsidRDefault="00D250CF" w:rsidP="00D250CF">
      <w:pPr>
        <w:pStyle w:val="NormalWeb"/>
        <w:shd w:val="clear" w:color="auto" w:fill="FFFFFF"/>
        <w:rPr>
          <w:rFonts w:ascii="Tahoma" w:hAnsi="Tahoma" w:cs="Tahoma"/>
          <w:color w:val="000000"/>
          <w:sz w:val="20"/>
          <w:szCs w:val="20"/>
        </w:rPr>
      </w:pPr>
      <w:r w:rsidRPr="00D250CF">
        <w:rPr>
          <w:rFonts w:ascii="Tahoma" w:hAnsi="Tahoma" w:cs="Tahoma"/>
          <w:color w:val="000000"/>
          <w:sz w:val="20"/>
          <w:szCs w:val="20"/>
        </w:rPr>
        <w:t>Trustees may want to wind up their SMSF for a wide range of reasons (e.g. if the compliance requirements become too onerous or costly, or the more active trustee dies or becomes incapacitated). To make any exit as straightforward as possible, it is important that trustees consider and develop an exit strategy for their SMSF. </w:t>
      </w:r>
    </w:p>
    <w:p w:rsidR="00D250CF" w:rsidRPr="00D250CF" w:rsidRDefault="00D250CF" w:rsidP="00D250CF">
      <w:pPr>
        <w:pStyle w:val="in-page"/>
        <w:shd w:val="clear" w:color="auto" w:fill="F0EEE9"/>
        <w:spacing w:after="240" w:afterAutospacing="0"/>
        <w:rPr>
          <w:rFonts w:ascii="Tahoma" w:hAnsi="Tahoma" w:cs="Tahoma"/>
          <w:color w:val="000000"/>
          <w:sz w:val="20"/>
          <w:szCs w:val="20"/>
        </w:rPr>
      </w:pPr>
      <w:r w:rsidRPr="00D250CF">
        <w:rPr>
          <w:rStyle w:val="Strong"/>
          <w:rFonts w:ascii="Tahoma" w:hAnsi="Tahoma" w:cs="Tahoma"/>
          <w:color w:val="000000"/>
          <w:sz w:val="20"/>
          <w:szCs w:val="20"/>
        </w:rPr>
        <w:lastRenderedPageBreak/>
        <w:t>Compliance tip:</w:t>
      </w:r>
      <w:r w:rsidRPr="00D250CF">
        <w:rPr>
          <w:rFonts w:ascii="Tahoma" w:hAnsi="Tahoma" w:cs="Tahoma"/>
          <w:color w:val="000000"/>
          <w:sz w:val="20"/>
          <w:szCs w:val="20"/>
        </w:rPr>
        <w:t> We are likely to look at whether clients have been made aware of what may be required to wind up their SMSF and the likely costs involved.</w:t>
      </w:r>
    </w:p>
    <w:p w:rsidR="00F525E2" w:rsidRDefault="00F525E2" w:rsidP="00D250CF">
      <w:pPr>
        <w:pStyle w:val="Heading2"/>
        <w:shd w:val="clear" w:color="auto" w:fill="FFFFFF"/>
        <w:rPr>
          <w:rFonts w:ascii="Tahoma" w:hAnsi="Tahoma" w:cs="Tahoma"/>
          <w:b/>
          <w:bCs/>
          <w:color w:val="000000"/>
          <w:sz w:val="22"/>
          <w:szCs w:val="22"/>
        </w:rPr>
      </w:pPr>
      <w:bookmarkStart w:id="15" w:name="additional-information"/>
      <w:bookmarkStart w:id="16" w:name="_Toc491678249"/>
      <w:bookmarkEnd w:id="15"/>
    </w:p>
    <w:p w:rsidR="00D250CF" w:rsidRPr="00D250CF" w:rsidRDefault="00D250CF" w:rsidP="00D250CF">
      <w:pPr>
        <w:pStyle w:val="Heading2"/>
        <w:shd w:val="clear" w:color="auto" w:fill="FFFFFF"/>
        <w:rPr>
          <w:rFonts w:ascii="Tahoma" w:hAnsi="Tahoma" w:cs="Tahoma"/>
          <w:color w:val="000000"/>
          <w:sz w:val="20"/>
          <w:szCs w:val="20"/>
        </w:rPr>
      </w:pPr>
      <w:r w:rsidRPr="00D250CF">
        <w:rPr>
          <w:rFonts w:ascii="Tahoma" w:hAnsi="Tahoma" w:cs="Tahoma"/>
          <w:b/>
          <w:bCs/>
          <w:color w:val="000000"/>
          <w:sz w:val="22"/>
          <w:szCs w:val="22"/>
        </w:rPr>
        <w:t>Additional information to be included in an SOA</w:t>
      </w:r>
      <w:bookmarkEnd w:id="16"/>
    </w:p>
    <w:p w:rsidR="00D250CF" w:rsidRPr="00D250CF" w:rsidRDefault="00D250CF" w:rsidP="00D250CF">
      <w:pPr>
        <w:pStyle w:val="NormalWeb"/>
        <w:shd w:val="clear" w:color="auto" w:fill="FFFFFF"/>
        <w:rPr>
          <w:rFonts w:ascii="Tahoma" w:hAnsi="Tahoma" w:cs="Tahoma"/>
          <w:color w:val="000000"/>
          <w:sz w:val="20"/>
          <w:szCs w:val="20"/>
        </w:rPr>
      </w:pPr>
      <w:r w:rsidRPr="00D250CF">
        <w:rPr>
          <w:rFonts w:ascii="Tahoma" w:hAnsi="Tahoma" w:cs="Tahoma"/>
          <w:color w:val="000000"/>
          <w:sz w:val="20"/>
          <w:szCs w:val="20"/>
        </w:rPr>
        <w:t>If the advice is to switch from an existing superannuation fund to an SMSF, section 947D of the Corporations Act sets out the additional information that must be included in an SOA. Specifically, the SOA must set out the potential benefits that may be lost and any other significant consequences to the retail client if the advice is acted upon.</w:t>
      </w:r>
    </w:p>
    <w:p w:rsidR="00D250CF" w:rsidRPr="00D250CF" w:rsidRDefault="00D250CF" w:rsidP="00D250CF">
      <w:pPr>
        <w:pStyle w:val="NormalWeb"/>
        <w:shd w:val="clear" w:color="auto" w:fill="FFFFFF"/>
        <w:rPr>
          <w:rFonts w:ascii="Tahoma" w:hAnsi="Tahoma" w:cs="Tahoma"/>
          <w:color w:val="000000"/>
          <w:sz w:val="20"/>
          <w:szCs w:val="20"/>
        </w:rPr>
      </w:pPr>
      <w:r w:rsidRPr="00D250CF">
        <w:rPr>
          <w:rFonts w:ascii="Tahoma" w:hAnsi="Tahoma" w:cs="Tahoma"/>
          <w:color w:val="000000"/>
          <w:sz w:val="20"/>
          <w:szCs w:val="20"/>
        </w:rPr>
        <w:t>Examples include information about:</w:t>
      </w:r>
    </w:p>
    <w:p w:rsidR="00D250CF" w:rsidRPr="00D250CF" w:rsidRDefault="00D250CF" w:rsidP="00D250CF">
      <w:pPr>
        <w:numPr>
          <w:ilvl w:val="0"/>
          <w:numId w:val="8"/>
        </w:numPr>
        <w:shd w:val="clear" w:color="auto" w:fill="FFFFFF"/>
        <w:spacing w:before="100" w:beforeAutospacing="1" w:after="100" w:afterAutospacing="1"/>
        <w:ind w:left="0"/>
        <w:rPr>
          <w:rFonts w:ascii="Tahoma" w:hAnsi="Tahoma" w:cs="Tahoma"/>
          <w:color w:val="000000"/>
          <w:sz w:val="20"/>
          <w:szCs w:val="20"/>
        </w:rPr>
      </w:pPr>
      <w:r w:rsidRPr="00D250CF">
        <w:rPr>
          <w:rFonts w:ascii="Tahoma" w:hAnsi="Tahoma" w:cs="Tahoma"/>
          <w:color w:val="000000"/>
          <w:sz w:val="20"/>
          <w:szCs w:val="20"/>
        </w:rPr>
        <w:t>the exit fees or any other charges applying to withdrawal from the APRA-regulated superannuation fund</w:t>
      </w:r>
    </w:p>
    <w:p w:rsidR="00D250CF" w:rsidRPr="00D250CF" w:rsidRDefault="00D250CF" w:rsidP="00D250CF">
      <w:pPr>
        <w:numPr>
          <w:ilvl w:val="0"/>
          <w:numId w:val="8"/>
        </w:numPr>
        <w:shd w:val="clear" w:color="auto" w:fill="FFFFFF"/>
        <w:spacing w:before="100" w:beforeAutospacing="1" w:after="100" w:afterAutospacing="1"/>
        <w:ind w:left="0"/>
        <w:rPr>
          <w:rFonts w:ascii="Tahoma" w:hAnsi="Tahoma" w:cs="Tahoma"/>
          <w:color w:val="000000"/>
          <w:sz w:val="20"/>
          <w:szCs w:val="20"/>
        </w:rPr>
      </w:pPr>
      <w:r w:rsidRPr="00D250CF">
        <w:rPr>
          <w:rFonts w:ascii="Tahoma" w:hAnsi="Tahoma" w:cs="Tahoma"/>
          <w:color w:val="000000"/>
          <w:sz w:val="20"/>
          <w:szCs w:val="20"/>
        </w:rPr>
        <w:t>the loss of access to rights or benefits (e.g. insurance cover and eligibility for statutory compensation under superannuation laws in the event of theft or fraud in the underlying investment asset)</w:t>
      </w:r>
    </w:p>
    <w:p w:rsidR="00D250CF" w:rsidRPr="00D250CF" w:rsidRDefault="00D250CF" w:rsidP="00D250CF">
      <w:pPr>
        <w:numPr>
          <w:ilvl w:val="0"/>
          <w:numId w:val="8"/>
        </w:numPr>
        <w:shd w:val="clear" w:color="auto" w:fill="FFFFFF"/>
        <w:spacing w:before="100" w:beforeAutospacing="1" w:after="100" w:afterAutospacing="1"/>
        <w:ind w:left="0"/>
        <w:rPr>
          <w:rFonts w:ascii="Tahoma" w:hAnsi="Tahoma" w:cs="Tahoma"/>
          <w:color w:val="000000"/>
          <w:sz w:val="20"/>
          <w:szCs w:val="20"/>
        </w:rPr>
      </w:pPr>
      <w:r w:rsidRPr="00D250CF">
        <w:rPr>
          <w:rFonts w:ascii="Tahoma" w:hAnsi="Tahoma" w:cs="Tahoma"/>
          <w:color w:val="000000"/>
          <w:sz w:val="20"/>
          <w:szCs w:val="20"/>
        </w:rPr>
        <w:t>the loss of other opportunities, including incidental opportunities associated with the existing product (e.g. access to free financial advice or discount health insurance)</w:t>
      </w:r>
    </w:p>
    <w:p w:rsidR="00D250CF" w:rsidRPr="00D250CF" w:rsidRDefault="00D250CF" w:rsidP="00D250CF">
      <w:pPr>
        <w:numPr>
          <w:ilvl w:val="0"/>
          <w:numId w:val="8"/>
        </w:numPr>
        <w:shd w:val="clear" w:color="auto" w:fill="FFFFFF"/>
        <w:spacing w:before="100" w:beforeAutospacing="1" w:after="100" w:afterAutospacing="1"/>
        <w:ind w:left="0"/>
        <w:rPr>
          <w:rFonts w:ascii="Tahoma" w:hAnsi="Tahoma" w:cs="Tahoma"/>
          <w:color w:val="000000"/>
          <w:sz w:val="20"/>
          <w:szCs w:val="20"/>
        </w:rPr>
      </w:pPr>
      <w:r w:rsidRPr="00D250CF">
        <w:rPr>
          <w:rFonts w:ascii="Tahoma" w:hAnsi="Tahoma" w:cs="Tahoma"/>
          <w:color w:val="000000"/>
          <w:sz w:val="20"/>
          <w:szCs w:val="20"/>
        </w:rPr>
        <w:t>any tax consequences</w:t>
      </w:r>
    </w:p>
    <w:p w:rsidR="00D250CF" w:rsidRPr="00D250CF" w:rsidRDefault="00D250CF" w:rsidP="00D250CF">
      <w:pPr>
        <w:numPr>
          <w:ilvl w:val="0"/>
          <w:numId w:val="8"/>
        </w:numPr>
        <w:shd w:val="clear" w:color="auto" w:fill="FFFFFF"/>
        <w:spacing w:before="100" w:beforeAutospacing="1" w:after="100" w:afterAutospacing="1"/>
        <w:ind w:left="0"/>
        <w:rPr>
          <w:rFonts w:ascii="Tahoma" w:hAnsi="Tahoma" w:cs="Tahoma"/>
          <w:color w:val="000000"/>
          <w:sz w:val="20"/>
          <w:szCs w:val="20"/>
        </w:rPr>
      </w:pPr>
      <w:r w:rsidRPr="00D250CF">
        <w:rPr>
          <w:rFonts w:ascii="Tahoma" w:hAnsi="Tahoma" w:cs="Tahoma"/>
          <w:color w:val="000000"/>
          <w:sz w:val="20"/>
          <w:szCs w:val="20"/>
        </w:rPr>
        <w:t>any other significant consequences for the client in changing their superannuation to an SMSF.</w:t>
      </w:r>
    </w:p>
    <w:p w:rsidR="00D250CF" w:rsidRPr="00D250CF" w:rsidRDefault="00D250CF" w:rsidP="00D250CF">
      <w:pPr>
        <w:pStyle w:val="NormalWeb"/>
        <w:shd w:val="clear" w:color="auto" w:fill="FFFFFF"/>
        <w:rPr>
          <w:rFonts w:ascii="Tahoma" w:hAnsi="Tahoma" w:cs="Tahoma"/>
          <w:color w:val="000000"/>
          <w:sz w:val="20"/>
          <w:szCs w:val="20"/>
        </w:rPr>
      </w:pPr>
      <w:hyperlink r:id="rId18" w:tooltip="Super switching advice - complying with your obligations - INFO 182" w:history="1">
        <w:r w:rsidRPr="00D250CF">
          <w:rPr>
            <w:rStyle w:val="Hyperlink"/>
            <w:rFonts w:ascii="Tahoma" w:hAnsi="Tahoma" w:cs="Tahoma"/>
            <w:color w:val="0D6BBC"/>
            <w:sz w:val="20"/>
            <w:szCs w:val="20"/>
          </w:rPr>
          <w:t>INFO 182</w:t>
        </w:r>
      </w:hyperlink>
      <w:r w:rsidRPr="00D250CF">
        <w:rPr>
          <w:rFonts w:ascii="Tahoma" w:hAnsi="Tahoma" w:cs="Tahoma"/>
          <w:color w:val="000000"/>
          <w:sz w:val="20"/>
          <w:szCs w:val="20"/>
        </w:rPr>
        <w:t> provides general information and compliance tips for financial advisers who provide ‘super switching advice’.</w:t>
      </w:r>
    </w:p>
    <w:p w:rsidR="00D250CF" w:rsidRPr="00D250CF" w:rsidRDefault="00D250CF" w:rsidP="00D250CF">
      <w:pPr>
        <w:pStyle w:val="in-page"/>
        <w:shd w:val="clear" w:color="auto" w:fill="F0EEE9"/>
        <w:spacing w:after="240" w:afterAutospacing="0"/>
        <w:rPr>
          <w:rFonts w:ascii="Tahoma" w:hAnsi="Tahoma" w:cs="Tahoma"/>
          <w:color w:val="000000"/>
          <w:sz w:val="20"/>
          <w:szCs w:val="20"/>
        </w:rPr>
      </w:pPr>
      <w:r w:rsidRPr="00D250CF">
        <w:rPr>
          <w:rStyle w:val="Strong"/>
          <w:rFonts w:ascii="Tahoma" w:hAnsi="Tahoma" w:cs="Tahoma"/>
          <w:color w:val="000000"/>
          <w:sz w:val="20"/>
          <w:szCs w:val="20"/>
        </w:rPr>
        <w:t>Compliance tip:</w:t>
      </w:r>
      <w:r w:rsidRPr="00D250CF">
        <w:rPr>
          <w:rFonts w:ascii="Tahoma" w:hAnsi="Tahoma" w:cs="Tahoma"/>
          <w:color w:val="000000"/>
          <w:sz w:val="20"/>
          <w:szCs w:val="20"/>
        </w:rPr>
        <w:t> We are likely to look more closely at advice to switch to an SMSF if the SOA does not clearly set out considerations (in addition to the costs) relevant to setting up, operating and winding up an SMSF.</w:t>
      </w:r>
    </w:p>
    <w:p w:rsidR="00494BD4" w:rsidRDefault="00494BD4" w:rsidP="00A71A05">
      <w:pPr>
        <w:pStyle w:val="NormalWeb"/>
        <w:shd w:val="clear" w:color="auto" w:fill="FFFFFF"/>
        <w:rPr>
          <w:rFonts w:ascii="Tahoma" w:hAnsi="Tahoma" w:cs="Tahoma"/>
          <w:color w:val="000000"/>
          <w:sz w:val="20"/>
          <w:szCs w:val="20"/>
        </w:rPr>
      </w:pPr>
    </w:p>
    <w:p w:rsidR="00A71A05" w:rsidRDefault="00A71A05" w:rsidP="00A71A05">
      <w:pPr>
        <w:pStyle w:val="Heading1"/>
        <w:shd w:val="clear" w:color="auto" w:fill="FFFFFF"/>
        <w:rPr>
          <w:rFonts w:ascii="Tahoma" w:hAnsi="Tahoma" w:cs="Tahoma"/>
          <w:b w:val="0"/>
          <w:bCs w:val="0"/>
          <w:color w:val="000000"/>
          <w:sz w:val="43"/>
          <w:szCs w:val="43"/>
        </w:rPr>
      </w:pPr>
      <w:bookmarkStart w:id="17" w:name="_Toc491678250"/>
      <w:r>
        <w:rPr>
          <w:rFonts w:ascii="Tahoma" w:hAnsi="Tahoma" w:cs="Tahoma"/>
          <w:b w:val="0"/>
          <w:bCs w:val="0"/>
          <w:color w:val="000000"/>
          <w:sz w:val="43"/>
          <w:szCs w:val="43"/>
        </w:rPr>
        <w:t>Advice on self-managed superannuation funds: Disclosure of costs</w:t>
      </w:r>
      <w:bookmarkEnd w:id="17"/>
    </w:p>
    <w:p w:rsidR="00A71A05" w:rsidRPr="00494BD4" w:rsidRDefault="00A71A05" w:rsidP="00A71A05">
      <w:pPr>
        <w:pStyle w:val="Heading2"/>
        <w:shd w:val="clear" w:color="auto" w:fill="FFFFFF"/>
        <w:rPr>
          <w:rFonts w:ascii="Tahoma" w:hAnsi="Tahoma" w:cs="Tahoma"/>
          <w:b/>
          <w:bCs/>
          <w:color w:val="000000"/>
        </w:rPr>
      </w:pPr>
      <w:bookmarkStart w:id="18" w:name="_Toc491678251"/>
      <w:r w:rsidRPr="00494BD4">
        <w:rPr>
          <w:rFonts w:ascii="Tahoma" w:hAnsi="Tahoma" w:cs="Tahoma"/>
          <w:b/>
          <w:bCs/>
          <w:color w:val="000000"/>
        </w:rPr>
        <w:t>INFO 20</w:t>
      </w:r>
      <w:r>
        <w:rPr>
          <w:rFonts w:ascii="Tahoma" w:hAnsi="Tahoma" w:cs="Tahoma"/>
          <w:b/>
          <w:bCs/>
          <w:color w:val="000000"/>
        </w:rPr>
        <w:t>6</w:t>
      </w:r>
      <w:bookmarkEnd w:id="18"/>
    </w:p>
    <w:p w:rsidR="00A71A05" w:rsidRPr="00A71A05" w:rsidRDefault="00A71A05" w:rsidP="00A71A05">
      <w:pPr>
        <w:pStyle w:val="NormalWeb"/>
        <w:shd w:val="clear" w:color="auto" w:fill="FFFFFF"/>
        <w:rPr>
          <w:rFonts w:ascii="Tahoma" w:hAnsi="Tahoma" w:cs="Tahoma"/>
          <w:color w:val="000000"/>
          <w:sz w:val="20"/>
          <w:szCs w:val="20"/>
        </w:rPr>
      </w:pPr>
      <w:r w:rsidRPr="00A71A05">
        <w:rPr>
          <w:rFonts w:ascii="Tahoma" w:hAnsi="Tahoma" w:cs="Tahoma"/>
          <w:color w:val="000000"/>
          <w:sz w:val="20"/>
          <w:szCs w:val="20"/>
        </w:rPr>
        <w:t>This information sheet (INFO 206) provides guidance for Australian financial services (AFS) licensees (including limited AFS licensees) and their representatives who provide personal advice to retail clients about self-managed superannuation funds (SMSFs).</w:t>
      </w:r>
    </w:p>
    <w:p w:rsidR="00A71A05" w:rsidRPr="00A71A05" w:rsidRDefault="00A71A05" w:rsidP="00A71A05">
      <w:pPr>
        <w:pStyle w:val="NormalWeb"/>
        <w:shd w:val="clear" w:color="auto" w:fill="FFFFFF"/>
        <w:rPr>
          <w:rFonts w:ascii="Tahoma" w:hAnsi="Tahoma" w:cs="Tahoma"/>
          <w:color w:val="000000"/>
          <w:sz w:val="20"/>
          <w:szCs w:val="20"/>
        </w:rPr>
      </w:pPr>
      <w:r w:rsidRPr="00A71A05">
        <w:rPr>
          <w:rFonts w:ascii="Tahoma" w:hAnsi="Tahoma" w:cs="Tahoma"/>
          <w:color w:val="000000"/>
          <w:sz w:val="20"/>
          <w:szCs w:val="20"/>
        </w:rPr>
        <w:t>It explains:</w:t>
      </w:r>
    </w:p>
    <w:p w:rsidR="00A71A05" w:rsidRPr="00A71A05" w:rsidRDefault="00A71A05" w:rsidP="00A71A05">
      <w:pPr>
        <w:numPr>
          <w:ilvl w:val="0"/>
          <w:numId w:val="9"/>
        </w:numPr>
        <w:shd w:val="clear" w:color="auto" w:fill="FFFFFF"/>
        <w:spacing w:before="100" w:beforeAutospacing="1" w:after="100" w:afterAutospacing="1"/>
        <w:ind w:left="567" w:hanging="425"/>
        <w:rPr>
          <w:rFonts w:ascii="Tahoma" w:hAnsi="Tahoma" w:cs="Tahoma"/>
          <w:color w:val="000000"/>
          <w:sz w:val="20"/>
          <w:szCs w:val="20"/>
        </w:rPr>
      </w:pPr>
      <w:hyperlink r:id="rId19" w:anchor="relevant-conduct-and-disclosure" w:history="1">
        <w:r w:rsidRPr="00A71A05">
          <w:rPr>
            <w:rStyle w:val="Hyperlink"/>
            <w:rFonts w:ascii="Tahoma" w:hAnsi="Tahoma" w:cs="Tahoma"/>
            <w:color w:val="0D6BBC"/>
            <w:sz w:val="20"/>
            <w:szCs w:val="20"/>
          </w:rPr>
          <w:t>the relevant conduct and disclosure obligations</w:t>
        </w:r>
      </w:hyperlink>
    </w:p>
    <w:p w:rsidR="00A71A05" w:rsidRPr="00A71A05" w:rsidRDefault="00A71A05" w:rsidP="00A71A05">
      <w:pPr>
        <w:numPr>
          <w:ilvl w:val="0"/>
          <w:numId w:val="9"/>
        </w:numPr>
        <w:shd w:val="clear" w:color="auto" w:fill="FFFFFF"/>
        <w:spacing w:before="100" w:beforeAutospacing="1" w:after="100" w:afterAutospacing="1"/>
        <w:ind w:left="567" w:hanging="425"/>
        <w:rPr>
          <w:rFonts w:ascii="Tahoma" w:hAnsi="Tahoma" w:cs="Tahoma"/>
          <w:color w:val="000000"/>
          <w:sz w:val="20"/>
          <w:szCs w:val="20"/>
        </w:rPr>
      </w:pPr>
      <w:r w:rsidRPr="00A71A05">
        <w:rPr>
          <w:rFonts w:ascii="Tahoma" w:hAnsi="Tahoma" w:cs="Tahoma"/>
          <w:color w:val="000000"/>
          <w:sz w:val="20"/>
          <w:szCs w:val="20"/>
        </w:rPr>
        <w:t>the need for advice on </w:t>
      </w:r>
      <w:hyperlink r:id="rId20" w:anchor="cost-effectiveness" w:history="1">
        <w:r w:rsidRPr="00A71A05">
          <w:rPr>
            <w:rStyle w:val="Hyperlink"/>
            <w:rFonts w:ascii="Tahoma" w:hAnsi="Tahoma" w:cs="Tahoma"/>
            <w:color w:val="0D6BBC"/>
            <w:sz w:val="20"/>
            <w:szCs w:val="20"/>
          </w:rPr>
          <w:t>the cost-effectiveness of an SMSF</w:t>
        </w:r>
      </w:hyperlink>
      <w:r w:rsidRPr="00A71A05">
        <w:rPr>
          <w:rFonts w:ascii="Tahoma" w:hAnsi="Tahoma" w:cs="Tahoma"/>
          <w:color w:val="000000"/>
          <w:sz w:val="20"/>
          <w:szCs w:val="20"/>
        </w:rPr>
        <w:t> – in particular, if the starting balance is below $200,000</w:t>
      </w:r>
    </w:p>
    <w:p w:rsidR="00A71A05" w:rsidRPr="00A71A05" w:rsidRDefault="00A71A05" w:rsidP="00A71A05">
      <w:pPr>
        <w:numPr>
          <w:ilvl w:val="0"/>
          <w:numId w:val="9"/>
        </w:numPr>
        <w:shd w:val="clear" w:color="auto" w:fill="FFFFFF"/>
        <w:spacing w:before="100" w:beforeAutospacing="1" w:after="100" w:afterAutospacing="1"/>
        <w:ind w:left="567" w:hanging="425"/>
        <w:rPr>
          <w:rFonts w:ascii="Tahoma" w:hAnsi="Tahoma" w:cs="Tahoma"/>
          <w:color w:val="000000"/>
          <w:sz w:val="20"/>
          <w:szCs w:val="20"/>
        </w:rPr>
      </w:pPr>
      <w:r w:rsidRPr="00A71A05">
        <w:rPr>
          <w:rFonts w:ascii="Tahoma" w:hAnsi="Tahoma" w:cs="Tahoma"/>
          <w:color w:val="000000"/>
          <w:sz w:val="20"/>
          <w:szCs w:val="20"/>
        </w:rPr>
        <w:t>the need for advice on </w:t>
      </w:r>
      <w:hyperlink r:id="rId21" w:anchor="costs-of-setting-up-operating-winding-up-smsf" w:history="1">
        <w:r w:rsidRPr="00A71A05">
          <w:rPr>
            <w:rStyle w:val="Hyperlink"/>
            <w:rFonts w:ascii="Tahoma" w:hAnsi="Tahoma" w:cs="Tahoma"/>
            <w:color w:val="0D6BBC"/>
            <w:sz w:val="20"/>
            <w:szCs w:val="20"/>
          </w:rPr>
          <w:t>the costs of setting up, operating and winding up an SMSF</w:t>
        </w:r>
      </w:hyperlink>
    </w:p>
    <w:p w:rsidR="00A71A05" w:rsidRPr="00A71A05" w:rsidRDefault="00A71A05" w:rsidP="00A71A05">
      <w:pPr>
        <w:numPr>
          <w:ilvl w:val="0"/>
          <w:numId w:val="9"/>
        </w:numPr>
        <w:shd w:val="clear" w:color="auto" w:fill="FFFFFF"/>
        <w:spacing w:before="100" w:beforeAutospacing="1" w:after="100" w:afterAutospacing="1"/>
        <w:ind w:left="567" w:hanging="425"/>
        <w:rPr>
          <w:rFonts w:ascii="Tahoma" w:hAnsi="Tahoma" w:cs="Tahoma"/>
          <w:color w:val="000000"/>
          <w:sz w:val="20"/>
          <w:szCs w:val="20"/>
        </w:rPr>
      </w:pPr>
      <w:r w:rsidRPr="00A71A05">
        <w:rPr>
          <w:rFonts w:ascii="Tahoma" w:hAnsi="Tahoma" w:cs="Tahoma"/>
          <w:color w:val="000000"/>
          <w:sz w:val="20"/>
          <w:szCs w:val="20"/>
        </w:rPr>
        <w:t>the need for advice on </w:t>
      </w:r>
      <w:hyperlink r:id="rId22" w:anchor="continued-suitability-of-an-smsf" w:history="1">
        <w:r w:rsidRPr="00A71A05">
          <w:rPr>
            <w:rStyle w:val="Hyperlink"/>
            <w:rFonts w:ascii="Tahoma" w:hAnsi="Tahoma" w:cs="Tahoma"/>
            <w:color w:val="0D6BBC"/>
            <w:sz w:val="20"/>
            <w:szCs w:val="20"/>
          </w:rPr>
          <w:t>the continued suitability of an SMSF for the client</w:t>
        </w:r>
      </w:hyperlink>
      <w:r w:rsidRPr="00A71A05">
        <w:rPr>
          <w:rFonts w:ascii="Tahoma" w:hAnsi="Tahoma" w:cs="Tahoma"/>
          <w:color w:val="000000"/>
          <w:sz w:val="20"/>
          <w:szCs w:val="20"/>
        </w:rPr>
        <w:t>.</w:t>
      </w:r>
    </w:p>
    <w:p w:rsidR="00A71A05" w:rsidRPr="00A71A05" w:rsidRDefault="00A71A05" w:rsidP="00A71A05">
      <w:pPr>
        <w:pStyle w:val="NormalWeb"/>
        <w:shd w:val="clear" w:color="auto" w:fill="FFFFFF"/>
        <w:rPr>
          <w:rFonts w:ascii="Tahoma" w:hAnsi="Tahoma" w:cs="Tahoma"/>
          <w:color w:val="000000"/>
          <w:sz w:val="20"/>
          <w:szCs w:val="20"/>
        </w:rPr>
      </w:pPr>
      <w:r w:rsidRPr="00A71A05">
        <w:rPr>
          <w:rFonts w:ascii="Tahoma" w:hAnsi="Tahoma" w:cs="Tahoma"/>
          <w:color w:val="000000"/>
          <w:sz w:val="20"/>
          <w:szCs w:val="20"/>
        </w:rPr>
        <w:t>It provides ‘compliance tips’, which indicate the factors that ASIC is likely to look more closely at as part of our surveillance activities.</w:t>
      </w:r>
    </w:p>
    <w:p w:rsidR="00A71A05" w:rsidRPr="00A71A05" w:rsidRDefault="00A71A05" w:rsidP="00A71A05">
      <w:pPr>
        <w:pStyle w:val="NormalWeb"/>
        <w:shd w:val="clear" w:color="auto" w:fill="FFFFFF"/>
        <w:rPr>
          <w:rFonts w:ascii="Tahoma" w:hAnsi="Tahoma" w:cs="Tahoma"/>
          <w:color w:val="000000"/>
          <w:sz w:val="20"/>
          <w:szCs w:val="20"/>
        </w:rPr>
      </w:pPr>
      <w:r w:rsidRPr="00A71A05">
        <w:rPr>
          <w:rFonts w:ascii="Tahoma" w:hAnsi="Tahoma" w:cs="Tahoma"/>
          <w:color w:val="000000"/>
          <w:sz w:val="20"/>
          <w:szCs w:val="20"/>
        </w:rPr>
        <w:t>It should also help AFS licensees and their representatives comply with the conduct and disclosure obligations in Parts 7.7 and 7.7A of the </w:t>
      </w:r>
      <w:r w:rsidRPr="00A71A05">
        <w:rPr>
          <w:rStyle w:val="Emphasis"/>
          <w:rFonts w:ascii="Tahoma" w:hAnsi="Tahoma" w:cs="Tahoma"/>
          <w:color w:val="000000"/>
          <w:sz w:val="20"/>
          <w:szCs w:val="20"/>
        </w:rPr>
        <w:t>Corporations Act 2001</w:t>
      </w:r>
      <w:r w:rsidRPr="00A71A05">
        <w:rPr>
          <w:rFonts w:ascii="Tahoma" w:hAnsi="Tahoma" w:cs="Tahoma"/>
          <w:color w:val="000000"/>
          <w:sz w:val="20"/>
          <w:szCs w:val="20"/>
        </w:rPr>
        <w:t> (Corporations Act).</w:t>
      </w:r>
    </w:p>
    <w:p w:rsidR="00A71A05" w:rsidRPr="00A71A05" w:rsidRDefault="00A71A05" w:rsidP="00A71A05">
      <w:pPr>
        <w:pStyle w:val="NormalWeb"/>
        <w:shd w:val="clear" w:color="auto" w:fill="FFFFFF"/>
        <w:rPr>
          <w:rFonts w:ascii="Tahoma" w:hAnsi="Tahoma" w:cs="Tahoma"/>
          <w:color w:val="000000"/>
          <w:sz w:val="20"/>
          <w:szCs w:val="20"/>
        </w:rPr>
      </w:pPr>
      <w:r w:rsidRPr="00A71A05">
        <w:rPr>
          <w:rFonts w:ascii="Tahoma" w:hAnsi="Tahoma" w:cs="Tahoma"/>
          <w:color w:val="000000"/>
          <w:sz w:val="20"/>
          <w:szCs w:val="20"/>
        </w:rPr>
        <w:lastRenderedPageBreak/>
        <w:t>It focuses on the costs associated with setting up, operating and winding up an SMSF, and should be read with Information Sheet 182 </w:t>
      </w:r>
      <w:r w:rsidRPr="00A71A05">
        <w:rPr>
          <w:rStyle w:val="Emphasis"/>
          <w:rFonts w:ascii="Tahoma" w:hAnsi="Tahoma" w:cs="Tahoma"/>
          <w:color w:val="000000"/>
          <w:sz w:val="20"/>
          <w:szCs w:val="20"/>
        </w:rPr>
        <w:t>Super switching advice: Complying with your obligations</w:t>
      </w:r>
      <w:r w:rsidRPr="00A71A05">
        <w:rPr>
          <w:rFonts w:ascii="Tahoma" w:hAnsi="Tahoma" w:cs="Tahoma"/>
          <w:color w:val="000000"/>
          <w:sz w:val="20"/>
          <w:szCs w:val="20"/>
        </w:rPr>
        <w:t> (</w:t>
      </w:r>
      <w:hyperlink r:id="rId23" w:tooltip="Super switching advice - complying with your obligations - INFO 182" w:history="1">
        <w:r w:rsidRPr="00A71A05">
          <w:rPr>
            <w:rStyle w:val="Hyperlink"/>
            <w:rFonts w:ascii="Tahoma" w:hAnsi="Tahoma" w:cs="Tahoma"/>
            <w:color w:val="0D6BBC"/>
            <w:sz w:val="20"/>
            <w:szCs w:val="20"/>
          </w:rPr>
          <w:t>INFO 182</w:t>
        </w:r>
      </w:hyperlink>
      <w:r w:rsidRPr="00A71A05">
        <w:rPr>
          <w:rFonts w:ascii="Tahoma" w:hAnsi="Tahoma" w:cs="Tahoma"/>
          <w:color w:val="000000"/>
          <w:sz w:val="20"/>
          <w:szCs w:val="20"/>
        </w:rPr>
        <w:t>) and Information Sheet 205 </w:t>
      </w:r>
      <w:r w:rsidRPr="00A71A05">
        <w:rPr>
          <w:rStyle w:val="Emphasis"/>
          <w:rFonts w:ascii="Tahoma" w:hAnsi="Tahoma" w:cs="Tahoma"/>
          <w:color w:val="000000"/>
          <w:sz w:val="20"/>
          <w:szCs w:val="20"/>
        </w:rPr>
        <w:t>Advice on self-managed superannuation funds: Disclosure of risks</w:t>
      </w:r>
      <w:r w:rsidRPr="00A71A05">
        <w:rPr>
          <w:rFonts w:ascii="Tahoma" w:hAnsi="Tahoma" w:cs="Tahoma"/>
          <w:color w:val="000000"/>
          <w:sz w:val="20"/>
          <w:szCs w:val="20"/>
        </w:rPr>
        <w:t> (</w:t>
      </w:r>
      <w:hyperlink r:id="rId24" w:tooltip="Advice on self-managed superannuation funds: Disclosure of risks" w:history="1">
        <w:r w:rsidRPr="00A71A05">
          <w:rPr>
            <w:rStyle w:val="Hyperlink"/>
            <w:rFonts w:ascii="Tahoma" w:hAnsi="Tahoma" w:cs="Tahoma"/>
            <w:color w:val="0D6BBC"/>
            <w:sz w:val="20"/>
            <w:szCs w:val="20"/>
          </w:rPr>
          <w:t>INFO 205</w:t>
        </w:r>
      </w:hyperlink>
      <w:r w:rsidRPr="00A71A05">
        <w:rPr>
          <w:rFonts w:ascii="Tahoma" w:hAnsi="Tahoma" w:cs="Tahoma"/>
          <w:color w:val="000000"/>
          <w:sz w:val="20"/>
          <w:szCs w:val="20"/>
        </w:rPr>
        <w:t>).</w:t>
      </w:r>
    </w:p>
    <w:p w:rsidR="00A71A05" w:rsidRPr="00A71A05" w:rsidRDefault="00A71A05" w:rsidP="00A71A05">
      <w:pPr>
        <w:pStyle w:val="NormalWeb"/>
        <w:shd w:val="clear" w:color="auto" w:fill="FFFFFF"/>
        <w:rPr>
          <w:rFonts w:ascii="Tahoma" w:hAnsi="Tahoma" w:cs="Tahoma"/>
          <w:color w:val="000000"/>
          <w:sz w:val="20"/>
          <w:szCs w:val="20"/>
        </w:rPr>
      </w:pPr>
      <w:r w:rsidRPr="00A71A05">
        <w:rPr>
          <w:rFonts w:ascii="Tahoma" w:hAnsi="Tahoma" w:cs="Tahoma"/>
          <w:color w:val="000000"/>
          <w:sz w:val="20"/>
          <w:szCs w:val="20"/>
        </w:rPr>
        <w:t>The disclosures referred to in this information sheet should be provided to a retail client at the time of the advice – this will usually be by way of a Statement of Advice (SOA). However, as a matter of best practice, AFS licensees and their representatives should also give these disclosures to retail clients in person, regardless of whether the advice is (or will be) set out in an SOA.</w:t>
      </w:r>
    </w:p>
    <w:p w:rsidR="00A71A05" w:rsidRPr="00A71A05" w:rsidRDefault="00A71A05" w:rsidP="00A71A05">
      <w:pPr>
        <w:pStyle w:val="Heading2"/>
        <w:shd w:val="clear" w:color="auto" w:fill="FFFFFF"/>
        <w:rPr>
          <w:rFonts w:ascii="Tahoma" w:hAnsi="Tahoma" w:cs="Tahoma"/>
          <w:color w:val="000000"/>
          <w:sz w:val="22"/>
          <w:szCs w:val="22"/>
        </w:rPr>
      </w:pPr>
      <w:bookmarkStart w:id="19" w:name="relevant-conduct-and-disclosure"/>
      <w:bookmarkStart w:id="20" w:name="_Toc491678252"/>
      <w:bookmarkEnd w:id="19"/>
      <w:r w:rsidRPr="00A71A05">
        <w:rPr>
          <w:rFonts w:ascii="Tahoma" w:hAnsi="Tahoma" w:cs="Tahoma"/>
          <w:b/>
          <w:bCs/>
          <w:color w:val="000000"/>
          <w:sz w:val="22"/>
          <w:szCs w:val="22"/>
        </w:rPr>
        <w:t>Relevant conduct and disclosure obligations</w:t>
      </w:r>
      <w:bookmarkEnd w:id="20"/>
    </w:p>
    <w:p w:rsidR="00A71A05" w:rsidRPr="00A71A05" w:rsidRDefault="00A71A05" w:rsidP="00A71A05">
      <w:pPr>
        <w:pStyle w:val="NormalWeb"/>
        <w:shd w:val="clear" w:color="auto" w:fill="FFFFFF"/>
        <w:rPr>
          <w:rFonts w:ascii="Tahoma" w:hAnsi="Tahoma" w:cs="Tahoma"/>
          <w:color w:val="000000"/>
          <w:sz w:val="20"/>
          <w:szCs w:val="20"/>
        </w:rPr>
      </w:pPr>
      <w:r w:rsidRPr="00A71A05">
        <w:rPr>
          <w:rFonts w:ascii="Tahoma" w:hAnsi="Tahoma" w:cs="Tahoma"/>
          <w:color w:val="000000"/>
          <w:sz w:val="20"/>
          <w:szCs w:val="20"/>
        </w:rPr>
        <w:t>Relevant conduct and disclosure obligations include:</w:t>
      </w:r>
    </w:p>
    <w:p w:rsidR="00A71A05" w:rsidRPr="00A71A05" w:rsidRDefault="00A71A05" w:rsidP="00A71A05">
      <w:pPr>
        <w:numPr>
          <w:ilvl w:val="0"/>
          <w:numId w:val="10"/>
        </w:numPr>
        <w:shd w:val="clear" w:color="auto" w:fill="FFFFFF"/>
        <w:spacing w:before="100" w:beforeAutospacing="1" w:after="100" w:afterAutospacing="1"/>
        <w:ind w:left="0"/>
        <w:rPr>
          <w:rFonts w:ascii="Tahoma" w:hAnsi="Tahoma" w:cs="Tahoma"/>
          <w:color w:val="000000"/>
          <w:sz w:val="20"/>
          <w:szCs w:val="20"/>
        </w:rPr>
      </w:pPr>
      <w:r w:rsidRPr="00A71A05">
        <w:rPr>
          <w:rFonts w:ascii="Tahoma" w:hAnsi="Tahoma" w:cs="Tahoma"/>
          <w:color w:val="000000"/>
          <w:sz w:val="20"/>
          <w:szCs w:val="20"/>
        </w:rPr>
        <w:t>the best interests duty and related obligations, which require advice providers, when providing personal advice to retail clients, to:</w:t>
      </w:r>
    </w:p>
    <w:p w:rsidR="00A71A05" w:rsidRPr="00A71A05" w:rsidRDefault="00A71A05" w:rsidP="00A71A05">
      <w:pPr>
        <w:numPr>
          <w:ilvl w:val="0"/>
          <w:numId w:val="10"/>
        </w:numPr>
        <w:shd w:val="clear" w:color="auto" w:fill="FFFFFF"/>
        <w:spacing w:before="100" w:beforeAutospacing="1" w:after="100" w:afterAutospacing="1"/>
        <w:ind w:left="450"/>
        <w:rPr>
          <w:rFonts w:ascii="Tahoma" w:hAnsi="Tahoma" w:cs="Tahoma"/>
          <w:color w:val="000000"/>
          <w:sz w:val="20"/>
          <w:szCs w:val="20"/>
        </w:rPr>
      </w:pPr>
      <w:r w:rsidRPr="00A71A05">
        <w:rPr>
          <w:rFonts w:ascii="Tahoma" w:hAnsi="Tahoma" w:cs="Tahoma"/>
          <w:color w:val="000000"/>
          <w:sz w:val="20"/>
          <w:szCs w:val="20"/>
        </w:rPr>
        <w:t>act in the best interests of the client (section 961B)</w:t>
      </w:r>
    </w:p>
    <w:p w:rsidR="00A71A05" w:rsidRPr="00A71A05" w:rsidRDefault="00A71A05" w:rsidP="00A71A05">
      <w:pPr>
        <w:numPr>
          <w:ilvl w:val="0"/>
          <w:numId w:val="10"/>
        </w:numPr>
        <w:shd w:val="clear" w:color="auto" w:fill="FFFFFF"/>
        <w:spacing w:before="100" w:beforeAutospacing="1" w:after="100" w:afterAutospacing="1"/>
        <w:ind w:left="450"/>
        <w:rPr>
          <w:rFonts w:ascii="Tahoma" w:hAnsi="Tahoma" w:cs="Tahoma"/>
          <w:color w:val="000000"/>
          <w:sz w:val="20"/>
          <w:szCs w:val="20"/>
        </w:rPr>
      </w:pPr>
      <w:r w:rsidRPr="00A71A05">
        <w:rPr>
          <w:rFonts w:ascii="Tahoma" w:hAnsi="Tahoma" w:cs="Tahoma"/>
          <w:color w:val="000000"/>
          <w:sz w:val="20"/>
          <w:szCs w:val="20"/>
        </w:rPr>
        <w:t>provide appropriate personal advice (section 961G)</w:t>
      </w:r>
    </w:p>
    <w:p w:rsidR="00A71A05" w:rsidRPr="00A71A05" w:rsidRDefault="00A71A05" w:rsidP="00A71A05">
      <w:pPr>
        <w:numPr>
          <w:ilvl w:val="0"/>
          <w:numId w:val="10"/>
        </w:numPr>
        <w:shd w:val="clear" w:color="auto" w:fill="FFFFFF"/>
        <w:spacing w:before="100" w:beforeAutospacing="1" w:after="100" w:afterAutospacing="1"/>
        <w:ind w:left="450"/>
        <w:rPr>
          <w:rFonts w:ascii="Tahoma" w:hAnsi="Tahoma" w:cs="Tahoma"/>
          <w:color w:val="000000"/>
          <w:sz w:val="20"/>
          <w:szCs w:val="20"/>
        </w:rPr>
      </w:pPr>
      <w:r w:rsidRPr="00A71A05">
        <w:rPr>
          <w:rFonts w:ascii="Tahoma" w:hAnsi="Tahoma" w:cs="Tahoma"/>
          <w:color w:val="000000"/>
          <w:sz w:val="20"/>
          <w:szCs w:val="20"/>
        </w:rPr>
        <w:t>warn the client if advice is based on incomplete or inaccurate information (section 961H)</w:t>
      </w:r>
    </w:p>
    <w:p w:rsidR="00A71A05" w:rsidRPr="00A71A05" w:rsidRDefault="00A71A05" w:rsidP="00A71A05">
      <w:pPr>
        <w:numPr>
          <w:ilvl w:val="0"/>
          <w:numId w:val="10"/>
        </w:numPr>
        <w:shd w:val="clear" w:color="auto" w:fill="FFFFFF"/>
        <w:spacing w:before="100" w:beforeAutospacing="1" w:after="100" w:afterAutospacing="1"/>
        <w:ind w:left="450"/>
        <w:rPr>
          <w:rFonts w:ascii="Tahoma" w:hAnsi="Tahoma" w:cs="Tahoma"/>
          <w:color w:val="000000"/>
          <w:sz w:val="20"/>
          <w:szCs w:val="20"/>
        </w:rPr>
      </w:pPr>
      <w:r w:rsidRPr="00A71A05">
        <w:rPr>
          <w:rFonts w:ascii="Tahoma" w:hAnsi="Tahoma" w:cs="Tahoma"/>
          <w:color w:val="000000"/>
          <w:sz w:val="20"/>
          <w:szCs w:val="20"/>
        </w:rPr>
        <w:t>prioritise the interests of the client (section 961J)</w:t>
      </w:r>
    </w:p>
    <w:p w:rsidR="00A71A05" w:rsidRPr="00A71A05" w:rsidRDefault="00A71A05" w:rsidP="00A71A05">
      <w:pPr>
        <w:numPr>
          <w:ilvl w:val="0"/>
          <w:numId w:val="10"/>
        </w:numPr>
        <w:shd w:val="clear" w:color="auto" w:fill="FFFFFF"/>
        <w:spacing w:before="100" w:beforeAutospacing="1" w:after="100" w:afterAutospacing="1"/>
        <w:ind w:left="0"/>
        <w:rPr>
          <w:rFonts w:ascii="Tahoma" w:hAnsi="Tahoma" w:cs="Tahoma"/>
          <w:color w:val="000000"/>
          <w:sz w:val="20"/>
          <w:szCs w:val="20"/>
        </w:rPr>
      </w:pPr>
      <w:r w:rsidRPr="00A71A05">
        <w:rPr>
          <w:rFonts w:ascii="Tahoma" w:hAnsi="Tahoma" w:cs="Tahoma"/>
          <w:color w:val="000000"/>
          <w:sz w:val="20"/>
          <w:szCs w:val="20"/>
        </w:rPr>
        <w:t>the requirement to give retail clients an SOA when personal advice is provided (section 946A) – if the SOA is not the means by which personal advice is provided, the SOA must be given as soon as practicable after the advice has been provided but, in any event, before the client acts on the advice (section 946C)</w:t>
      </w:r>
    </w:p>
    <w:p w:rsidR="00A71A05" w:rsidRPr="00A71A05" w:rsidRDefault="00A71A05" w:rsidP="00A71A05">
      <w:pPr>
        <w:numPr>
          <w:ilvl w:val="0"/>
          <w:numId w:val="10"/>
        </w:numPr>
        <w:shd w:val="clear" w:color="auto" w:fill="FFFFFF"/>
        <w:spacing w:before="100" w:beforeAutospacing="1" w:after="100" w:afterAutospacing="1"/>
        <w:ind w:left="0"/>
        <w:rPr>
          <w:rFonts w:ascii="Tahoma" w:hAnsi="Tahoma" w:cs="Tahoma"/>
          <w:color w:val="000000"/>
          <w:sz w:val="20"/>
          <w:szCs w:val="20"/>
        </w:rPr>
      </w:pPr>
      <w:r w:rsidRPr="00A71A05">
        <w:rPr>
          <w:rFonts w:ascii="Tahoma" w:hAnsi="Tahoma" w:cs="Tahoma"/>
          <w:color w:val="000000"/>
          <w:sz w:val="20"/>
          <w:szCs w:val="20"/>
        </w:rPr>
        <w:t>the additional information that must be included in an SOA when the advice recommends replacing one product with another (switching advice) (section 947D).</w:t>
      </w:r>
    </w:p>
    <w:p w:rsidR="00A71A05" w:rsidRPr="00A71A05" w:rsidRDefault="00A71A05" w:rsidP="00A71A05">
      <w:pPr>
        <w:pStyle w:val="NormalWeb"/>
        <w:shd w:val="clear" w:color="auto" w:fill="FFFFFF"/>
        <w:rPr>
          <w:rFonts w:ascii="Tahoma" w:hAnsi="Tahoma" w:cs="Tahoma"/>
          <w:color w:val="000000"/>
          <w:sz w:val="20"/>
          <w:szCs w:val="20"/>
        </w:rPr>
      </w:pPr>
      <w:r w:rsidRPr="00A71A05">
        <w:rPr>
          <w:rFonts w:ascii="Tahoma" w:hAnsi="Tahoma" w:cs="Tahoma"/>
          <w:color w:val="000000"/>
          <w:sz w:val="20"/>
          <w:szCs w:val="20"/>
        </w:rPr>
        <w:t>When giving advice to retail clients on establishing and/or switching to an SMSF, clients should be advised on the risks and costs associated with setting up and/or switching to an SMSF.</w:t>
      </w:r>
    </w:p>
    <w:p w:rsidR="00A71A05" w:rsidRPr="00A71A05" w:rsidRDefault="00A71A05" w:rsidP="00A71A05">
      <w:pPr>
        <w:pStyle w:val="NormalWeb"/>
        <w:shd w:val="clear" w:color="auto" w:fill="FFFFFF"/>
        <w:rPr>
          <w:rFonts w:ascii="Tahoma" w:hAnsi="Tahoma" w:cs="Tahoma"/>
          <w:color w:val="000000"/>
          <w:sz w:val="20"/>
          <w:szCs w:val="20"/>
        </w:rPr>
      </w:pPr>
      <w:r w:rsidRPr="00A71A05">
        <w:rPr>
          <w:rFonts w:ascii="Tahoma" w:hAnsi="Tahoma" w:cs="Tahoma"/>
          <w:color w:val="000000"/>
          <w:sz w:val="20"/>
          <w:szCs w:val="20"/>
        </w:rPr>
        <w:t>Some examples of costs that should be considered by an adviser and disclosed to retail clients are set out below. For examples of the risks that should be considered and disclosed, see </w:t>
      </w:r>
      <w:hyperlink r:id="rId25" w:tooltip="Advice on self-managed superannuation funds: Disclosure of risks" w:history="1">
        <w:r w:rsidRPr="00A71A05">
          <w:rPr>
            <w:rStyle w:val="Hyperlink"/>
            <w:rFonts w:ascii="Tahoma" w:hAnsi="Tahoma" w:cs="Tahoma"/>
            <w:color w:val="0D6BBC"/>
            <w:sz w:val="20"/>
            <w:szCs w:val="20"/>
          </w:rPr>
          <w:t>INFO 205</w:t>
        </w:r>
      </w:hyperlink>
      <w:r w:rsidRPr="00A71A05">
        <w:rPr>
          <w:rFonts w:ascii="Tahoma" w:hAnsi="Tahoma" w:cs="Tahoma"/>
          <w:color w:val="000000"/>
          <w:sz w:val="20"/>
          <w:szCs w:val="20"/>
        </w:rPr>
        <w:t>.</w:t>
      </w:r>
    </w:p>
    <w:p w:rsidR="00A71A05" w:rsidRPr="00A71A05" w:rsidRDefault="00A71A05" w:rsidP="00A71A05">
      <w:pPr>
        <w:pStyle w:val="Heading2"/>
        <w:shd w:val="clear" w:color="auto" w:fill="FFFFFF"/>
        <w:rPr>
          <w:rFonts w:ascii="Tahoma" w:hAnsi="Tahoma" w:cs="Tahoma"/>
          <w:color w:val="000000"/>
          <w:sz w:val="22"/>
          <w:szCs w:val="22"/>
        </w:rPr>
      </w:pPr>
      <w:bookmarkStart w:id="21" w:name="cost-effectiveness"/>
      <w:bookmarkStart w:id="22" w:name="_Toc491678253"/>
      <w:bookmarkEnd w:id="21"/>
      <w:r w:rsidRPr="00A71A05">
        <w:rPr>
          <w:rFonts w:ascii="Tahoma" w:hAnsi="Tahoma" w:cs="Tahoma"/>
          <w:b/>
          <w:bCs/>
          <w:color w:val="000000"/>
          <w:sz w:val="22"/>
          <w:szCs w:val="22"/>
        </w:rPr>
        <w:t>Advice on the cost-effectiveness of an SMSF</w:t>
      </w:r>
      <w:bookmarkEnd w:id="22"/>
    </w:p>
    <w:p w:rsidR="00A71A05" w:rsidRPr="00A71A05" w:rsidRDefault="00A71A05" w:rsidP="00A71A05">
      <w:pPr>
        <w:pStyle w:val="NormalWeb"/>
        <w:shd w:val="clear" w:color="auto" w:fill="FFFFFF"/>
        <w:rPr>
          <w:rFonts w:ascii="Tahoma" w:hAnsi="Tahoma" w:cs="Tahoma"/>
          <w:color w:val="000000"/>
          <w:sz w:val="20"/>
          <w:szCs w:val="20"/>
        </w:rPr>
      </w:pPr>
      <w:r w:rsidRPr="00A71A05">
        <w:rPr>
          <w:rFonts w:ascii="Tahoma" w:hAnsi="Tahoma" w:cs="Tahoma"/>
          <w:color w:val="000000"/>
          <w:sz w:val="20"/>
          <w:szCs w:val="20"/>
        </w:rPr>
        <w:t>An important consideration is whether the likely balance of the SMSF makes it cost-effective for the client. If it is not cost-effective, it is very unlikely to be in the client’s best interests.</w:t>
      </w:r>
    </w:p>
    <w:p w:rsidR="00A71A05" w:rsidRPr="00A71A05" w:rsidRDefault="00A71A05" w:rsidP="00A71A05">
      <w:pPr>
        <w:pStyle w:val="Heading3"/>
        <w:shd w:val="clear" w:color="auto" w:fill="FFFFFF"/>
        <w:rPr>
          <w:rFonts w:ascii="Tahoma" w:hAnsi="Tahoma" w:cs="Tahoma"/>
          <w:color w:val="000000"/>
          <w:sz w:val="20"/>
          <w:szCs w:val="20"/>
        </w:rPr>
      </w:pPr>
      <w:bookmarkStart w:id="23" w:name="_Toc491678254"/>
      <w:r w:rsidRPr="00A71A05">
        <w:rPr>
          <w:rFonts w:ascii="Tahoma" w:hAnsi="Tahoma" w:cs="Tahoma"/>
          <w:b/>
          <w:bCs/>
          <w:color w:val="000000"/>
          <w:sz w:val="20"/>
          <w:szCs w:val="20"/>
        </w:rPr>
        <w:t>Starting balances below $200,000</w:t>
      </w:r>
      <w:bookmarkEnd w:id="23"/>
    </w:p>
    <w:p w:rsidR="00A71A05" w:rsidRPr="00A71A05" w:rsidRDefault="00A71A05" w:rsidP="00A71A05">
      <w:pPr>
        <w:pStyle w:val="NormalWeb"/>
        <w:shd w:val="clear" w:color="auto" w:fill="FFFFFF"/>
        <w:spacing w:before="0" w:beforeAutospacing="0"/>
        <w:rPr>
          <w:rFonts w:ascii="Tahoma" w:hAnsi="Tahoma" w:cs="Tahoma"/>
          <w:color w:val="000000"/>
          <w:sz w:val="20"/>
          <w:szCs w:val="20"/>
        </w:rPr>
      </w:pPr>
      <w:r w:rsidRPr="00A71A05">
        <w:rPr>
          <w:rFonts w:ascii="Tahoma" w:hAnsi="Tahoma" w:cs="Tahoma"/>
          <w:color w:val="000000"/>
          <w:sz w:val="20"/>
          <w:szCs w:val="20"/>
        </w:rPr>
        <w:t>In many cases, a recommendation for a retail client to set up an SMSF with a starting balance of $200,000 or below is unlikely to be in the client’s best interests. The costs of establishing and operating an SMSF with a balance of $200,000 or below are unlikely to be competitive, compared to a fund regulated by the Australian Prudential Regulation Authority (APRA). Therefore, the client may not be in a better position when compared to using an APRA-regulated superannuation fund.</w:t>
      </w:r>
    </w:p>
    <w:p w:rsidR="00A71A05" w:rsidRPr="00A71A05" w:rsidRDefault="00A71A05" w:rsidP="00A71A05">
      <w:pPr>
        <w:pStyle w:val="in-page"/>
        <w:shd w:val="clear" w:color="auto" w:fill="F0EEE9"/>
        <w:spacing w:after="240" w:afterAutospacing="0"/>
        <w:rPr>
          <w:rFonts w:ascii="Tahoma" w:hAnsi="Tahoma" w:cs="Tahoma"/>
          <w:color w:val="000000"/>
          <w:sz w:val="20"/>
          <w:szCs w:val="20"/>
        </w:rPr>
      </w:pPr>
      <w:r w:rsidRPr="00A71A05">
        <w:rPr>
          <w:rStyle w:val="Strong"/>
          <w:rFonts w:ascii="Tahoma" w:hAnsi="Tahoma" w:cs="Tahoma"/>
          <w:color w:val="000000"/>
          <w:sz w:val="20"/>
          <w:szCs w:val="20"/>
        </w:rPr>
        <w:t>Note:</w:t>
      </w:r>
      <w:r w:rsidRPr="00A71A05">
        <w:rPr>
          <w:rFonts w:ascii="Tahoma" w:hAnsi="Tahoma" w:cs="Tahoma"/>
          <w:color w:val="000000"/>
          <w:sz w:val="20"/>
          <w:szCs w:val="20"/>
        </w:rPr>
        <w:t> We arrived at the figure of $200,000 as a result of independent research from Rice Warner, our consultation on that research and our assessment on what may be an appropriate minimum starting balance for an SMSF.</w:t>
      </w:r>
    </w:p>
    <w:p w:rsidR="00A71A05" w:rsidRPr="00A71A05" w:rsidRDefault="00A71A05" w:rsidP="00A71A05">
      <w:pPr>
        <w:pStyle w:val="NormalWeb"/>
        <w:shd w:val="clear" w:color="auto" w:fill="FFFFFF"/>
        <w:rPr>
          <w:rFonts w:ascii="Tahoma" w:hAnsi="Tahoma" w:cs="Tahoma"/>
          <w:color w:val="000000"/>
          <w:sz w:val="20"/>
          <w:szCs w:val="20"/>
        </w:rPr>
      </w:pPr>
      <w:r w:rsidRPr="00A71A05">
        <w:rPr>
          <w:rFonts w:ascii="Tahoma" w:hAnsi="Tahoma" w:cs="Tahoma"/>
          <w:color w:val="000000"/>
          <w:sz w:val="20"/>
          <w:szCs w:val="20"/>
        </w:rPr>
        <w:t>However, there are circumstances where an SMSF with a starting balance of below $200,000 may be in the client’s best interests – for example:</w:t>
      </w:r>
    </w:p>
    <w:p w:rsidR="00A71A05" w:rsidRPr="00A71A05" w:rsidRDefault="00A71A05" w:rsidP="00A71A05">
      <w:pPr>
        <w:numPr>
          <w:ilvl w:val="0"/>
          <w:numId w:val="11"/>
        </w:numPr>
        <w:shd w:val="clear" w:color="auto" w:fill="FFFFFF"/>
        <w:spacing w:before="100" w:beforeAutospacing="1" w:after="100" w:afterAutospacing="1"/>
        <w:ind w:left="0"/>
        <w:rPr>
          <w:rFonts w:ascii="Tahoma" w:hAnsi="Tahoma" w:cs="Tahoma"/>
          <w:color w:val="000000"/>
          <w:sz w:val="20"/>
          <w:szCs w:val="20"/>
        </w:rPr>
      </w:pPr>
      <w:r w:rsidRPr="00A71A05">
        <w:rPr>
          <w:rFonts w:ascii="Tahoma" w:hAnsi="Tahoma" w:cs="Tahoma"/>
          <w:color w:val="000000"/>
          <w:sz w:val="20"/>
          <w:szCs w:val="20"/>
        </w:rPr>
        <w:t>where the trustee is willing to undertake much of the administration of the SMSF and the management of the investments to make it more cost-effective, or</w:t>
      </w:r>
    </w:p>
    <w:p w:rsidR="00A71A05" w:rsidRPr="00A71A05" w:rsidRDefault="00A71A05" w:rsidP="00A71A05">
      <w:pPr>
        <w:numPr>
          <w:ilvl w:val="0"/>
          <w:numId w:val="11"/>
        </w:numPr>
        <w:shd w:val="clear" w:color="auto" w:fill="FFFFFF"/>
        <w:spacing w:before="100" w:beforeAutospacing="1" w:after="100" w:afterAutospacing="1"/>
        <w:ind w:left="0"/>
        <w:rPr>
          <w:rFonts w:ascii="Tahoma" w:hAnsi="Tahoma" w:cs="Tahoma"/>
          <w:color w:val="000000"/>
          <w:sz w:val="20"/>
          <w:szCs w:val="20"/>
        </w:rPr>
      </w:pPr>
      <w:r w:rsidRPr="00A71A05">
        <w:rPr>
          <w:rFonts w:ascii="Tahoma" w:hAnsi="Tahoma" w:cs="Tahoma"/>
          <w:color w:val="000000"/>
          <w:sz w:val="20"/>
          <w:szCs w:val="20"/>
        </w:rPr>
        <w:lastRenderedPageBreak/>
        <w:t>where a large asset (e.g. business property or an inheritance) or funds in another superannuation account will be transferred into the fund within a short timeframe (e.g. within a few months) after the SMSF is set up.</w:t>
      </w:r>
    </w:p>
    <w:p w:rsidR="00A71A05" w:rsidRPr="00A71A05" w:rsidRDefault="00A71A05" w:rsidP="00A71A05">
      <w:pPr>
        <w:pStyle w:val="NormalWeb"/>
        <w:shd w:val="clear" w:color="auto" w:fill="FFFFFF"/>
        <w:rPr>
          <w:rFonts w:ascii="Tahoma" w:hAnsi="Tahoma" w:cs="Tahoma"/>
          <w:color w:val="000000"/>
          <w:sz w:val="20"/>
          <w:szCs w:val="20"/>
        </w:rPr>
      </w:pPr>
      <w:r w:rsidRPr="00A71A05">
        <w:rPr>
          <w:rFonts w:ascii="Tahoma" w:hAnsi="Tahoma" w:cs="Tahoma"/>
          <w:color w:val="000000"/>
          <w:sz w:val="20"/>
          <w:szCs w:val="20"/>
        </w:rPr>
        <w:t>There will also be circumstances when an SMSF with a starting balance of $200,000 or above is not in the client’s best interests because it does not meet their objectives, financial situation or needs. For example, the client may not have the skills, time or experience to adequately carry out the duties of a trustee.</w:t>
      </w:r>
    </w:p>
    <w:p w:rsidR="00A71A05" w:rsidRPr="00A71A05" w:rsidRDefault="00A71A05" w:rsidP="00A71A05">
      <w:pPr>
        <w:pStyle w:val="NormalWeb"/>
        <w:shd w:val="clear" w:color="auto" w:fill="FFFFFF"/>
        <w:rPr>
          <w:rFonts w:ascii="Tahoma" w:hAnsi="Tahoma" w:cs="Tahoma"/>
          <w:color w:val="000000"/>
          <w:sz w:val="20"/>
          <w:szCs w:val="20"/>
        </w:rPr>
      </w:pPr>
      <w:r w:rsidRPr="00A71A05">
        <w:rPr>
          <w:rFonts w:ascii="Tahoma" w:hAnsi="Tahoma" w:cs="Tahoma"/>
          <w:color w:val="000000"/>
          <w:sz w:val="20"/>
          <w:szCs w:val="20"/>
        </w:rPr>
        <w:t>Where advice is provided to establish an SMSF with a low balance, we would expect the advice to clearly set out:</w:t>
      </w:r>
    </w:p>
    <w:p w:rsidR="00A71A05" w:rsidRPr="00A71A05" w:rsidRDefault="00A71A05" w:rsidP="00A71A05">
      <w:pPr>
        <w:numPr>
          <w:ilvl w:val="0"/>
          <w:numId w:val="12"/>
        </w:numPr>
        <w:shd w:val="clear" w:color="auto" w:fill="FFFFFF"/>
        <w:spacing w:before="100" w:beforeAutospacing="1" w:after="100" w:afterAutospacing="1"/>
        <w:ind w:left="0"/>
        <w:rPr>
          <w:rFonts w:ascii="Tahoma" w:hAnsi="Tahoma" w:cs="Tahoma"/>
          <w:color w:val="000000"/>
          <w:sz w:val="20"/>
          <w:szCs w:val="20"/>
        </w:rPr>
      </w:pPr>
      <w:r w:rsidRPr="00A71A05">
        <w:rPr>
          <w:rFonts w:ascii="Tahoma" w:hAnsi="Tahoma" w:cs="Tahoma"/>
          <w:color w:val="000000"/>
          <w:sz w:val="20"/>
          <w:szCs w:val="20"/>
        </w:rPr>
        <w:t>the circumstances that influence the adviser to believe the client is likely to end up in a better position, despite the SMSF having a low starting balance</w:t>
      </w:r>
    </w:p>
    <w:p w:rsidR="00A71A05" w:rsidRPr="00A71A05" w:rsidRDefault="00A71A05" w:rsidP="00A71A05">
      <w:pPr>
        <w:numPr>
          <w:ilvl w:val="0"/>
          <w:numId w:val="12"/>
        </w:numPr>
        <w:shd w:val="clear" w:color="auto" w:fill="FFFFFF"/>
        <w:spacing w:before="100" w:beforeAutospacing="1" w:after="100" w:afterAutospacing="1"/>
        <w:ind w:left="0"/>
        <w:rPr>
          <w:rFonts w:ascii="Tahoma" w:hAnsi="Tahoma" w:cs="Tahoma"/>
          <w:color w:val="000000"/>
          <w:sz w:val="20"/>
          <w:szCs w:val="20"/>
        </w:rPr>
      </w:pPr>
      <w:r w:rsidRPr="00A71A05">
        <w:rPr>
          <w:rFonts w:ascii="Tahoma" w:hAnsi="Tahoma" w:cs="Tahoma"/>
          <w:color w:val="000000"/>
          <w:sz w:val="20"/>
          <w:szCs w:val="20"/>
        </w:rPr>
        <w:t>consideration of whether the SMSF’s intended investment strategy is appropriate and viable</w:t>
      </w:r>
    </w:p>
    <w:p w:rsidR="00A71A05" w:rsidRPr="00A71A05" w:rsidRDefault="00A71A05" w:rsidP="00A71A05">
      <w:pPr>
        <w:numPr>
          <w:ilvl w:val="0"/>
          <w:numId w:val="12"/>
        </w:numPr>
        <w:shd w:val="clear" w:color="auto" w:fill="FFFFFF"/>
        <w:spacing w:before="100" w:beforeAutospacing="1" w:after="100" w:afterAutospacing="1"/>
        <w:ind w:left="0"/>
        <w:rPr>
          <w:rFonts w:ascii="Tahoma" w:hAnsi="Tahoma" w:cs="Tahoma"/>
          <w:color w:val="000000"/>
          <w:sz w:val="20"/>
          <w:szCs w:val="20"/>
        </w:rPr>
      </w:pPr>
      <w:r w:rsidRPr="00A71A05">
        <w:rPr>
          <w:rFonts w:ascii="Tahoma" w:hAnsi="Tahoma" w:cs="Tahoma"/>
          <w:color w:val="000000"/>
          <w:sz w:val="20"/>
          <w:szCs w:val="20"/>
        </w:rPr>
        <w:t>the reasons why setting up and operating an SMSF is in the best interests of the client.</w:t>
      </w:r>
    </w:p>
    <w:p w:rsidR="00A71A05" w:rsidRPr="00A71A05" w:rsidRDefault="00A71A05" w:rsidP="00A71A05">
      <w:pPr>
        <w:pStyle w:val="in-page"/>
        <w:shd w:val="clear" w:color="auto" w:fill="F0EEE9"/>
        <w:spacing w:after="240" w:afterAutospacing="0"/>
        <w:rPr>
          <w:rFonts w:ascii="Tahoma" w:hAnsi="Tahoma" w:cs="Tahoma"/>
          <w:color w:val="000000"/>
          <w:sz w:val="20"/>
          <w:szCs w:val="20"/>
        </w:rPr>
      </w:pPr>
      <w:r w:rsidRPr="00A71A05">
        <w:rPr>
          <w:rStyle w:val="Strong"/>
          <w:rFonts w:ascii="Tahoma" w:hAnsi="Tahoma" w:cs="Tahoma"/>
          <w:color w:val="000000"/>
          <w:sz w:val="20"/>
          <w:szCs w:val="20"/>
        </w:rPr>
        <w:t>Compliance tip:</w:t>
      </w:r>
      <w:r w:rsidRPr="00A71A05">
        <w:rPr>
          <w:rFonts w:ascii="Tahoma" w:hAnsi="Tahoma" w:cs="Tahoma"/>
          <w:color w:val="000000"/>
          <w:sz w:val="20"/>
          <w:szCs w:val="20"/>
        </w:rPr>
        <w:t> We are likely to look more closely at advice to establish an SMSF, to consider whether the advice complies with the best interests duty and related obligations, if the starting balance of the SMSF is below $200,000.</w:t>
      </w:r>
    </w:p>
    <w:p w:rsidR="00A71A05" w:rsidRPr="00A71A05" w:rsidRDefault="00A71A05" w:rsidP="00A71A05">
      <w:pPr>
        <w:pStyle w:val="Heading2"/>
        <w:shd w:val="clear" w:color="auto" w:fill="FFFFFF"/>
        <w:rPr>
          <w:rFonts w:ascii="Tahoma" w:hAnsi="Tahoma" w:cs="Tahoma"/>
          <w:color w:val="000000"/>
          <w:sz w:val="22"/>
          <w:szCs w:val="22"/>
        </w:rPr>
      </w:pPr>
      <w:bookmarkStart w:id="24" w:name="costs-of-setting-up-operating-winding-up"/>
      <w:bookmarkStart w:id="25" w:name="_Toc491678255"/>
      <w:bookmarkEnd w:id="24"/>
      <w:r w:rsidRPr="00A71A05">
        <w:rPr>
          <w:rFonts w:ascii="Tahoma" w:hAnsi="Tahoma" w:cs="Tahoma"/>
          <w:b/>
          <w:bCs/>
          <w:color w:val="000000"/>
          <w:sz w:val="22"/>
          <w:szCs w:val="22"/>
        </w:rPr>
        <w:t>Advice on the costs of setting up, operating and winding up an SMSF</w:t>
      </w:r>
      <w:bookmarkEnd w:id="25"/>
    </w:p>
    <w:p w:rsidR="00A71A05" w:rsidRPr="00A71A05" w:rsidRDefault="00A71A05" w:rsidP="00A71A05">
      <w:pPr>
        <w:pStyle w:val="NormalWeb"/>
        <w:shd w:val="clear" w:color="auto" w:fill="FFFFFF"/>
        <w:rPr>
          <w:rFonts w:ascii="Tahoma" w:hAnsi="Tahoma" w:cs="Tahoma"/>
          <w:color w:val="000000"/>
          <w:sz w:val="20"/>
          <w:szCs w:val="20"/>
        </w:rPr>
      </w:pPr>
      <w:r w:rsidRPr="00A71A05">
        <w:rPr>
          <w:rFonts w:ascii="Tahoma" w:hAnsi="Tahoma" w:cs="Tahoma"/>
          <w:color w:val="000000"/>
          <w:sz w:val="20"/>
          <w:szCs w:val="20"/>
        </w:rPr>
        <w:t>There are many costs applicable to setting up, operating and winding up an SMSF that should be discussed with retail clients and set out in the advice. Matters that should be discussed and disclosed are:</w:t>
      </w:r>
    </w:p>
    <w:p w:rsidR="00A71A05" w:rsidRPr="00A71A05" w:rsidRDefault="00A71A05" w:rsidP="00A71A05">
      <w:pPr>
        <w:numPr>
          <w:ilvl w:val="0"/>
          <w:numId w:val="13"/>
        </w:numPr>
        <w:shd w:val="clear" w:color="auto" w:fill="FFFFFF"/>
        <w:spacing w:before="100" w:beforeAutospacing="1" w:after="100" w:afterAutospacing="1"/>
        <w:ind w:left="0"/>
        <w:rPr>
          <w:rFonts w:ascii="Tahoma" w:hAnsi="Tahoma" w:cs="Tahoma"/>
          <w:color w:val="000000"/>
          <w:sz w:val="20"/>
          <w:szCs w:val="20"/>
        </w:rPr>
      </w:pPr>
      <w:r w:rsidRPr="00A71A05">
        <w:rPr>
          <w:rFonts w:ascii="Tahoma" w:hAnsi="Tahoma" w:cs="Tahoma"/>
          <w:color w:val="000000"/>
          <w:sz w:val="20"/>
          <w:szCs w:val="20"/>
        </w:rPr>
        <w:t>the costs that are expected to be incurred in establishing, operating and winding up an SMSF – in particular, which costs are unavoidable, as well as costs that may vary depending on how much of the SMSF’s administration the trustees are intending to undertake</w:t>
      </w:r>
    </w:p>
    <w:p w:rsidR="00A71A05" w:rsidRPr="00A71A05" w:rsidRDefault="00A71A05" w:rsidP="00A71A05">
      <w:pPr>
        <w:numPr>
          <w:ilvl w:val="0"/>
          <w:numId w:val="13"/>
        </w:numPr>
        <w:shd w:val="clear" w:color="auto" w:fill="FFFFFF"/>
        <w:spacing w:before="100" w:beforeAutospacing="1" w:after="100" w:afterAutospacing="1"/>
        <w:ind w:left="0"/>
        <w:rPr>
          <w:rFonts w:ascii="Tahoma" w:hAnsi="Tahoma" w:cs="Tahoma"/>
          <w:color w:val="000000"/>
          <w:sz w:val="20"/>
          <w:szCs w:val="20"/>
        </w:rPr>
      </w:pPr>
      <w:r w:rsidRPr="00A71A05">
        <w:rPr>
          <w:rFonts w:ascii="Tahoma" w:hAnsi="Tahoma" w:cs="Tahoma"/>
          <w:color w:val="000000"/>
          <w:sz w:val="20"/>
          <w:szCs w:val="20"/>
        </w:rPr>
        <w:t>how the average annual operating costs of an SMSF compare with the annual administration costs of the client’s current superannuation fund or other APRA-regulated superannuation funds</w:t>
      </w:r>
    </w:p>
    <w:p w:rsidR="00A71A05" w:rsidRPr="00A71A05" w:rsidRDefault="00A71A05" w:rsidP="00A71A05">
      <w:pPr>
        <w:numPr>
          <w:ilvl w:val="0"/>
          <w:numId w:val="13"/>
        </w:numPr>
        <w:shd w:val="clear" w:color="auto" w:fill="FFFFFF"/>
        <w:spacing w:before="100" w:beforeAutospacing="1" w:after="100" w:afterAutospacing="1"/>
        <w:ind w:left="0"/>
        <w:rPr>
          <w:rFonts w:ascii="Tahoma" w:hAnsi="Tahoma" w:cs="Tahoma"/>
          <w:color w:val="000000"/>
          <w:sz w:val="20"/>
          <w:szCs w:val="20"/>
        </w:rPr>
      </w:pPr>
      <w:r w:rsidRPr="00A71A05">
        <w:rPr>
          <w:rFonts w:ascii="Tahoma" w:hAnsi="Tahoma" w:cs="Tahoma"/>
          <w:color w:val="000000"/>
          <w:sz w:val="20"/>
          <w:szCs w:val="20"/>
        </w:rPr>
        <w:t>the cost of having professional service providers do some of the ongoing administration and management tasks for the SMSF.</w:t>
      </w:r>
    </w:p>
    <w:p w:rsidR="00A71A05" w:rsidRPr="00A71A05" w:rsidRDefault="00A71A05" w:rsidP="00A71A05">
      <w:pPr>
        <w:pStyle w:val="Heading3"/>
        <w:shd w:val="clear" w:color="auto" w:fill="FFFFFF"/>
        <w:rPr>
          <w:rFonts w:ascii="Tahoma" w:hAnsi="Tahoma" w:cs="Tahoma"/>
          <w:color w:val="000000"/>
          <w:sz w:val="20"/>
          <w:szCs w:val="20"/>
        </w:rPr>
      </w:pPr>
      <w:bookmarkStart w:id="26" w:name="_Toc491678256"/>
      <w:r w:rsidRPr="00A71A05">
        <w:rPr>
          <w:rFonts w:ascii="Tahoma" w:hAnsi="Tahoma" w:cs="Tahoma"/>
          <w:b/>
          <w:bCs/>
          <w:color w:val="000000"/>
          <w:sz w:val="20"/>
          <w:szCs w:val="20"/>
        </w:rPr>
        <w:t>Unavoidable versus optional costs</w:t>
      </w:r>
      <w:bookmarkEnd w:id="26"/>
    </w:p>
    <w:p w:rsidR="00A71A05" w:rsidRPr="00A71A05" w:rsidRDefault="00A71A05" w:rsidP="00A71A05">
      <w:pPr>
        <w:pStyle w:val="NormalWeb"/>
        <w:shd w:val="clear" w:color="auto" w:fill="FFFFFF"/>
        <w:spacing w:before="0" w:beforeAutospacing="0"/>
        <w:rPr>
          <w:rFonts w:ascii="Tahoma" w:hAnsi="Tahoma" w:cs="Tahoma"/>
          <w:color w:val="000000"/>
          <w:sz w:val="20"/>
          <w:szCs w:val="20"/>
        </w:rPr>
      </w:pPr>
      <w:r w:rsidRPr="00A71A05">
        <w:rPr>
          <w:rFonts w:ascii="Tahoma" w:hAnsi="Tahoma" w:cs="Tahoma"/>
          <w:color w:val="000000"/>
          <w:sz w:val="20"/>
          <w:szCs w:val="20"/>
        </w:rPr>
        <w:t>Some costs applicable to setting up, operating and winding up an SMSF are unavoidable, while other costs are optional and depend on decisions the trustee makes. Examples of unavoidable costs include:</w:t>
      </w:r>
    </w:p>
    <w:p w:rsidR="00A71A05" w:rsidRPr="00A71A05" w:rsidRDefault="00A71A05" w:rsidP="00A71A05">
      <w:pPr>
        <w:numPr>
          <w:ilvl w:val="0"/>
          <w:numId w:val="14"/>
        </w:numPr>
        <w:shd w:val="clear" w:color="auto" w:fill="FFFFFF"/>
        <w:spacing w:before="100" w:beforeAutospacing="1" w:after="100" w:afterAutospacing="1"/>
        <w:ind w:left="0"/>
        <w:rPr>
          <w:rFonts w:ascii="Tahoma" w:hAnsi="Tahoma" w:cs="Tahoma"/>
          <w:color w:val="000000"/>
          <w:sz w:val="20"/>
          <w:szCs w:val="20"/>
        </w:rPr>
      </w:pPr>
      <w:r w:rsidRPr="00A71A05">
        <w:rPr>
          <w:rFonts w:ascii="Tahoma" w:hAnsi="Tahoma" w:cs="Tahoma"/>
          <w:color w:val="000000"/>
          <w:sz w:val="20"/>
          <w:szCs w:val="20"/>
        </w:rPr>
        <w:t>the annual SMSF supervisory levy (collected by the Australian Taxation Office)</w:t>
      </w:r>
    </w:p>
    <w:p w:rsidR="00A71A05" w:rsidRPr="00A71A05" w:rsidRDefault="00A71A05" w:rsidP="00A71A05">
      <w:pPr>
        <w:numPr>
          <w:ilvl w:val="0"/>
          <w:numId w:val="14"/>
        </w:numPr>
        <w:shd w:val="clear" w:color="auto" w:fill="FFFFFF"/>
        <w:spacing w:before="100" w:beforeAutospacing="1" w:after="100" w:afterAutospacing="1"/>
        <w:ind w:left="0"/>
        <w:rPr>
          <w:rFonts w:ascii="Tahoma" w:hAnsi="Tahoma" w:cs="Tahoma"/>
          <w:color w:val="000000"/>
          <w:sz w:val="20"/>
          <w:szCs w:val="20"/>
        </w:rPr>
      </w:pPr>
      <w:r w:rsidRPr="00A71A05">
        <w:rPr>
          <w:rFonts w:ascii="Tahoma" w:hAnsi="Tahoma" w:cs="Tahoma"/>
          <w:color w:val="000000"/>
          <w:sz w:val="20"/>
          <w:szCs w:val="20"/>
        </w:rPr>
        <w:t>the costs to produce an annual financial statement and tax return</w:t>
      </w:r>
    </w:p>
    <w:p w:rsidR="00A71A05" w:rsidRPr="00A71A05" w:rsidRDefault="00A71A05" w:rsidP="00A71A05">
      <w:pPr>
        <w:numPr>
          <w:ilvl w:val="0"/>
          <w:numId w:val="14"/>
        </w:numPr>
        <w:shd w:val="clear" w:color="auto" w:fill="FFFFFF"/>
        <w:spacing w:before="100" w:beforeAutospacing="1" w:after="100" w:afterAutospacing="1"/>
        <w:ind w:left="0"/>
        <w:rPr>
          <w:rFonts w:ascii="Tahoma" w:hAnsi="Tahoma" w:cs="Tahoma"/>
          <w:color w:val="000000"/>
          <w:sz w:val="20"/>
          <w:szCs w:val="20"/>
        </w:rPr>
      </w:pPr>
      <w:r w:rsidRPr="00A71A05">
        <w:rPr>
          <w:rFonts w:ascii="Tahoma" w:hAnsi="Tahoma" w:cs="Tahoma"/>
          <w:color w:val="000000"/>
          <w:sz w:val="20"/>
          <w:szCs w:val="20"/>
        </w:rPr>
        <w:t>annual independent audit fees</w:t>
      </w:r>
    </w:p>
    <w:p w:rsidR="00A71A05" w:rsidRPr="00A71A05" w:rsidRDefault="00A71A05" w:rsidP="00A71A05">
      <w:pPr>
        <w:numPr>
          <w:ilvl w:val="0"/>
          <w:numId w:val="14"/>
        </w:numPr>
        <w:shd w:val="clear" w:color="auto" w:fill="FFFFFF"/>
        <w:spacing w:before="100" w:beforeAutospacing="1" w:after="100" w:afterAutospacing="1"/>
        <w:ind w:left="0"/>
        <w:rPr>
          <w:rFonts w:ascii="Tahoma" w:hAnsi="Tahoma" w:cs="Tahoma"/>
          <w:color w:val="000000"/>
          <w:sz w:val="20"/>
          <w:szCs w:val="20"/>
        </w:rPr>
      </w:pPr>
      <w:r w:rsidRPr="00A71A05">
        <w:rPr>
          <w:rFonts w:ascii="Tahoma" w:hAnsi="Tahoma" w:cs="Tahoma"/>
          <w:color w:val="000000"/>
          <w:sz w:val="20"/>
          <w:szCs w:val="20"/>
        </w:rPr>
        <w:t>costs relating to the establishment of the SMSF, including costs for a trust deed</w:t>
      </w:r>
    </w:p>
    <w:p w:rsidR="00A71A05" w:rsidRPr="00A71A05" w:rsidRDefault="00A71A05" w:rsidP="00A71A05">
      <w:pPr>
        <w:numPr>
          <w:ilvl w:val="0"/>
          <w:numId w:val="14"/>
        </w:numPr>
        <w:shd w:val="clear" w:color="auto" w:fill="FFFFFF"/>
        <w:spacing w:before="100" w:beforeAutospacing="1" w:after="100" w:afterAutospacing="1"/>
        <w:ind w:left="0"/>
        <w:rPr>
          <w:rFonts w:ascii="Tahoma" w:hAnsi="Tahoma" w:cs="Tahoma"/>
          <w:color w:val="000000"/>
          <w:sz w:val="20"/>
          <w:szCs w:val="20"/>
        </w:rPr>
      </w:pPr>
      <w:r w:rsidRPr="00A71A05">
        <w:rPr>
          <w:rFonts w:ascii="Tahoma" w:hAnsi="Tahoma" w:cs="Tahoma"/>
          <w:color w:val="000000"/>
          <w:sz w:val="20"/>
          <w:szCs w:val="20"/>
        </w:rPr>
        <w:t>the fee for annual actuarial certification (when required).</w:t>
      </w:r>
    </w:p>
    <w:p w:rsidR="00A71A05" w:rsidRPr="00A71A05" w:rsidRDefault="00A71A05" w:rsidP="00A71A05">
      <w:pPr>
        <w:pStyle w:val="NormalWeb"/>
        <w:shd w:val="clear" w:color="auto" w:fill="FFFFFF"/>
        <w:rPr>
          <w:rFonts w:ascii="Tahoma" w:hAnsi="Tahoma" w:cs="Tahoma"/>
          <w:color w:val="000000"/>
          <w:sz w:val="20"/>
          <w:szCs w:val="20"/>
        </w:rPr>
      </w:pPr>
      <w:r w:rsidRPr="00A71A05">
        <w:rPr>
          <w:rFonts w:ascii="Tahoma" w:hAnsi="Tahoma" w:cs="Tahoma"/>
          <w:color w:val="000000"/>
          <w:sz w:val="20"/>
          <w:szCs w:val="20"/>
        </w:rPr>
        <w:t>Optional costs cover a range of services related to the structuring and administration of an SMSF that many SMSF trustees choose to pay additional fees for. These include:</w:t>
      </w:r>
    </w:p>
    <w:p w:rsidR="00A71A05" w:rsidRPr="00A71A05" w:rsidRDefault="00A71A05" w:rsidP="00A71A05">
      <w:pPr>
        <w:numPr>
          <w:ilvl w:val="0"/>
          <w:numId w:val="15"/>
        </w:numPr>
        <w:shd w:val="clear" w:color="auto" w:fill="FFFFFF"/>
        <w:spacing w:before="100" w:beforeAutospacing="1" w:after="100" w:afterAutospacing="1"/>
        <w:ind w:left="0"/>
        <w:rPr>
          <w:rFonts w:ascii="Tahoma" w:hAnsi="Tahoma" w:cs="Tahoma"/>
          <w:color w:val="000000"/>
          <w:sz w:val="20"/>
          <w:szCs w:val="20"/>
        </w:rPr>
      </w:pPr>
      <w:r w:rsidRPr="00A71A05">
        <w:rPr>
          <w:rFonts w:ascii="Tahoma" w:hAnsi="Tahoma" w:cs="Tahoma"/>
          <w:color w:val="000000"/>
          <w:sz w:val="20"/>
          <w:szCs w:val="20"/>
        </w:rPr>
        <w:t>establishment of a corporate trustee, including ASIC fees to establish a corporate entity and the annual corporate trustee fee</w:t>
      </w:r>
    </w:p>
    <w:p w:rsidR="00A71A05" w:rsidRPr="00A71A05" w:rsidRDefault="00A71A05" w:rsidP="00A71A05">
      <w:pPr>
        <w:numPr>
          <w:ilvl w:val="0"/>
          <w:numId w:val="15"/>
        </w:numPr>
        <w:shd w:val="clear" w:color="auto" w:fill="FFFFFF"/>
        <w:spacing w:before="100" w:beforeAutospacing="1" w:after="100" w:afterAutospacing="1"/>
        <w:ind w:left="0"/>
        <w:rPr>
          <w:rFonts w:ascii="Tahoma" w:hAnsi="Tahoma" w:cs="Tahoma"/>
          <w:color w:val="000000"/>
          <w:sz w:val="20"/>
          <w:szCs w:val="20"/>
        </w:rPr>
      </w:pPr>
      <w:r w:rsidRPr="00A71A05">
        <w:rPr>
          <w:rFonts w:ascii="Tahoma" w:hAnsi="Tahoma" w:cs="Tahoma"/>
          <w:color w:val="000000"/>
          <w:sz w:val="20"/>
          <w:szCs w:val="20"/>
        </w:rPr>
        <w:t>ongoing SMSF administration costs, including the cost of amending the trust deed of the SMSF</w:t>
      </w:r>
    </w:p>
    <w:p w:rsidR="00A71A05" w:rsidRPr="00A71A05" w:rsidRDefault="00A71A05" w:rsidP="00A71A05">
      <w:pPr>
        <w:numPr>
          <w:ilvl w:val="0"/>
          <w:numId w:val="15"/>
        </w:numPr>
        <w:shd w:val="clear" w:color="auto" w:fill="FFFFFF"/>
        <w:spacing w:before="100" w:beforeAutospacing="1" w:after="100" w:afterAutospacing="1"/>
        <w:ind w:left="0"/>
        <w:rPr>
          <w:rFonts w:ascii="Tahoma" w:hAnsi="Tahoma" w:cs="Tahoma"/>
          <w:color w:val="000000"/>
          <w:sz w:val="20"/>
          <w:szCs w:val="20"/>
        </w:rPr>
      </w:pPr>
      <w:r w:rsidRPr="00A71A05">
        <w:rPr>
          <w:rFonts w:ascii="Tahoma" w:hAnsi="Tahoma" w:cs="Tahoma"/>
          <w:color w:val="000000"/>
          <w:sz w:val="20"/>
          <w:szCs w:val="20"/>
        </w:rPr>
        <w:t>professional investment advice fees</w:t>
      </w:r>
    </w:p>
    <w:p w:rsidR="00A71A05" w:rsidRPr="00A71A05" w:rsidRDefault="00A71A05" w:rsidP="00A71A05">
      <w:pPr>
        <w:numPr>
          <w:ilvl w:val="0"/>
          <w:numId w:val="15"/>
        </w:numPr>
        <w:shd w:val="clear" w:color="auto" w:fill="FFFFFF"/>
        <w:spacing w:before="100" w:beforeAutospacing="1" w:after="100" w:afterAutospacing="1"/>
        <w:ind w:left="0"/>
        <w:rPr>
          <w:rFonts w:ascii="Tahoma" w:hAnsi="Tahoma" w:cs="Tahoma"/>
          <w:color w:val="000000"/>
          <w:sz w:val="20"/>
          <w:szCs w:val="20"/>
        </w:rPr>
      </w:pPr>
      <w:r w:rsidRPr="00A71A05">
        <w:rPr>
          <w:rFonts w:ascii="Tahoma" w:hAnsi="Tahoma" w:cs="Tahoma"/>
          <w:color w:val="000000"/>
          <w:sz w:val="20"/>
          <w:szCs w:val="20"/>
        </w:rPr>
        <w:t>accounting and book-keeping fees</w:t>
      </w:r>
    </w:p>
    <w:p w:rsidR="00A71A05" w:rsidRPr="00A71A05" w:rsidRDefault="00A71A05" w:rsidP="00A71A05">
      <w:pPr>
        <w:numPr>
          <w:ilvl w:val="0"/>
          <w:numId w:val="15"/>
        </w:numPr>
        <w:shd w:val="clear" w:color="auto" w:fill="FFFFFF"/>
        <w:spacing w:before="100" w:beforeAutospacing="1" w:after="100" w:afterAutospacing="1"/>
        <w:ind w:left="0"/>
        <w:rPr>
          <w:rFonts w:ascii="Tahoma" w:hAnsi="Tahoma" w:cs="Tahoma"/>
          <w:color w:val="000000"/>
          <w:sz w:val="20"/>
          <w:szCs w:val="20"/>
        </w:rPr>
      </w:pPr>
      <w:r w:rsidRPr="00A71A05">
        <w:rPr>
          <w:rFonts w:ascii="Tahoma" w:hAnsi="Tahoma" w:cs="Tahoma"/>
          <w:color w:val="000000"/>
          <w:sz w:val="20"/>
          <w:szCs w:val="20"/>
        </w:rPr>
        <w:t>investment management fees (these fees may be unavoidable depending on the type of investments made)</w:t>
      </w:r>
    </w:p>
    <w:p w:rsidR="00A71A05" w:rsidRPr="00A71A05" w:rsidRDefault="00A71A05" w:rsidP="00A71A05">
      <w:pPr>
        <w:numPr>
          <w:ilvl w:val="0"/>
          <w:numId w:val="15"/>
        </w:numPr>
        <w:shd w:val="clear" w:color="auto" w:fill="FFFFFF"/>
        <w:spacing w:before="100" w:beforeAutospacing="1" w:after="100" w:afterAutospacing="1"/>
        <w:ind w:left="0"/>
        <w:rPr>
          <w:rFonts w:ascii="Tahoma" w:hAnsi="Tahoma" w:cs="Tahoma"/>
          <w:color w:val="000000"/>
          <w:sz w:val="20"/>
          <w:szCs w:val="20"/>
        </w:rPr>
      </w:pPr>
      <w:r w:rsidRPr="00A71A05">
        <w:rPr>
          <w:rFonts w:ascii="Tahoma" w:hAnsi="Tahoma" w:cs="Tahoma"/>
          <w:color w:val="000000"/>
          <w:sz w:val="20"/>
          <w:szCs w:val="20"/>
        </w:rPr>
        <w:lastRenderedPageBreak/>
        <w:t>costs relating to the winding up of an SMSF, including compliance costs and transaction costs related to realising assets.</w:t>
      </w:r>
    </w:p>
    <w:p w:rsidR="00A71A05" w:rsidRPr="00A71A05" w:rsidRDefault="00A71A05" w:rsidP="00A71A05">
      <w:pPr>
        <w:pStyle w:val="NormalWeb"/>
        <w:shd w:val="clear" w:color="auto" w:fill="FFFFFF"/>
        <w:rPr>
          <w:rFonts w:ascii="Tahoma" w:hAnsi="Tahoma" w:cs="Tahoma"/>
          <w:color w:val="000000"/>
          <w:sz w:val="20"/>
          <w:szCs w:val="20"/>
        </w:rPr>
      </w:pPr>
      <w:r w:rsidRPr="00A71A05">
        <w:rPr>
          <w:rFonts w:ascii="Tahoma" w:hAnsi="Tahoma" w:cs="Tahoma"/>
          <w:color w:val="000000"/>
          <w:sz w:val="20"/>
          <w:szCs w:val="20"/>
        </w:rPr>
        <w:t>Examples of the SMSF costs that should be considered by the adviser and discussed and disclosed in the advice are summarised in Table 1.</w:t>
      </w:r>
    </w:p>
    <w:p w:rsidR="00A71A05" w:rsidRPr="00A71A05" w:rsidRDefault="00A71A05" w:rsidP="00A71A05">
      <w:pPr>
        <w:pStyle w:val="Heading4"/>
        <w:shd w:val="clear" w:color="auto" w:fill="FFFFFF"/>
        <w:rPr>
          <w:rFonts w:ascii="Tahoma" w:hAnsi="Tahoma" w:cs="Tahoma"/>
          <w:color w:val="000000"/>
          <w:sz w:val="20"/>
          <w:szCs w:val="20"/>
        </w:rPr>
      </w:pPr>
      <w:r w:rsidRPr="00A71A05">
        <w:rPr>
          <w:rFonts w:ascii="Tahoma" w:hAnsi="Tahoma" w:cs="Tahoma"/>
          <w:color w:val="000000"/>
          <w:sz w:val="20"/>
          <w:szCs w:val="20"/>
        </w:rPr>
        <w:t>Table 1: Examples of SMSF costs </w:t>
      </w:r>
    </w:p>
    <w:tbl>
      <w:tblPr>
        <w:tblW w:w="7680" w:type="dxa"/>
        <w:shd w:val="clear" w:color="auto" w:fill="FFFFFF"/>
        <w:tblCellMar>
          <w:top w:w="15" w:type="dxa"/>
          <w:left w:w="15" w:type="dxa"/>
          <w:bottom w:w="15" w:type="dxa"/>
          <w:right w:w="15" w:type="dxa"/>
        </w:tblCellMar>
        <w:tblLook w:val="04A0" w:firstRow="1" w:lastRow="0" w:firstColumn="1" w:lastColumn="0" w:noHBand="0" w:noVBand="1"/>
      </w:tblPr>
      <w:tblGrid>
        <w:gridCol w:w="2018"/>
        <w:gridCol w:w="5662"/>
      </w:tblGrid>
      <w:tr w:rsidR="00A71A05" w:rsidRPr="00A71A05" w:rsidTr="00A71A05">
        <w:trPr>
          <w:tblHeader/>
        </w:trPr>
        <w:tc>
          <w:tcPr>
            <w:tcW w:w="0" w:type="auto"/>
            <w:shd w:val="clear" w:color="auto" w:fill="444444"/>
            <w:tcMar>
              <w:top w:w="240" w:type="dxa"/>
              <w:left w:w="240" w:type="dxa"/>
              <w:bottom w:w="240" w:type="dxa"/>
              <w:right w:w="240" w:type="dxa"/>
            </w:tcMar>
            <w:hideMark/>
          </w:tcPr>
          <w:p w:rsidR="00A71A05" w:rsidRPr="00A71A05" w:rsidRDefault="00A71A05">
            <w:pPr>
              <w:rPr>
                <w:rFonts w:ascii="Tahoma" w:hAnsi="Tahoma" w:cs="Tahoma"/>
                <w:color w:val="FFFFFF"/>
                <w:sz w:val="20"/>
                <w:szCs w:val="20"/>
              </w:rPr>
            </w:pPr>
            <w:r w:rsidRPr="00A71A05">
              <w:rPr>
                <w:rFonts w:ascii="Tahoma" w:hAnsi="Tahoma" w:cs="Tahoma"/>
                <w:color w:val="FFFFFF"/>
                <w:sz w:val="20"/>
                <w:szCs w:val="20"/>
              </w:rPr>
              <w:t>Cost type</w:t>
            </w:r>
          </w:p>
        </w:tc>
        <w:tc>
          <w:tcPr>
            <w:tcW w:w="0" w:type="auto"/>
            <w:shd w:val="clear" w:color="auto" w:fill="444444"/>
            <w:tcMar>
              <w:top w:w="240" w:type="dxa"/>
              <w:left w:w="240" w:type="dxa"/>
              <w:bottom w:w="240" w:type="dxa"/>
              <w:right w:w="240" w:type="dxa"/>
            </w:tcMar>
            <w:hideMark/>
          </w:tcPr>
          <w:p w:rsidR="00A71A05" w:rsidRPr="00A71A05" w:rsidRDefault="00A71A05">
            <w:pPr>
              <w:rPr>
                <w:rFonts w:ascii="Tahoma" w:hAnsi="Tahoma" w:cs="Tahoma"/>
                <w:color w:val="FFFFFF"/>
                <w:sz w:val="20"/>
                <w:szCs w:val="20"/>
              </w:rPr>
            </w:pPr>
            <w:r w:rsidRPr="00A71A05">
              <w:rPr>
                <w:rFonts w:ascii="Tahoma" w:hAnsi="Tahoma" w:cs="Tahoma"/>
                <w:color w:val="FFFFFF"/>
                <w:sz w:val="20"/>
                <w:szCs w:val="20"/>
              </w:rPr>
              <w:t>Examples</w:t>
            </w:r>
          </w:p>
        </w:tc>
      </w:tr>
      <w:tr w:rsidR="00A71A05" w:rsidRPr="00A71A05" w:rsidTr="00A71A05">
        <w:tc>
          <w:tcPr>
            <w:tcW w:w="0" w:type="auto"/>
            <w:shd w:val="clear" w:color="auto" w:fill="FFFFFF"/>
            <w:tcMar>
              <w:top w:w="240" w:type="dxa"/>
              <w:left w:w="240" w:type="dxa"/>
              <w:bottom w:w="240" w:type="dxa"/>
              <w:right w:w="240" w:type="dxa"/>
            </w:tcMar>
            <w:hideMark/>
          </w:tcPr>
          <w:p w:rsidR="00A71A05" w:rsidRPr="00A71A05" w:rsidRDefault="00A71A05">
            <w:pPr>
              <w:rPr>
                <w:rFonts w:ascii="Tahoma" w:hAnsi="Tahoma" w:cs="Tahoma"/>
                <w:color w:val="000000"/>
                <w:sz w:val="20"/>
                <w:szCs w:val="20"/>
              </w:rPr>
            </w:pPr>
            <w:r w:rsidRPr="00A71A05">
              <w:rPr>
                <w:rFonts w:ascii="Tahoma" w:hAnsi="Tahoma" w:cs="Tahoma"/>
                <w:color w:val="000000"/>
                <w:sz w:val="20"/>
                <w:szCs w:val="20"/>
              </w:rPr>
              <w:t>Costs associated with setting up an SMSF</w:t>
            </w:r>
          </w:p>
        </w:tc>
        <w:tc>
          <w:tcPr>
            <w:tcW w:w="0" w:type="auto"/>
            <w:shd w:val="clear" w:color="auto" w:fill="FFFFFF"/>
            <w:tcMar>
              <w:top w:w="240" w:type="dxa"/>
              <w:left w:w="240" w:type="dxa"/>
              <w:bottom w:w="240" w:type="dxa"/>
              <w:right w:w="240" w:type="dxa"/>
            </w:tcMar>
            <w:hideMark/>
          </w:tcPr>
          <w:p w:rsidR="00A71A05" w:rsidRPr="00A71A05" w:rsidRDefault="00A71A05">
            <w:pPr>
              <w:pStyle w:val="NormalWeb"/>
              <w:rPr>
                <w:rFonts w:ascii="Tahoma" w:hAnsi="Tahoma" w:cs="Tahoma"/>
                <w:color w:val="000000"/>
                <w:sz w:val="20"/>
                <w:szCs w:val="20"/>
              </w:rPr>
            </w:pPr>
            <w:r w:rsidRPr="00A71A05">
              <w:rPr>
                <w:rFonts w:ascii="Tahoma" w:hAnsi="Tahoma" w:cs="Tahoma"/>
                <w:color w:val="000000"/>
                <w:sz w:val="20"/>
                <w:szCs w:val="20"/>
              </w:rPr>
              <w:t>Costs associated with setting up an SMSF that are:</w:t>
            </w:r>
          </w:p>
          <w:p w:rsidR="00A71A05" w:rsidRPr="00A71A05" w:rsidRDefault="00A71A05" w:rsidP="00A71A05">
            <w:pPr>
              <w:numPr>
                <w:ilvl w:val="0"/>
                <w:numId w:val="16"/>
              </w:numPr>
              <w:spacing w:before="100" w:beforeAutospacing="1" w:after="100" w:afterAutospacing="1"/>
              <w:ind w:left="0"/>
              <w:rPr>
                <w:rFonts w:ascii="Tahoma" w:hAnsi="Tahoma" w:cs="Tahoma"/>
                <w:color w:val="000000"/>
                <w:sz w:val="20"/>
                <w:szCs w:val="20"/>
              </w:rPr>
            </w:pPr>
            <w:r w:rsidRPr="00A71A05">
              <w:rPr>
                <w:rStyle w:val="Emphasis"/>
                <w:rFonts w:ascii="Tahoma" w:hAnsi="Tahoma" w:cs="Tahoma"/>
                <w:color w:val="000000"/>
                <w:sz w:val="20"/>
                <w:szCs w:val="20"/>
              </w:rPr>
              <w:t>unavoidable:</w:t>
            </w:r>
            <w:r w:rsidRPr="00A71A05">
              <w:rPr>
                <w:rFonts w:ascii="Tahoma" w:hAnsi="Tahoma" w:cs="Tahoma"/>
                <w:color w:val="000000"/>
                <w:sz w:val="20"/>
                <w:szCs w:val="20"/>
              </w:rPr>
              <w:t> costs for a trust deed</w:t>
            </w:r>
          </w:p>
          <w:p w:rsidR="00A71A05" w:rsidRPr="00A71A05" w:rsidRDefault="00A71A05" w:rsidP="00A71A05">
            <w:pPr>
              <w:numPr>
                <w:ilvl w:val="0"/>
                <w:numId w:val="16"/>
              </w:numPr>
              <w:spacing w:before="100" w:beforeAutospacing="1" w:after="100" w:afterAutospacing="1"/>
              <w:ind w:left="0"/>
              <w:rPr>
                <w:rFonts w:ascii="Tahoma" w:hAnsi="Tahoma" w:cs="Tahoma"/>
                <w:color w:val="000000"/>
                <w:sz w:val="20"/>
                <w:szCs w:val="20"/>
              </w:rPr>
            </w:pPr>
            <w:r w:rsidRPr="00A71A05">
              <w:rPr>
                <w:rStyle w:val="Emphasis"/>
                <w:rFonts w:ascii="Tahoma" w:hAnsi="Tahoma" w:cs="Tahoma"/>
                <w:color w:val="000000"/>
                <w:sz w:val="20"/>
                <w:szCs w:val="20"/>
              </w:rPr>
              <w:t>optional:</w:t>
            </w:r>
            <w:r w:rsidRPr="00A71A05">
              <w:rPr>
                <w:rFonts w:ascii="Tahoma" w:hAnsi="Tahoma" w:cs="Tahoma"/>
                <w:color w:val="000000"/>
                <w:sz w:val="20"/>
                <w:szCs w:val="20"/>
              </w:rPr>
              <w:t> costs for establishing a corporate trustee, including the ASIC fee for establishing a corporate entity.</w:t>
            </w:r>
          </w:p>
        </w:tc>
      </w:tr>
      <w:tr w:rsidR="00A71A05" w:rsidRPr="00A71A05" w:rsidTr="00A71A05">
        <w:tc>
          <w:tcPr>
            <w:tcW w:w="0" w:type="auto"/>
            <w:shd w:val="clear" w:color="auto" w:fill="F3F6F8"/>
            <w:tcMar>
              <w:top w:w="240" w:type="dxa"/>
              <w:left w:w="240" w:type="dxa"/>
              <w:bottom w:w="240" w:type="dxa"/>
              <w:right w:w="240" w:type="dxa"/>
            </w:tcMar>
            <w:hideMark/>
          </w:tcPr>
          <w:p w:rsidR="00A71A05" w:rsidRPr="00A71A05" w:rsidRDefault="00A71A05">
            <w:pPr>
              <w:rPr>
                <w:rFonts w:ascii="Tahoma" w:hAnsi="Tahoma" w:cs="Tahoma"/>
                <w:color w:val="000000"/>
                <w:sz w:val="20"/>
                <w:szCs w:val="20"/>
              </w:rPr>
            </w:pPr>
            <w:r w:rsidRPr="00A71A05">
              <w:rPr>
                <w:rFonts w:ascii="Tahoma" w:hAnsi="Tahoma" w:cs="Tahoma"/>
                <w:color w:val="000000"/>
                <w:sz w:val="20"/>
                <w:szCs w:val="20"/>
              </w:rPr>
              <w:t>Ongoing costs associated with operating an SMSF</w:t>
            </w:r>
          </w:p>
        </w:tc>
        <w:tc>
          <w:tcPr>
            <w:tcW w:w="0" w:type="auto"/>
            <w:shd w:val="clear" w:color="auto" w:fill="F3F6F8"/>
            <w:tcMar>
              <w:top w:w="240" w:type="dxa"/>
              <w:left w:w="240" w:type="dxa"/>
              <w:bottom w:w="240" w:type="dxa"/>
              <w:right w:w="240" w:type="dxa"/>
            </w:tcMar>
            <w:hideMark/>
          </w:tcPr>
          <w:p w:rsidR="00A71A05" w:rsidRPr="00A71A05" w:rsidRDefault="00A71A05">
            <w:pPr>
              <w:pStyle w:val="NormalWeb"/>
              <w:rPr>
                <w:rFonts w:ascii="Tahoma" w:hAnsi="Tahoma" w:cs="Tahoma"/>
                <w:color w:val="000000"/>
                <w:sz w:val="20"/>
                <w:szCs w:val="20"/>
              </w:rPr>
            </w:pPr>
            <w:r w:rsidRPr="00A71A05">
              <w:rPr>
                <w:rFonts w:ascii="Tahoma" w:hAnsi="Tahoma" w:cs="Tahoma"/>
                <w:color w:val="000000"/>
                <w:sz w:val="20"/>
                <w:szCs w:val="20"/>
              </w:rPr>
              <w:t>Costs associated with operating an SMSF that are:</w:t>
            </w:r>
          </w:p>
          <w:p w:rsidR="00A71A05" w:rsidRPr="00A71A05" w:rsidRDefault="00A71A05" w:rsidP="00A71A05">
            <w:pPr>
              <w:numPr>
                <w:ilvl w:val="0"/>
                <w:numId w:val="17"/>
              </w:numPr>
              <w:spacing w:before="100" w:beforeAutospacing="1" w:after="100" w:afterAutospacing="1"/>
              <w:ind w:left="0"/>
              <w:rPr>
                <w:rFonts w:ascii="Tahoma" w:hAnsi="Tahoma" w:cs="Tahoma"/>
                <w:color w:val="000000"/>
                <w:sz w:val="20"/>
                <w:szCs w:val="20"/>
              </w:rPr>
            </w:pPr>
            <w:r w:rsidRPr="00A71A05">
              <w:rPr>
                <w:rStyle w:val="Emphasis"/>
                <w:rFonts w:ascii="Tahoma" w:hAnsi="Tahoma" w:cs="Tahoma"/>
                <w:color w:val="000000"/>
                <w:sz w:val="20"/>
                <w:szCs w:val="20"/>
              </w:rPr>
              <w:t>unavoidable:</w:t>
            </w:r>
            <w:r w:rsidRPr="00A71A05">
              <w:rPr>
                <w:rFonts w:ascii="Tahoma" w:hAnsi="Tahoma" w:cs="Tahoma"/>
                <w:color w:val="000000"/>
                <w:sz w:val="20"/>
                <w:szCs w:val="20"/>
              </w:rPr>
              <w:t> the annual SMSF supervisory levy (collected by the Australian Taxation Office), the annual independent audit fee, costs to produce an annual financial statement and tax return, and (when required) the fee for annual actuarial certification</w:t>
            </w:r>
          </w:p>
          <w:p w:rsidR="00A71A05" w:rsidRPr="00A71A05" w:rsidRDefault="00A71A05" w:rsidP="00A71A05">
            <w:pPr>
              <w:numPr>
                <w:ilvl w:val="0"/>
                <w:numId w:val="17"/>
              </w:numPr>
              <w:spacing w:before="100" w:beforeAutospacing="1" w:after="100" w:afterAutospacing="1"/>
              <w:ind w:left="0"/>
              <w:rPr>
                <w:rFonts w:ascii="Tahoma" w:hAnsi="Tahoma" w:cs="Tahoma"/>
                <w:color w:val="000000"/>
                <w:sz w:val="20"/>
                <w:szCs w:val="20"/>
              </w:rPr>
            </w:pPr>
            <w:r w:rsidRPr="00A71A05">
              <w:rPr>
                <w:rStyle w:val="Emphasis"/>
                <w:rFonts w:ascii="Tahoma" w:hAnsi="Tahoma" w:cs="Tahoma"/>
                <w:color w:val="000000"/>
                <w:sz w:val="20"/>
                <w:szCs w:val="20"/>
              </w:rPr>
              <w:t>optional:</w:t>
            </w:r>
            <w:r w:rsidRPr="00A71A05">
              <w:rPr>
                <w:rFonts w:ascii="Tahoma" w:hAnsi="Tahoma" w:cs="Tahoma"/>
                <w:color w:val="000000"/>
                <w:sz w:val="20"/>
                <w:szCs w:val="20"/>
              </w:rPr>
              <w:t> costs for amending the trust deed of the SMSF, professional investment advice fees, accounting and book-keeping fees, and investment management fees.</w:t>
            </w:r>
          </w:p>
        </w:tc>
      </w:tr>
      <w:tr w:rsidR="00A71A05" w:rsidRPr="00A71A05" w:rsidTr="00A71A05">
        <w:tc>
          <w:tcPr>
            <w:tcW w:w="0" w:type="auto"/>
            <w:shd w:val="clear" w:color="auto" w:fill="FFFFFF"/>
            <w:tcMar>
              <w:top w:w="240" w:type="dxa"/>
              <w:left w:w="240" w:type="dxa"/>
              <w:bottom w:w="240" w:type="dxa"/>
              <w:right w:w="240" w:type="dxa"/>
            </w:tcMar>
            <w:hideMark/>
          </w:tcPr>
          <w:p w:rsidR="00A71A05" w:rsidRPr="00A71A05" w:rsidRDefault="00A71A05">
            <w:pPr>
              <w:rPr>
                <w:rFonts w:ascii="Tahoma" w:hAnsi="Tahoma" w:cs="Tahoma"/>
                <w:color w:val="000000"/>
                <w:sz w:val="20"/>
                <w:szCs w:val="20"/>
              </w:rPr>
            </w:pPr>
            <w:r w:rsidRPr="00A71A05">
              <w:rPr>
                <w:rFonts w:ascii="Tahoma" w:hAnsi="Tahoma" w:cs="Tahoma"/>
                <w:color w:val="000000"/>
                <w:sz w:val="20"/>
                <w:szCs w:val="20"/>
              </w:rPr>
              <w:t>Types of costs associated with winding up an SMSF</w:t>
            </w:r>
          </w:p>
        </w:tc>
        <w:tc>
          <w:tcPr>
            <w:tcW w:w="0" w:type="auto"/>
            <w:shd w:val="clear" w:color="auto" w:fill="FFFFFF"/>
            <w:tcMar>
              <w:top w:w="240" w:type="dxa"/>
              <w:left w:w="240" w:type="dxa"/>
              <w:bottom w:w="240" w:type="dxa"/>
              <w:right w:w="240" w:type="dxa"/>
            </w:tcMar>
            <w:hideMark/>
          </w:tcPr>
          <w:p w:rsidR="00A71A05" w:rsidRPr="00A71A05" w:rsidRDefault="00A71A05">
            <w:pPr>
              <w:rPr>
                <w:rFonts w:ascii="Tahoma" w:hAnsi="Tahoma" w:cs="Tahoma"/>
                <w:color w:val="000000"/>
                <w:sz w:val="20"/>
                <w:szCs w:val="20"/>
              </w:rPr>
            </w:pPr>
            <w:r w:rsidRPr="00A71A05">
              <w:rPr>
                <w:rFonts w:ascii="Tahoma" w:hAnsi="Tahoma" w:cs="Tahoma"/>
                <w:color w:val="000000"/>
                <w:sz w:val="20"/>
                <w:szCs w:val="20"/>
              </w:rPr>
              <w:t>Costs will include both compliance costs and costs related to realising assets. The nature of some of these costs will depend on the assets the SMSF invests in, but might include brokerage or agent fees.</w:t>
            </w:r>
          </w:p>
        </w:tc>
      </w:tr>
      <w:tr w:rsidR="00A71A05" w:rsidRPr="00A71A05" w:rsidTr="00A71A05">
        <w:tc>
          <w:tcPr>
            <w:tcW w:w="0" w:type="auto"/>
            <w:shd w:val="clear" w:color="auto" w:fill="F3F6F8"/>
            <w:tcMar>
              <w:top w:w="240" w:type="dxa"/>
              <w:left w:w="240" w:type="dxa"/>
              <w:bottom w:w="240" w:type="dxa"/>
              <w:right w:w="240" w:type="dxa"/>
            </w:tcMar>
            <w:hideMark/>
          </w:tcPr>
          <w:p w:rsidR="00A71A05" w:rsidRPr="00A71A05" w:rsidRDefault="00A71A05">
            <w:pPr>
              <w:rPr>
                <w:rFonts w:ascii="Tahoma" w:hAnsi="Tahoma" w:cs="Tahoma"/>
                <w:color w:val="000000"/>
                <w:sz w:val="20"/>
                <w:szCs w:val="20"/>
              </w:rPr>
            </w:pPr>
            <w:r w:rsidRPr="00A71A05">
              <w:rPr>
                <w:rFonts w:ascii="Tahoma" w:hAnsi="Tahoma" w:cs="Tahoma"/>
                <w:color w:val="000000"/>
                <w:sz w:val="20"/>
                <w:szCs w:val="20"/>
              </w:rPr>
              <w:t>The ‘opportunity cost’ associated with managing an SMSF</w:t>
            </w:r>
          </w:p>
        </w:tc>
        <w:tc>
          <w:tcPr>
            <w:tcW w:w="0" w:type="auto"/>
            <w:shd w:val="clear" w:color="auto" w:fill="F3F6F8"/>
            <w:tcMar>
              <w:top w:w="240" w:type="dxa"/>
              <w:left w:w="240" w:type="dxa"/>
              <w:bottom w:w="240" w:type="dxa"/>
              <w:right w:w="240" w:type="dxa"/>
            </w:tcMar>
            <w:hideMark/>
          </w:tcPr>
          <w:p w:rsidR="00A71A05" w:rsidRPr="00A71A05" w:rsidRDefault="00A71A05">
            <w:pPr>
              <w:rPr>
                <w:rFonts w:ascii="Tahoma" w:hAnsi="Tahoma" w:cs="Tahoma"/>
                <w:color w:val="000000"/>
                <w:sz w:val="20"/>
                <w:szCs w:val="20"/>
              </w:rPr>
            </w:pPr>
            <w:r w:rsidRPr="00A71A05">
              <w:rPr>
                <w:rFonts w:ascii="Tahoma" w:hAnsi="Tahoma" w:cs="Tahoma"/>
                <w:color w:val="000000"/>
                <w:sz w:val="20"/>
                <w:szCs w:val="20"/>
              </w:rPr>
              <w:t>The time associated with managing an SMSF results in an ‘opportunity cost’ for the trustee. This cost is often overlooked as one of the costs associated with an SMSF structure.</w:t>
            </w:r>
          </w:p>
        </w:tc>
      </w:tr>
      <w:tr w:rsidR="00A71A05" w:rsidRPr="00A71A05" w:rsidTr="00A71A05">
        <w:tc>
          <w:tcPr>
            <w:tcW w:w="0" w:type="auto"/>
            <w:shd w:val="clear" w:color="auto" w:fill="FFFFFF"/>
            <w:tcMar>
              <w:top w:w="240" w:type="dxa"/>
              <w:left w:w="240" w:type="dxa"/>
              <w:bottom w:w="240" w:type="dxa"/>
              <w:right w:w="240" w:type="dxa"/>
            </w:tcMar>
            <w:hideMark/>
          </w:tcPr>
          <w:p w:rsidR="00A71A05" w:rsidRPr="00A71A05" w:rsidRDefault="00A71A05">
            <w:pPr>
              <w:rPr>
                <w:rFonts w:ascii="Tahoma" w:hAnsi="Tahoma" w:cs="Tahoma"/>
                <w:color w:val="000000"/>
                <w:sz w:val="20"/>
                <w:szCs w:val="20"/>
              </w:rPr>
            </w:pPr>
            <w:r w:rsidRPr="00A71A05">
              <w:rPr>
                <w:rFonts w:ascii="Tahoma" w:hAnsi="Tahoma" w:cs="Tahoma"/>
                <w:color w:val="000000"/>
                <w:sz w:val="20"/>
                <w:szCs w:val="20"/>
              </w:rPr>
              <w:t>Insurance costs</w:t>
            </w:r>
          </w:p>
        </w:tc>
        <w:tc>
          <w:tcPr>
            <w:tcW w:w="0" w:type="auto"/>
            <w:shd w:val="clear" w:color="auto" w:fill="FFFFFF"/>
            <w:tcMar>
              <w:top w:w="240" w:type="dxa"/>
              <w:left w:w="240" w:type="dxa"/>
              <w:bottom w:w="240" w:type="dxa"/>
              <w:right w:w="240" w:type="dxa"/>
            </w:tcMar>
            <w:hideMark/>
          </w:tcPr>
          <w:p w:rsidR="00A71A05" w:rsidRPr="00A71A05" w:rsidRDefault="00A71A05">
            <w:pPr>
              <w:pStyle w:val="NormalWeb"/>
              <w:rPr>
                <w:rFonts w:ascii="Tahoma" w:hAnsi="Tahoma" w:cs="Tahoma"/>
                <w:color w:val="000000"/>
                <w:sz w:val="20"/>
                <w:szCs w:val="20"/>
              </w:rPr>
            </w:pPr>
            <w:r w:rsidRPr="00A71A05">
              <w:rPr>
                <w:rFonts w:ascii="Tahoma" w:hAnsi="Tahoma" w:cs="Tahoma"/>
                <w:color w:val="000000"/>
                <w:sz w:val="20"/>
                <w:szCs w:val="20"/>
              </w:rPr>
              <w:t>An employer’s default superannuation fund must offer a minimum level of life insurance, and so most investors will have some insurance cover through their APRA-regulated superannuation fund.</w:t>
            </w:r>
          </w:p>
          <w:p w:rsidR="00A71A05" w:rsidRPr="00A71A05" w:rsidRDefault="00A71A05">
            <w:pPr>
              <w:rPr>
                <w:rFonts w:ascii="Tahoma" w:hAnsi="Tahoma" w:cs="Tahoma"/>
                <w:color w:val="000000"/>
                <w:sz w:val="20"/>
                <w:szCs w:val="20"/>
              </w:rPr>
            </w:pPr>
            <w:r w:rsidRPr="00A71A05">
              <w:rPr>
                <w:rFonts w:ascii="Tahoma" w:hAnsi="Tahoma" w:cs="Tahoma"/>
                <w:color w:val="000000"/>
                <w:sz w:val="20"/>
                <w:szCs w:val="20"/>
              </w:rPr>
              <w:t xml:space="preserve">An SMSF’s investment strategy needs to consider whether the trustees of the fund should hold insurance cover for one or more members of the fund. The costs of obtaining such insurance through the SMSF may differ from the cost of holding similar insurance through an APRA-regulated </w:t>
            </w:r>
            <w:r w:rsidRPr="00A71A05">
              <w:rPr>
                <w:rFonts w:ascii="Tahoma" w:hAnsi="Tahoma" w:cs="Tahoma"/>
                <w:color w:val="000000"/>
                <w:sz w:val="20"/>
                <w:szCs w:val="20"/>
              </w:rPr>
              <w:lastRenderedPageBreak/>
              <w:t>superannuation fund because of, for example, the lack of any ‘bulk discount’ for the SMSF.</w:t>
            </w:r>
          </w:p>
        </w:tc>
      </w:tr>
      <w:tr w:rsidR="00A71A05" w:rsidRPr="00A71A05" w:rsidTr="00A71A05">
        <w:tc>
          <w:tcPr>
            <w:tcW w:w="0" w:type="auto"/>
            <w:shd w:val="clear" w:color="auto" w:fill="F3F6F8"/>
            <w:tcMar>
              <w:top w:w="240" w:type="dxa"/>
              <w:left w:w="240" w:type="dxa"/>
              <w:bottom w:w="240" w:type="dxa"/>
              <w:right w:w="240" w:type="dxa"/>
            </w:tcMar>
            <w:hideMark/>
          </w:tcPr>
          <w:p w:rsidR="00A71A05" w:rsidRPr="00A71A05" w:rsidRDefault="00A71A05">
            <w:pPr>
              <w:rPr>
                <w:rFonts w:ascii="Tahoma" w:hAnsi="Tahoma" w:cs="Tahoma"/>
                <w:color w:val="000000"/>
                <w:sz w:val="20"/>
                <w:szCs w:val="20"/>
              </w:rPr>
            </w:pPr>
            <w:r w:rsidRPr="00A71A05">
              <w:rPr>
                <w:rFonts w:ascii="Tahoma" w:hAnsi="Tahoma" w:cs="Tahoma"/>
                <w:color w:val="000000"/>
                <w:sz w:val="20"/>
                <w:szCs w:val="20"/>
              </w:rPr>
              <w:lastRenderedPageBreak/>
              <w:t>Investment costs</w:t>
            </w:r>
          </w:p>
        </w:tc>
        <w:tc>
          <w:tcPr>
            <w:tcW w:w="0" w:type="auto"/>
            <w:shd w:val="clear" w:color="auto" w:fill="F3F6F8"/>
            <w:tcMar>
              <w:top w:w="240" w:type="dxa"/>
              <w:left w:w="240" w:type="dxa"/>
              <w:bottom w:w="240" w:type="dxa"/>
              <w:right w:w="240" w:type="dxa"/>
            </w:tcMar>
            <w:hideMark/>
          </w:tcPr>
          <w:p w:rsidR="00A71A05" w:rsidRPr="00A71A05" w:rsidRDefault="00A71A05">
            <w:pPr>
              <w:rPr>
                <w:rFonts w:ascii="Tahoma" w:hAnsi="Tahoma" w:cs="Tahoma"/>
                <w:color w:val="000000"/>
                <w:sz w:val="20"/>
                <w:szCs w:val="20"/>
              </w:rPr>
            </w:pPr>
            <w:r w:rsidRPr="00A71A05">
              <w:rPr>
                <w:rFonts w:ascii="Tahoma" w:hAnsi="Tahoma" w:cs="Tahoma"/>
                <w:color w:val="000000"/>
                <w:sz w:val="20"/>
                <w:szCs w:val="20"/>
              </w:rPr>
              <w:t>There will be costs associated with making investments through the SMSF. These costs will vary depending on the nature of the asset and also the frequency with which assets are bought and sold within the SMSF.</w:t>
            </w:r>
          </w:p>
        </w:tc>
      </w:tr>
    </w:tbl>
    <w:p w:rsidR="00A71A05" w:rsidRPr="00A71A05" w:rsidRDefault="00A71A05" w:rsidP="00A71A05">
      <w:pPr>
        <w:pStyle w:val="in-page"/>
        <w:shd w:val="clear" w:color="auto" w:fill="F0EEE9"/>
        <w:spacing w:after="240" w:afterAutospacing="0"/>
        <w:rPr>
          <w:rFonts w:ascii="Tahoma" w:hAnsi="Tahoma" w:cs="Tahoma"/>
          <w:color w:val="000000"/>
          <w:sz w:val="20"/>
          <w:szCs w:val="20"/>
        </w:rPr>
      </w:pPr>
      <w:r w:rsidRPr="00A71A05">
        <w:rPr>
          <w:rStyle w:val="Strong"/>
          <w:rFonts w:ascii="Tahoma" w:hAnsi="Tahoma" w:cs="Tahoma"/>
          <w:color w:val="000000"/>
          <w:sz w:val="20"/>
          <w:szCs w:val="20"/>
        </w:rPr>
        <w:t>Compliance tip:</w:t>
      </w:r>
      <w:r w:rsidRPr="00A71A05">
        <w:rPr>
          <w:rFonts w:ascii="Tahoma" w:hAnsi="Tahoma" w:cs="Tahoma"/>
          <w:color w:val="000000"/>
          <w:sz w:val="20"/>
          <w:szCs w:val="20"/>
        </w:rPr>
        <w:t> We are likely to look more closely at advice to set up or switch to an SMSF if the advice does not adequately disclose (including in the form of a comparison) or clearly set out the costs of setting up, operating and winding up an SMSF, noting which are unavoidable costs and which are optional costs. These costs should at least be described and, where possible, quantified.</w:t>
      </w:r>
      <w:r w:rsidRPr="00A71A05">
        <w:rPr>
          <w:rFonts w:ascii="Tahoma" w:hAnsi="Tahoma" w:cs="Tahoma"/>
          <w:color w:val="000000"/>
          <w:sz w:val="20"/>
          <w:szCs w:val="20"/>
        </w:rPr>
        <w:br/>
      </w:r>
      <w:r w:rsidRPr="00A71A05">
        <w:rPr>
          <w:rFonts w:ascii="Tahoma" w:hAnsi="Tahoma" w:cs="Tahoma"/>
          <w:color w:val="000000"/>
          <w:sz w:val="20"/>
          <w:szCs w:val="20"/>
        </w:rPr>
        <w:br/>
        <w:t>See INFO 205 for further examples/suggestions of what risks advisers should consider and disclose to retail clients when giving advice to set up an SMSF.</w:t>
      </w:r>
    </w:p>
    <w:p w:rsidR="00A71A05" w:rsidRPr="00A71A05" w:rsidRDefault="00A71A05" w:rsidP="00A71A05">
      <w:pPr>
        <w:pStyle w:val="Heading2"/>
        <w:shd w:val="clear" w:color="auto" w:fill="FFFFFF"/>
        <w:rPr>
          <w:rFonts w:ascii="Tahoma" w:hAnsi="Tahoma" w:cs="Tahoma"/>
          <w:color w:val="000000"/>
          <w:sz w:val="22"/>
          <w:szCs w:val="22"/>
        </w:rPr>
      </w:pPr>
      <w:bookmarkStart w:id="27" w:name="continued-suitability-of-an-smsf"/>
      <w:bookmarkStart w:id="28" w:name="_Toc491678257"/>
      <w:bookmarkEnd w:id="27"/>
      <w:r w:rsidRPr="00A71A05">
        <w:rPr>
          <w:rFonts w:ascii="Tahoma" w:hAnsi="Tahoma" w:cs="Tahoma"/>
          <w:b/>
          <w:bCs/>
          <w:color w:val="000000"/>
          <w:sz w:val="22"/>
          <w:szCs w:val="22"/>
        </w:rPr>
        <w:t>Advice on the continued suitability of an SMSF for the client</w:t>
      </w:r>
      <w:bookmarkEnd w:id="28"/>
    </w:p>
    <w:p w:rsidR="00A71A05" w:rsidRPr="00A71A05" w:rsidRDefault="00A71A05" w:rsidP="00A71A05">
      <w:pPr>
        <w:pStyle w:val="NormalWeb"/>
        <w:shd w:val="clear" w:color="auto" w:fill="FFFFFF"/>
        <w:rPr>
          <w:rFonts w:ascii="Tahoma" w:hAnsi="Tahoma" w:cs="Tahoma"/>
          <w:color w:val="000000"/>
          <w:sz w:val="20"/>
          <w:szCs w:val="20"/>
        </w:rPr>
      </w:pPr>
      <w:r w:rsidRPr="00A71A05">
        <w:rPr>
          <w:rFonts w:ascii="Tahoma" w:hAnsi="Tahoma" w:cs="Tahoma"/>
          <w:color w:val="000000"/>
          <w:sz w:val="20"/>
          <w:szCs w:val="20"/>
        </w:rPr>
        <w:t>Later advice should include an assessment of whether the client’s relevant circumstances are significantly different from when the initial advice to set up an SMSF was given. This includes considering the ongoing appropriateness of the SMSF.</w:t>
      </w:r>
    </w:p>
    <w:p w:rsidR="00A71A05" w:rsidRPr="00A71A05" w:rsidRDefault="00A71A05" w:rsidP="00A71A05">
      <w:pPr>
        <w:pStyle w:val="NormalWeb"/>
        <w:shd w:val="clear" w:color="auto" w:fill="FFFFFF"/>
        <w:rPr>
          <w:rFonts w:ascii="Tahoma" w:hAnsi="Tahoma" w:cs="Tahoma"/>
          <w:color w:val="000000"/>
          <w:sz w:val="20"/>
          <w:szCs w:val="20"/>
        </w:rPr>
      </w:pPr>
      <w:r w:rsidRPr="00A71A05">
        <w:rPr>
          <w:rFonts w:ascii="Tahoma" w:hAnsi="Tahoma" w:cs="Tahoma"/>
          <w:color w:val="000000"/>
          <w:sz w:val="20"/>
          <w:szCs w:val="20"/>
        </w:rPr>
        <w:t>For SMSFs established with a starting balance below $200,000, the later advice should also note whether the client is still expected to be in a better position. For example, if an SMSF was established with a balance below $200,000 on the expectation of a large asset being transferred to the SMSF within a few months, this could be confirmed in any subsequent SOA or Record of Advice (ROA): regulation 7.7.10AE of the Corporations Regulations 2001.</w:t>
      </w:r>
    </w:p>
    <w:p w:rsidR="00A71A05" w:rsidRPr="00A71A05" w:rsidRDefault="00A71A05" w:rsidP="00A71A05">
      <w:pPr>
        <w:pStyle w:val="NormalWeb"/>
        <w:shd w:val="clear" w:color="auto" w:fill="FFFFFF"/>
        <w:rPr>
          <w:rFonts w:ascii="Tahoma" w:hAnsi="Tahoma" w:cs="Tahoma"/>
          <w:color w:val="000000"/>
          <w:sz w:val="20"/>
          <w:szCs w:val="20"/>
        </w:rPr>
      </w:pPr>
      <w:r w:rsidRPr="00A71A05">
        <w:rPr>
          <w:rFonts w:ascii="Tahoma" w:hAnsi="Tahoma" w:cs="Tahoma"/>
          <w:color w:val="000000"/>
          <w:sz w:val="20"/>
          <w:szCs w:val="20"/>
        </w:rPr>
        <w:t>Further advice should also assess whether an SMSF that drops below $200,000 (e.g. while the SMSF is in pension phase) continues to be appropriate for the client.</w:t>
      </w:r>
    </w:p>
    <w:p w:rsidR="00A71A05" w:rsidRPr="00A71A05" w:rsidRDefault="00A71A05" w:rsidP="00A71A05">
      <w:pPr>
        <w:pStyle w:val="NormalWeb"/>
        <w:shd w:val="clear" w:color="auto" w:fill="FFFFFF"/>
        <w:rPr>
          <w:rFonts w:ascii="Tahoma" w:hAnsi="Tahoma" w:cs="Tahoma"/>
          <w:color w:val="000000"/>
          <w:sz w:val="20"/>
          <w:szCs w:val="20"/>
        </w:rPr>
      </w:pPr>
      <w:r w:rsidRPr="00A71A05">
        <w:rPr>
          <w:rFonts w:ascii="Tahoma" w:hAnsi="Tahoma" w:cs="Tahoma"/>
          <w:color w:val="000000"/>
          <w:sz w:val="20"/>
          <w:szCs w:val="20"/>
        </w:rPr>
        <w:t>The continued capacity, capability and time commitments of the client should also be considered. </w:t>
      </w:r>
    </w:p>
    <w:p w:rsidR="00A71A05" w:rsidRPr="00A71A05" w:rsidRDefault="00A71A05" w:rsidP="00A71A05">
      <w:pPr>
        <w:shd w:val="clear" w:color="auto" w:fill="F0EEE9"/>
        <w:rPr>
          <w:rFonts w:ascii="Tahoma" w:hAnsi="Tahoma" w:cs="Tahoma"/>
          <w:color w:val="000000"/>
          <w:sz w:val="20"/>
          <w:szCs w:val="20"/>
        </w:rPr>
      </w:pPr>
      <w:r w:rsidRPr="00A71A05">
        <w:rPr>
          <w:rStyle w:val="Strong"/>
          <w:rFonts w:ascii="Tahoma" w:hAnsi="Tahoma" w:cs="Tahoma"/>
          <w:color w:val="000000"/>
          <w:sz w:val="20"/>
          <w:szCs w:val="20"/>
        </w:rPr>
        <w:t>Compliance tip:</w:t>
      </w:r>
      <w:r w:rsidRPr="00A71A05">
        <w:rPr>
          <w:rFonts w:ascii="Tahoma" w:hAnsi="Tahoma" w:cs="Tahoma"/>
          <w:color w:val="000000"/>
          <w:sz w:val="20"/>
          <w:szCs w:val="20"/>
        </w:rPr>
        <w:t> We are likely to look more closely at advice given to a client after a decision to set up or switch to an SMSF is made if the later advice does not clearly set out:</w:t>
      </w:r>
    </w:p>
    <w:p w:rsidR="00A71A05" w:rsidRPr="00A71A05" w:rsidRDefault="00A71A05" w:rsidP="00A71A05">
      <w:pPr>
        <w:numPr>
          <w:ilvl w:val="0"/>
          <w:numId w:val="18"/>
        </w:numPr>
        <w:shd w:val="clear" w:color="auto" w:fill="F0EEE9"/>
        <w:spacing w:before="100" w:beforeAutospacing="1" w:after="100" w:afterAutospacing="1"/>
        <w:ind w:left="0" w:firstLine="284"/>
        <w:rPr>
          <w:rFonts w:ascii="Tahoma" w:hAnsi="Tahoma" w:cs="Tahoma"/>
          <w:color w:val="000000"/>
          <w:sz w:val="20"/>
          <w:szCs w:val="20"/>
        </w:rPr>
      </w:pPr>
      <w:r w:rsidRPr="00A71A05">
        <w:rPr>
          <w:rFonts w:ascii="Tahoma" w:hAnsi="Tahoma" w:cs="Tahoma"/>
          <w:color w:val="000000"/>
          <w:sz w:val="20"/>
          <w:szCs w:val="20"/>
        </w:rPr>
        <w:t>how the adviser assessed whether the SMSF advice continues to be suitable for the client</w:t>
      </w:r>
    </w:p>
    <w:p w:rsidR="00A71A05" w:rsidRPr="00A71A05" w:rsidRDefault="00A71A05" w:rsidP="00A71A05">
      <w:pPr>
        <w:numPr>
          <w:ilvl w:val="0"/>
          <w:numId w:val="18"/>
        </w:numPr>
        <w:shd w:val="clear" w:color="auto" w:fill="F0EEE9"/>
        <w:spacing w:before="100" w:beforeAutospacing="1" w:after="100" w:afterAutospacing="1"/>
        <w:ind w:left="0" w:firstLine="284"/>
        <w:rPr>
          <w:rFonts w:ascii="Tahoma" w:hAnsi="Tahoma" w:cs="Tahoma"/>
          <w:color w:val="000000"/>
          <w:sz w:val="20"/>
          <w:szCs w:val="20"/>
        </w:rPr>
      </w:pPr>
      <w:r w:rsidRPr="00A71A05">
        <w:rPr>
          <w:rFonts w:ascii="Tahoma" w:hAnsi="Tahoma" w:cs="Tahoma"/>
          <w:color w:val="000000"/>
          <w:sz w:val="20"/>
          <w:szCs w:val="20"/>
        </w:rPr>
        <w:t>whether the SMSF continues to be suitable for the client.</w:t>
      </w:r>
    </w:p>
    <w:p w:rsidR="00A71A05" w:rsidRPr="0040332B" w:rsidRDefault="00A71A05" w:rsidP="00A71A05">
      <w:pPr>
        <w:pStyle w:val="NormalWeb"/>
        <w:shd w:val="clear" w:color="auto" w:fill="FFFFFF"/>
        <w:rPr>
          <w:rFonts w:ascii="Tahoma" w:hAnsi="Tahoma" w:cs="Tahoma"/>
          <w:color w:val="000000"/>
          <w:sz w:val="20"/>
          <w:szCs w:val="20"/>
        </w:rPr>
      </w:pPr>
    </w:p>
    <w:p w:rsidR="00A9210F" w:rsidRDefault="00A9210F"/>
    <w:sectPr w:rsidR="00A92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523B"/>
    <w:multiLevelType w:val="multilevel"/>
    <w:tmpl w:val="B806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70146"/>
    <w:multiLevelType w:val="multilevel"/>
    <w:tmpl w:val="01D0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A158CC"/>
    <w:multiLevelType w:val="hybridMultilevel"/>
    <w:tmpl w:val="9BCE9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6F315C"/>
    <w:multiLevelType w:val="multilevel"/>
    <w:tmpl w:val="8C2A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940F0A"/>
    <w:multiLevelType w:val="multilevel"/>
    <w:tmpl w:val="5A62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FF237B"/>
    <w:multiLevelType w:val="multilevel"/>
    <w:tmpl w:val="BCFA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D1B7B"/>
    <w:multiLevelType w:val="multilevel"/>
    <w:tmpl w:val="F710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6B081D"/>
    <w:multiLevelType w:val="multilevel"/>
    <w:tmpl w:val="0450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BC357C"/>
    <w:multiLevelType w:val="multilevel"/>
    <w:tmpl w:val="4810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6125BB"/>
    <w:multiLevelType w:val="multilevel"/>
    <w:tmpl w:val="64A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BE09FA"/>
    <w:multiLevelType w:val="multilevel"/>
    <w:tmpl w:val="F6D2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DB6B91"/>
    <w:multiLevelType w:val="multilevel"/>
    <w:tmpl w:val="F0A69FA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15:restartNumberingAfterBreak="0">
    <w:nsid w:val="580172B9"/>
    <w:multiLevelType w:val="multilevel"/>
    <w:tmpl w:val="084E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272C12"/>
    <w:multiLevelType w:val="multilevel"/>
    <w:tmpl w:val="B3D2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81085B"/>
    <w:multiLevelType w:val="multilevel"/>
    <w:tmpl w:val="7026F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DD026C"/>
    <w:multiLevelType w:val="multilevel"/>
    <w:tmpl w:val="52DA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CF023E"/>
    <w:multiLevelType w:val="multilevel"/>
    <w:tmpl w:val="7830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01802"/>
    <w:multiLevelType w:val="multilevel"/>
    <w:tmpl w:val="8AA6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11"/>
  </w:num>
  <w:num w:numId="4">
    <w:abstractNumId w:val="7"/>
  </w:num>
  <w:num w:numId="5">
    <w:abstractNumId w:val="8"/>
  </w:num>
  <w:num w:numId="6">
    <w:abstractNumId w:val="0"/>
  </w:num>
  <w:num w:numId="7">
    <w:abstractNumId w:val="3"/>
  </w:num>
  <w:num w:numId="8">
    <w:abstractNumId w:val="15"/>
  </w:num>
  <w:num w:numId="9">
    <w:abstractNumId w:val="13"/>
  </w:num>
  <w:num w:numId="10">
    <w:abstractNumId w:val="1"/>
  </w:num>
  <w:num w:numId="11">
    <w:abstractNumId w:val="6"/>
  </w:num>
  <w:num w:numId="12">
    <w:abstractNumId w:val="5"/>
  </w:num>
  <w:num w:numId="13">
    <w:abstractNumId w:val="10"/>
  </w:num>
  <w:num w:numId="14">
    <w:abstractNumId w:val="17"/>
  </w:num>
  <w:num w:numId="15">
    <w:abstractNumId w:val="9"/>
  </w:num>
  <w:num w:numId="16">
    <w:abstractNumId w:val="4"/>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8E"/>
    <w:rsid w:val="000C1B7C"/>
    <w:rsid w:val="00131B8E"/>
    <w:rsid w:val="001E1213"/>
    <w:rsid w:val="002A09A4"/>
    <w:rsid w:val="0031056C"/>
    <w:rsid w:val="003D4619"/>
    <w:rsid w:val="0040332B"/>
    <w:rsid w:val="00436390"/>
    <w:rsid w:val="0044700A"/>
    <w:rsid w:val="00494BD4"/>
    <w:rsid w:val="004A5595"/>
    <w:rsid w:val="00582A31"/>
    <w:rsid w:val="00655D0C"/>
    <w:rsid w:val="006D6570"/>
    <w:rsid w:val="00762D9E"/>
    <w:rsid w:val="0077540C"/>
    <w:rsid w:val="00A32B16"/>
    <w:rsid w:val="00A71A05"/>
    <w:rsid w:val="00A7593F"/>
    <w:rsid w:val="00A80F92"/>
    <w:rsid w:val="00A9210F"/>
    <w:rsid w:val="00AD1CD5"/>
    <w:rsid w:val="00B4141A"/>
    <w:rsid w:val="00BD37A9"/>
    <w:rsid w:val="00CC372D"/>
    <w:rsid w:val="00CC54B0"/>
    <w:rsid w:val="00D250CF"/>
    <w:rsid w:val="00E837E6"/>
    <w:rsid w:val="00F427DC"/>
    <w:rsid w:val="00F525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4F86"/>
  <w15:chartTrackingRefBased/>
  <w15:docId w15:val="{FFF24BA0-C5CD-47F8-8FB3-DEE71E55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40C"/>
    <w:rPr>
      <w:rFonts w:ascii="Calibri" w:hAnsi="Calibri" w:cs="Calibri"/>
    </w:rPr>
  </w:style>
  <w:style w:type="paragraph" w:styleId="Heading1">
    <w:name w:val="heading 1"/>
    <w:basedOn w:val="Normal"/>
    <w:link w:val="Heading1Char"/>
    <w:uiPriority w:val="9"/>
    <w:qFormat/>
    <w:rsid w:val="0077540C"/>
    <w:pPr>
      <w:spacing w:before="100" w:beforeAutospacing="1" w:after="100" w:afterAutospacing="1"/>
      <w:outlineLvl w:val="0"/>
    </w:pPr>
    <w:rPr>
      <w:b/>
      <w:bCs/>
      <w:kern w:val="36"/>
      <w:sz w:val="48"/>
      <w:szCs w:val="48"/>
      <w:lang w:eastAsia="en-AU"/>
    </w:rPr>
  </w:style>
  <w:style w:type="paragraph" w:styleId="Heading2">
    <w:name w:val="heading 2"/>
    <w:basedOn w:val="Normal"/>
    <w:next w:val="Normal"/>
    <w:link w:val="Heading2Char"/>
    <w:uiPriority w:val="9"/>
    <w:semiHidden/>
    <w:unhideWhenUsed/>
    <w:qFormat/>
    <w:rsid w:val="00494BD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71A0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71A0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40C"/>
    <w:rPr>
      <w:rFonts w:ascii="Calibri" w:hAnsi="Calibri" w:cs="Calibri"/>
      <w:b/>
      <w:bCs/>
      <w:kern w:val="36"/>
      <w:sz w:val="48"/>
      <w:szCs w:val="48"/>
      <w:lang w:eastAsia="en-AU"/>
    </w:rPr>
  </w:style>
  <w:style w:type="character" w:styleId="Hyperlink">
    <w:name w:val="Hyperlink"/>
    <w:basedOn w:val="DefaultParagraphFont"/>
    <w:uiPriority w:val="99"/>
    <w:unhideWhenUsed/>
    <w:rsid w:val="0077540C"/>
    <w:rPr>
      <w:color w:val="0563C1"/>
      <w:u w:val="single"/>
    </w:rPr>
  </w:style>
  <w:style w:type="paragraph" w:styleId="NormalWeb">
    <w:name w:val="Normal (Web)"/>
    <w:basedOn w:val="Normal"/>
    <w:uiPriority w:val="99"/>
    <w:semiHidden/>
    <w:unhideWhenUsed/>
    <w:rsid w:val="0077540C"/>
    <w:pPr>
      <w:spacing w:before="100" w:beforeAutospacing="1" w:after="100" w:afterAutospacing="1"/>
    </w:pPr>
    <w:rPr>
      <w:lang w:eastAsia="en-AU"/>
    </w:rPr>
  </w:style>
  <w:style w:type="paragraph" w:styleId="ListParagraph">
    <w:name w:val="List Paragraph"/>
    <w:basedOn w:val="Normal"/>
    <w:uiPriority w:val="34"/>
    <w:qFormat/>
    <w:rsid w:val="001E1213"/>
    <w:pPr>
      <w:ind w:left="720"/>
      <w:contextualSpacing/>
    </w:pPr>
  </w:style>
  <w:style w:type="character" w:styleId="Emphasis">
    <w:name w:val="Emphasis"/>
    <w:basedOn w:val="DefaultParagraphFont"/>
    <w:uiPriority w:val="20"/>
    <w:qFormat/>
    <w:rsid w:val="0040332B"/>
    <w:rPr>
      <w:i/>
      <w:iCs/>
    </w:rPr>
  </w:style>
  <w:style w:type="character" w:customStyle="1" w:styleId="Heading2Char">
    <w:name w:val="Heading 2 Char"/>
    <w:basedOn w:val="DefaultParagraphFont"/>
    <w:link w:val="Heading2"/>
    <w:uiPriority w:val="9"/>
    <w:semiHidden/>
    <w:rsid w:val="00494BD4"/>
    <w:rPr>
      <w:rFonts w:asciiTheme="majorHAnsi" w:eastAsiaTheme="majorEastAsia" w:hAnsiTheme="majorHAnsi" w:cstheme="majorBidi"/>
      <w:color w:val="2F5496" w:themeColor="accent1" w:themeShade="BF"/>
      <w:sz w:val="26"/>
      <w:szCs w:val="26"/>
    </w:rPr>
  </w:style>
  <w:style w:type="paragraph" w:customStyle="1" w:styleId="in-page">
    <w:name w:val="in-page"/>
    <w:basedOn w:val="Normal"/>
    <w:rsid w:val="00494BD4"/>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94BD4"/>
    <w:rPr>
      <w:b/>
      <w:bCs/>
    </w:rPr>
  </w:style>
  <w:style w:type="paragraph" w:styleId="TOCHeading">
    <w:name w:val="TOC Heading"/>
    <w:basedOn w:val="Heading1"/>
    <w:next w:val="Normal"/>
    <w:uiPriority w:val="39"/>
    <w:unhideWhenUsed/>
    <w:qFormat/>
    <w:rsid w:val="00D250C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B4141A"/>
    <w:pPr>
      <w:tabs>
        <w:tab w:val="right" w:leader="dot" w:pos="9016"/>
      </w:tabs>
      <w:spacing w:after="100"/>
    </w:pPr>
    <w:rPr>
      <w:rFonts w:ascii="Tahoma" w:eastAsia="Times New Roman" w:hAnsi="Tahoma" w:cs="Tahoma"/>
      <w:noProof/>
    </w:rPr>
  </w:style>
  <w:style w:type="paragraph" w:styleId="TOC2">
    <w:name w:val="toc 2"/>
    <w:basedOn w:val="Normal"/>
    <w:next w:val="Normal"/>
    <w:autoRedefine/>
    <w:uiPriority w:val="39"/>
    <w:unhideWhenUsed/>
    <w:rsid w:val="00D250CF"/>
    <w:pPr>
      <w:spacing w:after="100"/>
      <w:ind w:left="220"/>
    </w:pPr>
  </w:style>
  <w:style w:type="character" w:customStyle="1" w:styleId="Heading3Char">
    <w:name w:val="Heading 3 Char"/>
    <w:basedOn w:val="DefaultParagraphFont"/>
    <w:link w:val="Heading3"/>
    <w:uiPriority w:val="9"/>
    <w:semiHidden/>
    <w:rsid w:val="00A71A0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71A05"/>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A71A0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4442">
      <w:bodyDiv w:val="1"/>
      <w:marLeft w:val="0"/>
      <w:marRight w:val="0"/>
      <w:marTop w:val="0"/>
      <w:marBottom w:val="0"/>
      <w:divBdr>
        <w:top w:val="none" w:sz="0" w:space="0" w:color="auto"/>
        <w:left w:val="none" w:sz="0" w:space="0" w:color="auto"/>
        <w:bottom w:val="none" w:sz="0" w:space="0" w:color="auto"/>
        <w:right w:val="none" w:sz="0" w:space="0" w:color="auto"/>
      </w:divBdr>
      <w:divsChild>
        <w:div w:id="1377969645">
          <w:marLeft w:val="0"/>
          <w:marRight w:val="0"/>
          <w:marTop w:val="0"/>
          <w:marBottom w:val="240"/>
          <w:divBdr>
            <w:top w:val="none" w:sz="0" w:space="0" w:color="auto"/>
            <w:left w:val="none" w:sz="0" w:space="0" w:color="auto"/>
            <w:bottom w:val="none" w:sz="0" w:space="0" w:color="auto"/>
            <w:right w:val="none" w:sz="0" w:space="0" w:color="auto"/>
          </w:divBdr>
        </w:div>
      </w:divsChild>
    </w:div>
    <w:div w:id="324866418">
      <w:bodyDiv w:val="1"/>
      <w:marLeft w:val="0"/>
      <w:marRight w:val="0"/>
      <w:marTop w:val="0"/>
      <w:marBottom w:val="0"/>
      <w:divBdr>
        <w:top w:val="none" w:sz="0" w:space="0" w:color="auto"/>
        <w:left w:val="none" w:sz="0" w:space="0" w:color="auto"/>
        <w:bottom w:val="none" w:sz="0" w:space="0" w:color="auto"/>
        <w:right w:val="none" w:sz="0" w:space="0" w:color="auto"/>
      </w:divBdr>
    </w:div>
    <w:div w:id="762381499">
      <w:bodyDiv w:val="1"/>
      <w:marLeft w:val="0"/>
      <w:marRight w:val="0"/>
      <w:marTop w:val="0"/>
      <w:marBottom w:val="0"/>
      <w:divBdr>
        <w:top w:val="none" w:sz="0" w:space="0" w:color="auto"/>
        <w:left w:val="none" w:sz="0" w:space="0" w:color="auto"/>
        <w:bottom w:val="none" w:sz="0" w:space="0" w:color="auto"/>
        <w:right w:val="none" w:sz="0" w:space="0" w:color="auto"/>
      </w:divBdr>
      <w:divsChild>
        <w:div w:id="572857317">
          <w:marLeft w:val="0"/>
          <w:marRight w:val="0"/>
          <w:marTop w:val="0"/>
          <w:marBottom w:val="240"/>
          <w:divBdr>
            <w:top w:val="none" w:sz="0" w:space="0" w:color="auto"/>
            <w:left w:val="none" w:sz="0" w:space="0" w:color="auto"/>
            <w:bottom w:val="none" w:sz="0" w:space="0" w:color="auto"/>
            <w:right w:val="none" w:sz="0" w:space="0" w:color="auto"/>
          </w:divBdr>
        </w:div>
      </w:divsChild>
    </w:div>
    <w:div w:id="921986544">
      <w:bodyDiv w:val="1"/>
      <w:marLeft w:val="0"/>
      <w:marRight w:val="0"/>
      <w:marTop w:val="0"/>
      <w:marBottom w:val="0"/>
      <w:divBdr>
        <w:top w:val="none" w:sz="0" w:space="0" w:color="auto"/>
        <w:left w:val="none" w:sz="0" w:space="0" w:color="auto"/>
        <w:bottom w:val="none" w:sz="0" w:space="0" w:color="auto"/>
        <w:right w:val="none" w:sz="0" w:space="0" w:color="auto"/>
      </w:divBdr>
    </w:div>
    <w:div w:id="1047799131">
      <w:bodyDiv w:val="1"/>
      <w:marLeft w:val="0"/>
      <w:marRight w:val="0"/>
      <w:marTop w:val="0"/>
      <w:marBottom w:val="0"/>
      <w:divBdr>
        <w:top w:val="none" w:sz="0" w:space="0" w:color="auto"/>
        <w:left w:val="none" w:sz="0" w:space="0" w:color="auto"/>
        <w:bottom w:val="none" w:sz="0" w:space="0" w:color="auto"/>
        <w:right w:val="none" w:sz="0" w:space="0" w:color="auto"/>
      </w:divBdr>
    </w:div>
    <w:div w:id="139998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ic.gov.au/regulatory-resources/financial-services/giving-financial-product-advice/advice-on-self-managed-superannuation-funds-disclosure-of-risks/" TargetMode="External"/><Relationship Id="rId13" Type="http://schemas.openxmlformats.org/officeDocument/2006/relationships/hyperlink" Target="http://asic.gov.au/regulatory-resources/financial-services/giving-financial-product-advice/advice-on-self-managed-superannuation-funds-disclosure-of-risks/" TargetMode="External"/><Relationship Id="rId18" Type="http://schemas.openxmlformats.org/officeDocument/2006/relationships/hyperlink" Target="http://asic.gov.au/regulatory-resources/superannuation-funds/superannuation-advice/super-switching-advice-complying-with-your-obligations-info-18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sic.gov.au/regulatory-resources/financial-services/giving-financial-product-advice/advice-on-self-managed-superannuation-funds-disclosure-of-costs/" TargetMode="External"/><Relationship Id="rId7" Type="http://schemas.openxmlformats.org/officeDocument/2006/relationships/hyperlink" Target="http://asic.gov.au/regulatory-resources/financial-services/giving-financial-product-advice/advice-on-self-managed-superannuation-funds-disclosure-of-risks/" TargetMode="External"/><Relationship Id="rId12" Type="http://schemas.openxmlformats.org/officeDocument/2006/relationships/hyperlink" Target="http://asic.gov.au/regulatory-resources/financial-services/giving-financial-product-advice/advice-on-self-managed-superannuation-funds-disclosure-of-risks/" TargetMode="External"/><Relationship Id="rId17" Type="http://schemas.openxmlformats.org/officeDocument/2006/relationships/hyperlink" Target="http://asic.gov.au/regulatory-resources/financial-services/giving-financial-product-advice/advice-on-self-managed-superannuation-funds-disclosure-of-costs/" TargetMode="External"/><Relationship Id="rId25" Type="http://schemas.openxmlformats.org/officeDocument/2006/relationships/hyperlink" Target="http://asic.gov.au/regulatory-resources/financial-services/giving-financial-product-advice/advice-on-self-managed-superannuation-funds-disclosure-of-risks/" TargetMode="External"/><Relationship Id="rId2" Type="http://schemas.openxmlformats.org/officeDocument/2006/relationships/numbering" Target="numbering.xml"/><Relationship Id="rId16" Type="http://schemas.openxmlformats.org/officeDocument/2006/relationships/hyperlink" Target="http://asic.gov.au/regulatory-resources/superannuation-funds/superannuation-advice/super-switching-advice-complying-with-your-obligations-info-182/" TargetMode="External"/><Relationship Id="rId20" Type="http://schemas.openxmlformats.org/officeDocument/2006/relationships/hyperlink" Target="http://asic.gov.au/regulatory-resources/financial-services/giving-financial-product-advice/advice-on-self-managed-superannuation-funds-disclosure-of-costs/" TargetMode="External"/><Relationship Id="rId1" Type="http://schemas.openxmlformats.org/officeDocument/2006/relationships/customXml" Target="../customXml/item1.xml"/><Relationship Id="rId6" Type="http://schemas.openxmlformats.org/officeDocument/2006/relationships/hyperlink" Target="http://asic.gov.au/regulatory-resources/financial-services/giving-financial-product-advice/advice-on-self-managed-superannuation-funds-disclosure-of-risks/" TargetMode="External"/><Relationship Id="rId11" Type="http://schemas.openxmlformats.org/officeDocument/2006/relationships/hyperlink" Target="http://asic.gov.au/regulatory-resources/financial-services/giving-financial-product-advice/advice-on-self-managed-superannuation-funds-disclosure-of-risks/" TargetMode="External"/><Relationship Id="rId24" Type="http://schemas.openxmlformats.org/officeDocument/2006/relationships/hyperlink" Target="http://asic.gov.au/regulatory-resources/financial-services/giving-financial-product-advice/advice-on-self-managed-superannuation-funds-disclosure-of-risks/" TargetMode="External"/><Relationship Id="rId5" Type="http://schemas.openxmlformats.org/officeDocument/2006/relationships/webSettings" Target="webSettings.xml"/><Relationship Id="rId15" Type="http://schemas.openxmlformats.org/officeDocument/2006/relationships/hyperlink" Target="http://asic.gov.au/regulatory-resources/financial-services/giving-financial-product-advice/advice-on-self-managed-superannuation-funds-disclosure-of-risks/" TargetMode="External"/><Relationship Id="rId23" Type="http://schemas.openxmlformats.org/officeDocument/2006/relationships/hyperlink" Target="http://asic.gov.au/regulatory-resources/superannuation-funds/superannuation-advice/super-switching-advice-complying-with-your-obligations-info-182/" TargetMode="External"/><Relationship Id="rId10" Type="http://schemas.openxmlformats.org/officeDocument/2006/relationships/hyperlink" Target="http://asic.gov.au/regulatory-resources/financial-services/giving-financial-product-advice/advice-on-self-managed-superannuation-funds-disclosure-of-risks/" TargetMode="External"/><Relationship Id="rId19" Type="http://schemas.openxmlformats.org/officeDocument/2006/relationships/hyperlink" Target="http://asic.gov.au/regulatory-resources/financial-services/giving-financial-product-advice/advice-on-self-managed-superannuation-funds-disclosure-of-costs/" TargetMode="External"/><Relationship Id="rId4" Type="http://schemas.openxmlformats.org/officeDocument/2006/relationships/settings" Target="settings.xml"/><Relationship Id="rId9" Type="http://schemas.openxmlformats.org/officeDocument/2006/relationships/hyperlink" Target="http://asic.gov.au/regulatory-resources/financial-services/giving-financial-product-advice/advice-on-self-managed-superannuation-funds-disclosure-of-risks/" TargetMode="External"/><Relationship Id="rId14" Type="http://schemas.openxmlformats.org/officeDocument/2006/relationships/hyperlink" Target="http://asic.gov.au/regulatory-resources/financial-services/giving-financial-product-advice/advice-on-self-managed-superannuation-funds-disclosure-of-risks/" TargetMode="External"/><Relationship Id="rId22" Type="http://schemas.openxmlformats.org/officeDocument/2006/relationships/hyperlink" Target="http://asic.gov.au/regulatory-resources/financial-services/giving-financial-product-advice/advice-on-self-managed-superannuation-funds-disclosure-of-cos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2DE3D-41F0-45D6-A927-1A1FACE3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4560</Words>
  <Characters>25994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Miller</dc:creator>
  <cp:keywords/>
  <dc:description/>
  <cp:lastModifiedBy>Shane Miller</cp:lastModifiedBy>
  <cp:revision>11</cp:revision>
  <dcterms:created xsi:type="dcterms:W3CDTF">2017-08-27T23:51:00Z</dcterms:created>
  <dcterms:modified xsi:type="dcterms:W3CDTF">2017-08-28T00:29:00Z</dcterms:modified>
</cp:coreProperties>
</file>