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1E22B" w14:textId="322A8EE3" w:rsidR="002951ED" w:rsidRPr="002449A5" w:rsidRDefault="002951ED" w:rsidP="002449A5">
      <w:pPr>
        <w:pStyle w:val="Heading1"/>
        <w:spacing w:before="0" w:after="120" w:line="240" w:lineRule="auto"/>
        <w:ind w:left="993"/>
        <w:rPr>
          <w:rFonts w:asciiTheme="minorHAnsi" w:hAnsiTheme="minorHAnsi" w:cstheme="minorHAnsi"/>
        </w:rPr>
      </w:pPr>
      <w:bookmarkStart w:id="0" w:name="_Toc1133718"/>
      <w:bookmarkStart w:id="1" w:name="_Toc1390244"/>
      <w:bookmarkStart w:id="2" w:name="_Toc1467531"/>
      <w:bookmarkStart w:id="3" w:name="_Toc1484492"/>
      <w:bookmarkStart w:id="4" w:name="_Toc1563019"/>
      <w:bookmarkStart w:id="5" w:name="_Toc1566063"/>
      <w:r w:rsidRPr="002449A5">
        <w:rPr>
          <w:rFonts w:asciiTheme="minorHAnsi" w:hAnsiTheme="minorHAnsi" w:cstheme="minorHAnsi"/>
        </w:rPr>
        <w:t>Purpose</w:t>
      </w:r>
      <w:bookmarkEnd w:id="0"/>
      <w:bookmarkEnd w:id="1"/>
      <w:bookmarkEnd w:id="2"/>
      <w:bookmarkEnd w:id="3"/>
      <w:bookmarkEnd w:id="4"/>
      <w:bookmarkEnd w:id="5"/>
    </w:p>
    <w:p w14:paraId="25B87A4D" w14:textId="59827350" w:rsidR="006B77E7" w:rsidRPr="002449A5" w:rsidRDefault="00843DE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The </w:t>
      </w:r>
      <w:r w:rsidR="00D159E5" w:rsidRPr="002449A5">
        <w:rPr>
          <w:rFonts w:asciiTheme="minorHAnsi" w:hAnsiTheme="minorHAnsi" w:cstheme="minorHAnsi"/>
          <w:sz w:val="22"/>
        </w:rPr>
        <w:t xml:space="preserve">document outlines </w:t>
      </w:r>
      <w:r w:rsidR="00C8686E" w:rsidRPr="002449A5">
        <w:rPr>
          <w:rFonts w:asciiTheme="minorHAnsi" w:hAnsiTheme="minorHAnsi" w:cstheme="minorHAnsi"/>
          <w:sz w:val="22"/>
        </w:rPr>
        <w:t>the services and processes supported by InterPrac in the provision of portfolio guidance for its authorised representatives.</w:t>
      </w:r>
    </w:p>
    <w:p w14:paraId="7807ACF0" w14:textId="088362EB" w:rsidR="00C8686E" w:rsidRPr="002449A5" w:rsidRDefault="004B3C4F"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It</w:t>
      </w:r>
      <w:r w:rsidR="00C8686E" w:rsidRPr="002449A5">
        <w:rPr>
          <w:rFonts w:asciiTheme="minorHAnsi" w:hAnsiTheme="minorHAnsi" w:cstheme="minorHAnsi"/>
          <w:sz w:val="22"/>
        </w:rPr>
        <w:t xml:space="preserve"> also provides guidance, by investment product type, regarding inherent risks and basic client disclosure. </w:t>
      </w:r>
    </w:p>
    <w:p w14:paraId="6E08991C" w14:textId="77777777" w:rsidR="005A28BF" w:rsidRPr="002449A5" w:rsidRDefault="005A28BF" w:rsidP="002449A5">
      <w:pPr>
        <w:spacing w:after="120" w:line="240" w:lineRule="auto"/>
        <w:ind w:left="993"/>
        <w:rPr>
          <w:rFonts w:asciiTheme="minorHAnsi" w:hAnsiTheme="minorHAnsi" w:cstheme="minorHAnsi"/>
          <w:sz w:val="22"/>
        </w:rPr>
      </w:pPr>
    </w:p>
    <w:p w14:paraId="14BE4758" w14:textId="584AED96" w:rsidR="002951ED" w:rsidRPr="002449A5" w:rsidRDefault="002951ED" w:rsidP="002449A5">
      <w:pPr>
        <w:pStyle w:val="Heading1"/>
        <w:spacing w:before="0" w:after="120" w:line="240" w:lineRule="auto"/>
        <w:ind w:left="993"/>
        <w:rPr>
          <w:rFonts w:asciiTheme="minorHAnsi" w:hAnsiTheme="minorHAnsi" w:cstheme="minorHAnsi"/>
        </w:rPr>
      </w:pPr>
      <w:bookmarkStart w:id="6" w:name="_Toc1133719"/>
      <w:bookmarkStart w:id="7" w:name="_Toc1390245"/>
      <w:bookmarkStart w:id="8" w:name="_Toc1467532"/>
      <w:bookmarkStart w:id="9" w:name="_Toc1484493"/>
      <w:bookmarkStart w:id="10" w:name="_Toc1563020"/>
      <w:bookmarkStart w:id="11" w:name="_Toc1566064"/>
      <w:r w:rsidRPr="002449A5">
        <w:rPr>
          <w:rFonts w:asciiTheme="minorHAnsi" w:hAnsiTheme="minorHAnsi" w:cstheme="minorHAnsi"/>
        </w:rPr>
        <w:t>Scope</w:t>
      </w:r>
      <w:bookmarkEnd w:id="6"/>
      <w:bookmarkEnd w:id="7"/>
      <w:bookmarkEnd w:id="8"/>
      <w:bookmarkEnd w:id="9"/>
      <w:bookmarkEnd w:id="10"/>
      <w:bookmarkEnd w:id="11"/>
    </w:p>
    <w:p w14:paraId="799BB78A" w14:textId="755FF160" w:rsidR="006F7414" w:rsidRPr="002449A5" w:rsidRDefault="006F7414" w:rsidP="002449A5">
      <w:pPr>
        <w:spacing w:after="120" w:line="240" w:lineRule="auto"/>
        <w:ind w:left="993"/>
        <w:rPr>
          <w:rFonts w:asciiTheme="minorHAnsi" w:eastAsiaTheme="majorEastAsia" w:hAnsiTheme="minorHAnsi" w:cstheme="minorHAnsi"/>
          <w:b/>
          <w:color w:val="74B3DE"/>
          <w:sz w:val="22"/>
        </w:rPr>
        <w:sectPr w:rsidR="006F7414" w:rsidRPr="002449A5" w:rsidSect="002449A5">
          <w:headerReference w:type="default" r:id="rId8"/>
          <w:footerReference w:type="default" r:id="rId9"/>
          <w:headerReference w:type="first" r:id="rId10"/>
          <w:footerReference w:type="first" r:id="rId11"/>
          <w:pgSz w:w="11910" w:h="16840"/>
          <w:pgMar w:top="1053" w:right="1020" w:bottom="480" w:left="660" w:header="0" w:footer="567" w:gutter="0"/>
          <w:cols w:space="720"/>
          <w:titlePg/>
          <w:docGrid w:linePitch="272"/>
        </w:sectPr>
      </w:pPr>
      <w:bookmarkStart w:id="12" w:name="_Toc1133720"/>
    </w:p>
    <w:p w14:paraId="78A9A646" w14:textId="1DF45291" w:rsidR="006F7414" w:rsidRPr="002449A5" w:rsidRDefault="006F741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Supported products and platforms</w:t>
      </w:r>
    </w:p>
    <w:p w14:paraId="41104916" w14:textId="594471B3" w:rsidR="006F7414" w:rsidRPr="002449A5" w:rsidRDefault="006F741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Sources of product research</w:t>
      </w:r>
    </w:p>
    <w:p w14:paraId="23EE46BA" w14:textId="77777777" w:rsidR="006F7414" w:rsidRPr="002449A5" w:rsidRDefault="006F741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Supported service providers</w:t>
      </w:r>
    </w:p>
    <w:p w14:paraId="60DC04F3" w14:textId="77777777" w:rsidR="006F7414" w:rsidRPr="002449A5" w:rsidRDefault="006F741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Strategic Asset Allocation</w:t>
      </w:r>
    </w:p>
    <w:p w14:paraId="6D5D4F72" w14:textId="343986C7" w:rsidR="006F7414" w:rsidRPr="002449A5" w:rsidRDefault="006F741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By Investment type - risk and basic client disclosures</w:t>
      </w:r>
    </w:p>
    <w:p w14:paraId="13008D2C" w14:textId="490F3CEE" w:rsidR="006F7414" w:rsidRPr="002449A5" w:rsidRDefault="006F7414"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Supportive documentation eg approved products list, Investor1st SoA text</w:t>
      </w:r>
    </w:p>
    <w:p w14:paraId="59A3533B" w14:textId="49C9896A" w:rsidR="00C30CD6" w:rsidRPr="002449A5" w:rsidRDefault="00C30CD6" w:rsidP="002449A5">
      <w:pPr>
        <w:spacing w:after="120" w:line="240" w:lineRule="auto"/>
        <w:rPr>
          <w:rFonts w:asciiTheme="minorHAnsi" w:eastAsiaTheme="majorEastAsia" w:hAnsiTheme="minorHAnsi" w:cstheme="minorHAnsi"/>
          <w:b/>
          <w:color w:val="74B3DE"/>
          <w:sz w:val="22"/>
        </w:rPr>
      </w:pPr>
    </w:p>
    <w:p w14:paraId="1C02AEF6" w14:textId="48F77DD6" w:rsidR="00D02064" w:rsidRPr="002449A5" w:rsidRDefault="002951ED" w:rsidP="002449A5">
      <w:pPr>
        <w:pStyle w:val="Heading1"/>
        <w:ind w:left="993"/>
        <w:rPr>
          <w:rFonts w:asciiTheme="minorHAnsi" w:hAnsiTheme="minorHAnsi" w:cstheme="minorHAnsi"/>
        </w:rPr>
      </w:pPr>
      <w:bookmarkStart w:id="13" w:name="_Toc1566065"/>
      <w:r w:rsidRPr="002449A5">
        <w:rPr>
          <w:rFonts w:asciiTheme="minorHAnsi" w:hAnsiTheme="minorHAnsi" w:cstheme="minorHAnsi"/>
        </w:rPr>
        <w:t>Policy</w:t>
      </w:r>
      <w:bookmarkEnd w:id="12"/>
      <w:bookmarkEnd w:id="13"/>
    </w:p>
    <w:p w14:paraId="2AC34B5A" w14:textId="431851C9" w:rsidR="00850734" w:rsidRPr="002449A5" w:rsidRDefault="007469BA"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InterPrac’s </w:t>
      </w:r>
      <w:r w:rsidR="00A56A98" w:rsidRPr="002449A5">
        <w:rPr>
          <w:rFonts w:asciiTheme="minorHAnsi" w:hAnsiTheme="minorHAnsi" w:cstheme="minorHAnsi"/>
          <w:sz w:val="22"/>
          <w:lang w:eastAsia="en-AU"/>
        </w:rPr>
        <w:t>Investment Guidance is primarily evidenced in the Approved Product List and Strategic Asset Allocation</w:t>
      </w:r>
    </w:p>
    <w:p w14:paraId="7653DB1B" w14:textId="3DF0F6B4" w:rsidR="00E131F0" w:rsidRPr="002449A5" w:rsidRDefault="00A56A9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Supplementary portfolio construction advice and investment product ‘suitability’ can be obtained from Sequoia </w:t>
      </w:r>
      <w:r w:rsidR="00FB4FB5" w:rsidRPr="002449A5">
        <w:rPr>
          <w:rFonts w:asciiTheme="minorHAnsi" w:hAnsiTheme="minorHAnsi" w:cstheme="minorHAnsi"/>
          <w:sz w:val="22"/>
          <w:lang w:eastAsia="en-AU"/>
        </w:rPr>
        <w:t>Investment Management Service (IMS)</w:t>
      </w:r>
      <w:r w:rsidRPr="002449A5">
        <w:rPr>
          <w:rFonts w:asciiTheme="minorHAnsi" w:hAnsiTheme="minorHAnsi" w:cstheme="minorHAnsi"/>
          <w:sz w:val="22"/>
          <w:lang w:eastAsia="en-AU"/>
        </w:rPr>
        <w:t xml:space="preserve"> and InterPrac’s Investment management team (Garry Crole, Michael Butler).</w:t>
      </w:r>
    </w:p>
    <w:p w14:paraId="7F9179A9" w14:textId="3089F55B" w:rsidR="00A56A98" w:rsidRPr="002449A5" w:rsidRDefault="00A56A9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InterPrac publishes weekly a guidance </w:t>
      </w:r>
      <w:r w:rsidR="007946C6" w:rsidRPr="002449A5">
        <w:rPr>
          <w:rFonts w:asciiTheme="minorHAnsi" w:hAnsiTheme="minorHAnsi" w:cstheme="minorHAnsi"/>
          <w:sz w:val="22"/>
          <w:lang w:eastAsia="en-AU"/>
        </w:rPr>
        <w:t>in support of</w:t>
      </w:r>
      <w:r w:rsidRPr="002449A5">
        <w:rPr>
          <w:rFonts w:asciiTheme="minorHAnsi" w:hAnsiTheme="minorHAnsi" w:cstheme="minorHAnsi"/>
          <w:sz w:val="22"/>
          <w:lang w:eastAsia="en-AU"/>
        </w:rPr>
        <w:t xml:space="preserve"> internally managed share </w:t>
      </w:r>
      <w:r w:rsidRPr="00DC632A">
        <w:rPr>
          <w:rFonts w:asciiTheme="minorHAnsi" w:hAnsiTheme="minorHAnsi" w:cstheme="minorHAnsi"/>
          <w:sz w:val="22"/>
          <w:lang w:eastAsia="en-AU"/>
        </w:rPr>
        <w:t>portfolios ‘</w:t>
      </w:r>
      <w:r w:rsidR="0041140F" w:rsidRPr="00DC632A">
        <w:rPr>
          <w:rFonts w:asciiTheme="minorHAnsi" w:hAnsiTheme="minorHAnsi" w:cstheme="minorHAnsi"/>
          <w:sz w:val="22"/>
          <w:lang w:eastAsia="en-AU"/>
        </w:rPr>
        <w:t>Hello</w:t>
      </w:r>
      <w:r w:rsidRPr="002449A5">
        <w:rPr>
          <w:rFonts w:asciiTheme="minorHAnsi" w:hAnsiTheme="minorHAnsi" w:cstheme="minorHAnsi"/>
          <w:sz w:val="22"/>
          <w:lang w:eastAsia="en-AU"/>
        </w:rPr>
        <w:t xml:space="preserve"> Monday’.</w:t>
      </w:r>
    </w:p>
    <w:p w14:paraId="56124EF6" w14:textId="692342C4" w:rsidR="00A56A98" w:rsidRPr="002449A5" w:rsidRDefault="00A56A9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support</w:t>
      </w:r>
      <w:r w:rsidR="007946C6" w:rsidRPr="002449A5">
        <w:rPr>
          <w:rFonts w:asciiTheme="minorHAnsi" w:hAnsiTheme="minorHAnsi" w:cstheme="minorHAnsi"/>
          <w:sz w:val="22"/>
          <w:lang w:eastAsia="en-AU"/>
        </w:rPr>
        <w:t>s</w:t>
      </w:r>
      <w:r w:rsidRPr="002449A5">
        <w:rPr>
          <w:rFonts w:asciiTheme="minorHAnsi" w:hAnsiTheme="minorHAnsi" w:cstheme="minorHAnsi"/>
          <w:sz w:val="22"/>
          <w:lang w:eastAsia="en-AU"/>
        </w:rPr>
        <w:t xml:space="preserve"> Hub 24 </w:t>
      </w:r>
      <w:r w:rsidR="0041140F">
        <w:rPr>
          <w:rFonts w:asciiTheme="minorHAnsi" w:hAnsiTheme="minorHAnsi" w:cstheme="minorHAnsi"/>
          <w:sz w:val="22"/>
          <w:lang w:eastAsia="en-AU"/>
        </w:rPr>
        <w:t xml:space="preserve">&amp; </w:t>
      </w:r>
      <w:r w:rsidR="00282E6C">
        <w:rPr>
          <w:rFonts w:asciiTheme="minorHAnsi" w:hAnsiTheme="minorHAnsi" w:cstheme="minorHAnsi"/>
          <w:sz w:val="22"/>
          <w:lang w:eastAsia="en-AU"/>
        </w:rPr>
        <w:t>AusPrac</w:t>
      </w:r>
      <w:r w:rsidR="0041140F">
        <w:rPr>
          <w:rFonts w:asciiTheme="minorHAnsi" w:hAnsiTheme="minorHAnsi" w:cstheme="minorHAnsi"/>
          <w:sz w:val="22"/>
          <w:lang w:eastAsia="en-AU"/>
        </w:rPr>
        <w:t xml:space="preserve"> Super </w:t>
      </w:r>
      <w:r w:rsidRPr="002449A5">
        <w:rPr>
          <w:rFonts w:asciiTheme="minorHAnsi" w:hAnsiTheme="minorHAnsi" w:cstheme="minorHAnsi"/>
          <w:sz w:val="22"/>
          <w:lang w:eastAsia="en-AU"/>
        </w:rPr>
        <w:t>as it’s platform</w:t>
      </w:r>
      <w:r w:rsidR="0041140F">
        <w:rPr>
          <w:rFonts w:asciiTheme="minorHAnsi" w:hAnsiTheme="minorHAnsi" w:cstheme="minorHAnsi"/>
          <w:sz w:val="22"/>
          <w:lang w:eastAsia="en-AU"/>
        </w:rPr>
        <w:t>s</w:t>
      </w:r>
      <w:r w:rsidRPr="002449A5">
        <w:rPr>
          <w:rFonts w:asciiTheme="minorHAnsi" w:hAnsiTheme="minorHAnsi" w:cstheme="minorHAnsi"/>
          <w:sz w:val="22"/>
          <w:lang w:eastAsia="en-AU"/>
        </w:rPr>
        <w:t xml:space="preserve"> of choice for shares and managed funds.</w:t>
      </w:r>
    </w:p>
    <w:p w14:paraId="78F9146B" w14:textId="3DD77D7A" w:rsidR="007946C6" w:rsidRPr="002449A5" w:rsidRDefault="007946C6"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supports Morrisons for share-</w:t>
      </w:r>
      <w:r w:rsidRPr="00282E6C">
        <w:rPr>
          <w:rFonts w:asciiTheme="minorHAnsi" w:hAnsiTheme="minorHAnsi" w:cstheme="minorHAnsi"/>
          <w:sz w:val="22"/>
          <w:lang w:eastAsia="en-AU"/>
        </w:rPr>
        <w:t>trades</w:t>
      </w:r>
      <w:r w:rsidR="0041140F" w:rsidRPr="00282E6C">
        <w:rPr>
          <w:rFonts w:asciiTheme="minorHAnsi" w:hAnsiTheme="minorHAnsi" w:cstheme="minorHAnsi"/>
          <w:sz w:val="22"/>
          <w:lang w:eastAsia="en-AU"/>
        </w:rPr>
        <w:t xml:space="preserve"> &amp; Diversa for group insurance in superannuation</w:t>
      </w:r>
      <w:r w:rsidR="0041140F">
        <w:rPr>
          <w:rFonts w:asciiTheme="minorHAnsi" w:hAnsiTheme="minorHAnsi" w:cstheme="minorHAnsi"/>
          <w:sz w:val="22"/>
          <w:lang w:eastAsia="en-AU"/>
        </w:rPr>
        <w:t xml:space="preserve"> </w:t>
      </w:r>
    </w:p>
    <w:p w14:paraId="71960C80" w14:textId="246A7307" w:rsidR="007646DB" w:rsidRPr="002449A5" w:rsidRDefault="007646DB" w:rsidP="002449A5">
      <w:pPr>
        <w:spacing w:after="120" w:line="240" w:lineRule="auto"/>
        <w:ind w:left="993"/>
        <w:rPr>
          <w:rFonts w:asciiTheme="minorHAnsi" w:hAnsiTheme="minorHAnsi" w:cstheme="minorHAnsi"/>
          <w:sz w:val="22"/>
          <w:lang w:eastAsia="en-AU"/>
        </w:rPr>
      </w:pPr>
    </w:p>
    <w:p w14:paraId="0F182874" w14:textId="77777777" w:rsidR="00710A62" w:rsidRPr="002449A5" w:rsidRDefault="00710A62" w:rsidP="002449A5">
      <w:pPr>
        <w:spacing w:after="120" w:line="240" w:lineRule="auto"/>
        <w:rPr>
          <w:rFonts w:asciiTheme="minorHAnsi" w:eastAsiaTheme="majorEastAsia" w:hAnsiTheme="minorHAnsi" w:cstheme="minorHAnsi"/>
          <w:b/>
          <w:color w:val="74B3DE"/>
          <w:sz w:val="22"/>
        </w:rPr>
      </w:pPr>
      <w:r w:rsidRPr="002449A5">
        <w:rPr>
          <w:rFonts w:asciiTheme="minorHAnsi" w:hAnsiTheme="minorHAnsi" w:cstheme="minorHAnsi"/>
          <w:sz w:val="22"/>
        </w:rPr>
        <w:br w:type="page"/>
      </w:r>
    </w:p>
    <w:p w14:paraId="10233C63" w14:textId="285CE70A" w:rsidR="00CD060B" w:rsidRPr="002449A5" w:rsidRDefault="00A56A98" w:rsidP="002449A5">
      <w:pPr>
        <w:pStyle w:val="Heading1"/>
        <w:spacing w:before="0" w:after="120" w:line="240" w:lineRule="auto"/>
        <w:ind w:left="993"/>
        <w:rPr>
          <w:rFonts w:asciiTheme="minorHAnsi" w:hAnsiTheme="minorHAnsi" w:cstheme="minorHAnsi"/>
        </w:rPr>
      </w:pPr>
      <w:r w:rsidRPr="002449A5">
        <w:rPr>
          <w:rFonts w:asciiTheme="minorHAnsi" w:hAnsiTheme="minorHAnsi" w:cstheme="minorHAnsi"/>
        </w:rPr>
        <w:lastRenderedPageBreak/>
        <w:t>Approved Product List</w:t>
      </w:r>
    </w:p>
    <w:p w14:paraId="10B97F0A" w14:textId="04000F27" w:rsidR="00311B8D" w:rsidRPr="002449A5" w:rsidRDefault="00F36602"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 xml:space="preserve">Morningstar </w:t>
      </w:r>
      <w:r w:rsidR="001410A2" w:rsidRPr="002449A5">
        <w:rPr>
          <w:rFonts w:asciiTheme="minorHAnsi" w:eastAsia="Times New Roman" w:hAnsiTheme="minorHAnsi" w:cstheme="minorHAnsi"/>
          <w:b/>
          <w:sz w:val="22"/>
          <w:lang w:eastAsia="en-AU"/>
        </w:rPr>
        <w:t>Research</w:t>
      </w:r>
    </w:p>
    <w:p w14:paraId="53C44DF6" w14:textId="14DC09F5" w:rsidR="00546105" w:rsidRPr="002449A5" w:rsidRDefault="00D16BD0"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Morningstar is our preferred provider for research and each adviser is provided a Morningstar account access as part of the onboarding process. </w:t>
      </w:r>
    </w:p>
    <w:p w14:paraId="4087F5F9" w14:textId="279399C7" w:rsidR="00546105" w:rsidRPr="002449A5" w:rsidRDefault="00A427BC" w:rsidP="002449A5">
      <w:pPr>
        <w:spacing w:after="120" w:line="240" w:lineRule="auto"/>
        <w:ind w:left="993"/>
        <w:rPr>
          <w:rFonts w:asciiTheme="minorHAnsi" w:hAnsiTheme="minorHAnsi" w:cstheme="minorHAnsi"/>
          <w:color w:val="auto"/>
          <w:sz w:val="22"/>
        </w:rPr>
      </w:pPr>
      <w:r w:rsidRPr="002449A5">
        <w:rPr>
          <w:rFonts w:asciiTheme="minorHAnsi" w:hAnsiTheme="minorHAnsi" w:cstheme="minorHAnsi"/>
          <w:sz w:val="22"/>
          <w:lang w:eastAsia="en-AU"/>
        </w:rPr>
        <w:t>An investment product will be deemed to be part of the approved list if it is rated Gold, Silver or Bronze.</w:t>
      </w:r>
      <w:r w:rsidR="00546105" w:rsidRPr="002449A5">
        <w:rPr>
          <w:rFonts w:asciiTheme="minorHAnsi" w:hAnsiTheme="minorHAnsi" w:cstheme="minorHAnsi"/>
          <w:sz w:val="22"/>
          <w:lang w:eastAsia="en-AU"/>
        </w:rPr>
        <w:t xml:space="preserve"> </w:t>
      </w:r>
      <w:r w:rsidR="00546105" w:rsidRPr="002449A5">
        <w:rPr>
          <w:rFonts w:asciiTheme="minorHAnsi" w:hAnsiTheme="minorHAnsi" w:cstheme="minorHAnsi"/>
          <w:sz w:val="22"/>
        </w:rPr>
        <w:t>Any managed funds with a rating below this are not approved unless specifically identified in the Additional Approved Product List on the Adviser Resource Centre</w:t>
      </w:r>
      <w:r w:rsidR="00D15F16" w:rsidRPr="003F24FB">
        <w:rPr>
          <w:rFonts w:asciiTheme="minorHAnsi" w:hAnsiTheme="minorHAnsi" w:cstheme="minorHAnsi"/>
          <w:sz w:val="22"/>
        </w:rPr>
        <w:t>. Alternatively</w:t>
      </w:r>
      <w:r w:rsidR="003F24FB" w:rsidRPr="003F24FB">
        <w:rPr>
          <w:rFonts w:asciiTheme="minorHAnsi" w:hAnsiTheme="minorHAnsi" w:cstheme="minorHAnsi"/>
          <w:sz w:val="22"/>
        </w:rPr>
        <w:t>,</w:t>
      </w:r>
      <w:r w:rsidR="00D15F16" w:rsidRPr="003F24FB">
        <w:rPr>
          <w:rFonts w:asciiTheme="minorHAnsi" w:hAnsiTheme="minorHAnsi" w:cstheme="minorHAnsi"/>
          <w:sz w:val="22"/>
        </w:rPr>
        <w:t xml:space="preserve"> a</w:t>
      </w:r>
      <w:r w:rsidR="00546105" w:rsidRPr="003F24FB">
        <w:rPr>
          <w:rFonts w:asciiTheme="minorHAnsi" w:hAnsiTheme="minorHAnsi" w:cstheme="minorHAnsi"/>
          <w:sz w:val="22"/>
        </w:rPr>
        <w:t>n appropriate</w:t>
      </w:r>
      <w:r w:rsidR="00546105" w:rsidRPr="002449A5">
        <w:rPr>
          <w:rFonts w:asciiTheme="minorHAnsi" w:hAnsiTheme="minorHAnsi" w:cstheme="minorHAnsi"/>
          <w:sz w:val="22"/>
        </w:rPr>
        <w:t xml:space="preserve"> Lonsec </w:t>
      </w:r>
      <w:r w:rsidR="00546105" w:rsidRPr="003F24FB">
        <w:rPr>
          <w:rFonts w:asciiTheme="minorHAnsi" w:hAnsiTheme="minorHAnsi" w:cstheme="minorHAnsi"/>
          <w:sz w:val="22"/>
        </w:rPr>
        <w:t xml:space="preserve">rating </w:t>
      </w:r>
      <w:r w:rsidR="00D15F16" w:rsidRPr="003F24FB">
        <w:rPr>
          <w:rFonts w:asciiTheme="minorHAnsi" w:hAnsiTheme="minorHAnsi" w:cstheme="minorHAnsi"/>
          <w:sz w:val="22"/>
        </w:rPr>
        <w:t xml:space="preserve">may be </w:t>
      </w:r>
      <w:r w:rsidR="00546105" w:rsidRPr="003F24FB">
        <w:rPr>
          <w:rFonts w:asciiTheme="minorHAnsi" w:hAnsiTheme="minorHAnsi" w:cstheme="minorHAnsi"/>
          <w:sz w:val="22"/>
        </w:rPr>
        <w:t>identified</w:t>
      </w:r>
      <w:r w:rsidR="00546105" w:rsidRPr="002449A5">
        <w:rPr>
          <w:rFonts w:asciiTheme="minorHAnsi" w:hAnsiTheme="minorHAnsi" w:cstheme="minorHAnsi"/>
          <w:sz w:val="22"/>
        </w:rPr>
        <w:t xml:space="preserve"> (see Lonsec content below).</w:t>
      </w:r>
    </w:p>
    <w:p w14:paraId="1C6DEBA9" w14:textId="77777777" w:rsidR="00546105" w:rsidRPr="002449A5" w:rsidRDefault="0054610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Additional information covering the Morningstar Research ratings system and methodology is available from Morningstar. </w:t>
      </w:r>
    </w:p>
    <w:p w14:paraId="0C1F825A" w14:textId="2FD86A2C" w:rsidR="00546105" w:rsidRPr="002449A5" w:rsidRDefault="0054610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It is a requirement for the adviser recommending a particular product to retain on file a copy of the report confirming the research rating at the time the advice is given.  </w:t>
      </w:r>
    </w:p>
    <w:p w14:paraId="2F925FAC" w14:textId="77777777" w:rsidR="00546105" w:rsidRPr="002449A5" w:rsidRDefault="0054610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Please note - If a fund is not rated Gold, Silver or Bronze with Morningstar Research or if it does not hold a Recommended or Highly Recommended rating by Lonsec Research then it is </w:t>
      </w:r>
      <w:r w:rsidRPr="002449A5">
        <w:rPr>
          <w:rFonts w:asciiTheme="minorHAnsi" w:hAnsiTheme="minorHAnsi" w:cstheme="minorHAnsi"/>
          <w:b/>
          <w:sz w:val="22"/>
        </w:rPr>
        <w:t>NOT APPROVED</w:t>
      </w:r>
      <w:r w:rsidRPr="002449A5">
        <w:rPr>
          <w:rFonts w:asciiTheme="minorHAnsi" w:hAnsiTheme="minorHAnsi" w:cstheme="minorHAnsi"/>
          <w:sz w:val="22"/>
        </w:rPr>
        <w:t xml:space="preserve"> for your use and cannot be recommended to a client unless written approval is provided by the InterPrac Investment Committee.  </w:t>
      </w:r>
    </w:p>
    <w:p w14:paraId="3E91B25B"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7C3EB9AE" w14:textId="0CEEC1E9" w:rsidR="00B84525" w:rsidRPr="002449A5" w:rsidRDefault="00A56A98"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Lonsec</w:t>
      </w:r>
      <w:r w:rsidR="001410A2" w:rsidRPr="002449A5">
        <w:rPr>
          <w:rFonts w:asciiTheme="minorHAnsi" w:eastAsia="Times New Roman" w:hAnsiTheme="minorHAnsi" w:cstheme="minorHAnsi"/>
          <w:b/>
          <w:sz w:val="22"/>
          <w:lang w:eastAsia="en-AU"/>
        </w:rPr>
        <w:t xml:space="preserve"> Research</w:t>
      </w:r>
    </w:p>
    <w:p w14:paraId="5DB5108A" w14:textId="4A98CCD3" w:rsidR="009E6C1A" w:rsidRPr="002449A5" w:rsidRDefault="009E6C1A"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Lonsec </w:t>
      </w:r>
      <w:r w:rsidRPr="000E7EC3">
        <w:rPr>
          <w:rFonts w:asciiTheme="minorHAnsi" w:hAnsiTheme="minorHAnsi" w:cstheme="minorHAnsi"/>
          <w:sz w:val="22"/>
        </w:rPr>
        <w:t xml:space="preserve">Research may </w:t>
      </w:r>
      <w:r w:rsidR="00947AB5" w:rsidRPr="000E7EC3">
        <w:rPr>
          <w:rFonts w:asciiTheme="minorHAnsi" w:hAnsiTheme="minorHAnsi" w:cstheme="minorHAnsi"/>
          <w:sz w:val="22"/>
        </w:rPr>
        <w:t xml:space="preserve">only </w:t>
      </w:r>
      <w:r w:rsidRPr="000E7EC3">
        <w:rPr>
          <w:rFonts w:asciiTheme="minorHAnsi" w:hAnsiTheme="minorHAnsi" w:cstheme="minorHAnsi"/>
          <w:sz w:val="22"/>
        </w:rPr>
        <w:t>be</w:t>
      </w:r>
      <w:r w:rsidRPr="002449A5">
        <w:rPr>
          <w:rFonts w:asciiTheme="minorHAnsi" w:hAnsiTheme="minorHAnsi" w:cstheme="minorHAnsi"/>
          <w:sz w:val="22"/>
        </w:rPr>
        <w:t xml:space="preserve"> referred to as an alternative approved research provider where products do not have a Morningstar Research rating, usually due to size, years in business operation or demand of </w:t>
      </w:r>
      <w:r w:rsidR="00947AB5" w:rsidRPr="002449A5">
        <w:rPr>
          <w:rFonts w:asciiTheme="minorHAnsi" w:hAnsiTheme="minorHAnsi" w:cstheme="minorHAnsi"/>
          <w:sz w:val="22"/>
        </w:rPr>
        <w:t>fee-paying</w:t>
      </w:r>
      <w:r w:rsidRPr="002449A5">
        <w:rPr>
          <w:rFonts w:asciiTheme="minorHAnsi" w:hAnsiTheme="minorHAnsi" w:cstheme="minorHAnsi"/>
          <w:sz w:val="22"/>
        </w:rPr>
        <w:t xml:space="preserve"> clients. </w:t>
      </w:r>
    </w:p>
    <w:p w14:paraId="54C86160" w14:textId="0D652AC9" w:rsidR="008D724F" w:rsidRPr="002449A5" w:rsidRDefault="00120805"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An investment product not rated by Morningstar but rated by Lonsec as Recommended or Highly Recommended will be deemed to be part of the Approved list.</w:t>
      </w:r>
    </w:p>
    <w:p w14:paraId="2587E5CC" w14:textId="62AF2396" w:rsidR="00947AB5" w:rsidRPr="00947AB5" w:rsidRDefault="00947AB5" w:rsidP="002449A5">
      <w:pPr>
        <w:spacing w:after="120" w:line="240" w:lineRule="auto"/>
        <w:ind w:left="993"/>
        <w:rPr>
          <w:rFonts w:asciiTheme="minorHAnsi" w:hAnsiTheme="minorHAnsi" w:cstheme="minorHAnsi"/>
          <w:sz w:val="22"/>
        </w:rPr>
      </w:pPr>
      <w:r w:rsidRPr="000E7EC3">
        <w:rPr>
          <w:rFonts w:asciiTheme="minorHAnsi" w:hAnsiTheme="minorHAnsi" w:cstheme="minorHAnsi"/>
          <w:sz w:val="22"/>
        </w:rPr>
        <w:t>Lonsec research may be obtained via Michael Butler</w:t>
      </w:r>
      <w:r w:rsidRPr="00947AB5">
        <w:rPr>
          <w:rFonts w:asciiTheme="minorHAnsi" w:hAnsiTheme="minorHAnsi" w:cstheme="minorHAnsi"/>
          <w:sz w:val="22"/>
          <w:highlight w:val="yellow"/>
        </w:rPr>
        <w:t>.</w:t>
      </w:r>
    </w:p>
    <w:p w14:paraId="5E58F601"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5DD51F70" w14:textId="76741510" w:rsidR="008D724F" w:rsidRPr="002449A5" w:rsidRDefault="008D724F"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Non-Approved Products</w:t>
      </w:r>
    </w:p>
    <w:p w14:paraId="042A0F9D" w14:textId="579FC2EB" w:rsidR="009E6C1A" w:rsidRPr="002449A5" w:rsidRDefault="003B4894" w:rsidP="00710A62">
      <w:pPr>
        <w:spacing w:after="120" w:line="240" w:lineRule="auto"/>
        <w:ind w:left="993"/>
        <w:rPr>
          <w:rFonts w:asciiTheme="minorHAnsi" w:hAnsiTheme="minorHAnsi" w:cstheme="minorHAnsi"/>
          <w:sz w:val="22"/>
        </w:rPr>
      </w:pPr>
      <w:r w:rsidRPr="002449A5">
        <w:rPr>
          <w:rFonts w:asciiTheme="minorHAnsi" w:hAnsiTheme="minorHAnsi" w:cstheme="minorHAnsi"/>
          <w:sz w:val="22"/>
          <w:lang w:eastAsia="en-AU"/>
        </w:rPr>
        <w:t xml:space="preserve">Products </w:t>
      </w:r>
      <w:r w:rsidR="00E14409" w:rsidRPr="002449A5">
        <w:rPr>
          <w:rFonts w:asciiTheme="minorHAnsi" w:hAnsiTheme="minorHAnsi" w:cstheme="minorHAnsi"/>
          <w:sz w:val="22"/>
          <w:lang w:eastAsia="en-AU"/>
        </w:rPr>
        <w:t>may be separately approved by the Investment Committee.</w:t>
      </w:r>
      <w:r w:rsidR="009E6C1A" w:rsidRPr="002449A5">
        <w:rPr>
          <w:rFonts w:asciiTheme="minorHAnsi" w:hAnsiTheme="minorHAnsi" w:cstheme="minorHAnsi"/>
          <w:sz w:val="22"/>
          <w:lang w:eastAsia="en-AU"/>
        </w:rPr>
        <w:t xml:space="preserve"> </w:t>
      </w:r>
      <w:r w:rsidR="009E6C1A" w:rsidRPr="002449A5">
        <w:rPr>
          <w:rFonts w:asciiTheme="minorHAnsi" w:hAnsiTheme="minorHAnsi" w:cstheme="minorHAnsi"/>
          <w:sz w:val="22"/>
        </w:rPr>
        <w:t>To obtain approval to use a product with consent from the InterPrac Investment Committee for inclusion to the InterPrac Approved Product List, please contact the National Compliance Manager.</w:t>
      </w:r>
    </w:p>
    <w:p w14:paraId="27059075" w14:textId="1B839F3D" w:rsidR="00710A62" w:rsidRPr="002449A5" w:rsidRDefault="00710A62" w:rsidP="00710A62">
      <w:pPr>
        <w:spacing w:after="120" w:line="240" w:lineRule="auto"/>
        <w:ind w:left="993"/>
        <w:rPr>
          <w:rFonts w:asciiTheme="minorHAnsi" w:hAnsiTheme="minorHAnsi" w:cstheme="minorHAnsi"/>
          <w:sz w:val="22"/>
        </w:rPr>
      </w:pPr>
    </w:p>
    <w:p w14:paraId="41C431A3" w14:textId="77777777" w:rsidR="00DC632A" w:rsidRDefault="00DC632A" w:rsidP="002449A5">
      <w:pPr>
        <w:pStyle w:val="Heading1"/>
        <w:spacing w:before="0" w:after="120" w:line="240" w:lineRule="auto"/>
        <w:ind w:left="993"/>
        <w:rPr>
          <w:rFonts w:asciiTheme="minorHAnsi" w:hAnsiTheme="minorHAnsi" w:cstheme="minorHAnsi"/>
        </w:rPr>
      </w:pPr>
    </w:p>
    <w:p w14:paraId="0897E311" w14:textId="77777777" w:rsidR="00DC632A" w:rsidRDefault="00DC632A" w:rsidP="002449A5">
      <w:pPr>
        <w:pStyle w:val="Heading1"/>
        <w:spacing w:before="0" w:after="120" w:line="240" w:lineRule="auto"/>
        <w:ind w:left="993"/>
        <w:rPr>
          <w:rFonts w:asciiTheme="minorHAnsi" w:hAnsiTheme="minorHAnsi" w:cstheme="minorHAnsi"/>
        </w:rPr>
      </w:pPr>
    </w:p>
    <w:p w14:paraId="5C865248" w14:textId="1EB1084B" w:rsidR="00A56A98" w:rsidRPr="002449A5" w:rsidRDefault="007946C6" w:rsidP="002449A5">
      <w:pPr>
        <w:pStyle w:val="Heading1"/>
        <w:spacing w:before="0" w:after="120" w:line="240" w:lineRule="auto"/>
        <w:ind w:left="993"/>
        <w:rPr>
          <w:rFonts w:asciiTheme="minorHAnsi" w:hAnsiTheme="minorHAnsi" w:cstheme="minorHAnsi"/>
        </w:rPr>
      </w:pPr>
      <w:r w:rsidRPr="002449A5">
        <w:rPr>
          <w:rFonts w:asciiTheme="minorHAnsi" w:hAnsiTheme="minorHAnsi" w:cstheme="minorHAnsi"/>
        </w:rPr>
        <w:t>Strategic Asset Allocation</w:t>
      </w:r>
    </w:p>
    <w:p w14:paraId="77D28991" w14:textId="4E4AB4F7" w:rsidR="00A56A98" w:rsidRPr="002449A5" w:rsidRDefault="00B515C5"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InterPrac does not mandate the adoption of its in-house </w:t>
      </w:r>
      <w:r w:rsidR="000A1036" w:rsidRPr="002449A5">
        <w:rPr>
          <w:rFonts w:asciiTheme="minorHAnsi" w:hAnsiTheme="minorHAnsi" w:cstheme="minorHAnsi"/>
          <w:sz w:val="22"/>
          <w:lang w:eastAsia="en-AU"/>
        </w:rPr>
        <w:t>Strategic Asset Allocations</w:t>
      </w:r>
    </w:p>
    <w:p w14:paraId="2B751DD6"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5AB6AC33"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69E59492"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33F7C9D5"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54A80B15" w14:textId="77777777" w:rsidR="00DC632A" w:rsidRDefault="00DC632A" w:rsidP="002449A5">
      <w:pPr>
        <w:pStyle w:val="ListParagraph"/>
        <w:spacing w:after="120" w:line="240" w:lineRule="auto"/>
        <w:ind w:left="993"/>
        <w:contextualSpacing w:val="0"/>
        <w:rPr>
          <w:rFonts w:asciiTheme="minorHAnsi" w:eastAsia="Times New Roman" w:hAnsiTheme="minorHAnsi" w:cstheme="minorHAnsi"/>
          <w:b/>
          <w:sz w:val="22"/>
          <w:lang w:eastAsia="en-AU"/>
        </w:rPr>
      </w:pPr>
    </w:p>
    <w:p w14:paraId="2EE8B2C2" w14:textId="71853A11" w:rsidR="00A56A98" w:rsidRPr="002449A5" w:rsidRDefault="00DB5149"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lastRenderedPageBreak/>
        <w:t>InterPrac</w:t>
      </w:r>
      <w:r w:rsidR="00E955BD" w:rsidRPr="002449A5">
        <w:rPr>
          <w:rFonts w:asciiTheme="minorHAnsi" w:hAnsiTheme="minorHAnsi" w:cstheme="minorHAnsi"/>
          <w:sz w:val="22"/>
          <w:lang w:eastAsia="en-AU"/>
        </w:rPr>
        <w:t xml:space="preserve"> supports the following </w:t>
      </w:r>
      <w:r w:rsidRPr="002449A5">
        <w:rPr>
          <w:rFonts w:asciiTheme="minorHAnsi" w:hAnsiTheme="minorHAnsi" w:cstheme="minorHAnsi"/>
          <w:sz w:val="22"/>
          <w:lang w:eastAsia="en-AU"/>
        </w:rPr>
        <w:t>Strategic Asset Allocation</w:t>
      </w:r>
      <w:r w:rsidR="00D0604B">
        <w:rPr>
          <w:rFonts w:asciiTheme="minorHAnsi" w:hAnsiTheme="minorHAnsi" w:cstheme="minorHAnsi"/>
          <w:sz w:val="22"/>
          <w:lang w:eastAsia="en-AU"/>
        </w:rPr>
        <w:t>s</w:t>
      </w:r>
      <w:r w:rsidRPr="002449A5">
        <w:rPr>
          <w:rFonts w:asciiTheme="minorHAnsi" w:hAnsiTheme="minorHAnsi" w:cstheme="minorHAnsi"/>
          <w:sz w:val="22"/>
          <w:lang w:eastAsia="en-AU"/>
        </w:rPr>
        <w:t>:</w:t>
      </w:r>
    </w:p>
    <w:tbl>
      <w:tblPr>
        <w:tblW w:w="4517" w:type="pct"/>
        <w:tblInd w:w="988" w:type="dxa"/>
        <w:tblLook w:val="04A0" w:firstRow="1" w:lastRow="0" w:firstColumn="1" w:lastColumn="0" w:noHBand="0" w:noVBand="1"/>
      </w:tblPr>
      <w:tblGrid>
        <w:gridCol w:w="2024"/>
        <w:gridCol w:w="1470"/>
        <w:gridCol w:w="1472"/>
        <w:gridCol w:w="1422"/>
        <w:gridCol w:w="1423"/>
        <w:gridCol w:w="1423"/>
      </w:tblGrid>
      <w:tr w:rsidR="009E6C1A" w:rsidRPr="002449A5" w14:paraId="3A5807A3" w14:textId="77777777" w:rsidTr="009E6C1A">
        <w:trPr>
          <w:trHeight w:val="300"/>
        </w:trPr>
        <w:tc>
          <w:tcPr>
            <w:tcW w:w="10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8291B" w14:textId="77777777" w:rsidR="009E6C1A" w:rsidRPr="002449A5" w:rsidRDefault="009E6C1A" w:rsidP="002449A5">
            <w:pPr>
              <w:spacing w:after="120" w:line="240" w:lineRule="auto"/>
              <w:jc w:val="center"/>
              <w:rPr>
                <w:rFonts w:asciiTheme="minorHAnsi" w:eastAsia="Times New Roman" w:hAnsiTheme="minorHAnsi" w:cstheme="minorHAnsi"/>
                <w:b/>
                <w:bCs/>
                <w:color w:val="auto"/>
                <w:sz w:val="22"/>
                <w:lang w:eastAsia="en-AU"/>
              </w:rPr>
            </w:pPr>
            <w:bookmarkStart w:id="14" w:name="_Hlk492017828"/>
            <w:r w:rsidRPr="002449A5">
              <w:rPr>
                <w:rFonts w:asciiTheme="minorHAnsi" w:eastAsia="Times New Roman" w:hAnsiTheme="minorHAnsi" w:cstheme="minorHAnsi"/>
                <w:b/>
                <w:bCs/>
                <w:color w:val="auto"/>
                <w:sz w:val="22"/>
                <w:lang w:eastAsia="en-AU"/>
              </w:rPr>
              <w:t> </w:t>
            </w:r>
          </w:p>
        </w:tc>
        <w:tc>
          <w:tcPr>
            <w:tcW w:w="3993" w:type="pct"/>
            <w:gridSpan w:val="5"/>
            <w:tcBorders>
              <w:top w:val="single" w:sz="4" w:space="0" w:color="auto"/>
              <w:left w:val="nil"/>
              <w:bottom w:val="single" w:sz="4" w:space="0" w:color="auto"/>
              <w:right w:val="single" w:sz="4" w:space="0" w:color="auto"/>
            </w:tcBorders>
            <w:shd w:val="clear" w:color="000000" w:fill="BFBFBF"/>
            <w:noWrap/>
            <w:vAlign w:val="center"/>
            <w:hideMark/>
          </w:tcPr>
          <w:p w14:paraId="2FADD1D8"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 xml:space="preserve">Risk Profile </w:t>
            </w:r>
            <w:r w:rsidRPr="002449A5">
              <w:rPr>
                <w:rFonts w:asciiTheme="minorHAnsi" w:eastAsia="Times New Roman" w:hAnsiTheme="minorHAnsi" w:cstheme="minorHAnsi"/>
                <w:b/>
                <w:bCs/>
                <w:color w:val="000000"/>
                <w:sz w:val="22"/>
                <w:vertAlign w:val="superscript"/>
                <w:lang w:eastAsia="en-AU"/>
              </w:rPr>
              <w:t>[1]</w:t>
            </w:r>
          </w:p>
        </w:tc>
      </w:tr>
      <w:tr w:rsidR="009E6C1A" w:rsidRPr="002449A5" w14:paraId="311C9DD9" w14:textId="77777777" w:rsidTr="009E6C1A">
        <w:trPr>
          <w:trHeight w:val="288"/>
        </w:trPr>
        <w:tc>
          <w:tcPr>
            <w:tcW w:w="1007" w:type="pct"/>
            <w:vMerge/>
            <w:tcBorders>
              <w:top w:val="single" w:sz="4" w:space="0" w:color="auto"/>
              <w:left w:val="single" w:sz="4" w:space="0" w:color="auto"/>
              <w:bottom w:val="single" w:sz="4" w:space="0" w:color="auto"/>
              <w:right w:val="single" w:sz="4" w:space="0" w:color="auto"/>
            </w:tcBorders>
            <w:vAlign w:val="center"/>
            <w:hideMark/>
          </w:tcPr>
          <w:p w14:paraId="5E29CC95" w14:textId="77777777" w:rsidR="009E6C1A" w:rsidRPr="002449A5" w:rsidRDefault="009E6C1A" w:rsidP="002449A5">
            <w:pPr>
              <w:spacing w:after="120" w:line="240" w:lineRule="auto"/>
              <w:rPr>
                <w:rFonts w:asciiTheme="minorHAnsi" w:eastAsia="Times New Roman" w:hAnsiTheme="minorHAnsi" w:cstheme="minorHAnsi"/>
                <w:b/>
                <w:bCs/>
                <w:color w:val="auto"/>
                <w:sz w:val="22"/>
                <w:lang w:eastAsia="en-AU"/>
              </w:rPr>
            </w:pPr>
          </w:p>
        </w:tc>
        <w:tc>
          <w:tcPr>
            <w:tcW w:w="3993" w:type="pct"/>
            <w:gridSpan w:val="5"/>
            <w:tcBorders>
              <w:top w:val="single" w:sz="4" w:space="0" w:color="auto"/>
              <w:left w:val="nil"/>
              <w:bottom w:val="single" w:sz="4" w:space="0" w:color="auto"/>
              <w:right w:val="single" w:sz="4" w:space="0" w:color="auto"/>
            </w:tcBorders>
            <w:shd w:val="clear" w:color="000000" w:fill="BFBFBF"/>
            <w:noWrap/>
            <w:vAlign w:val="center"/>
            <w:hideMark/>
          </w:tcPr>
          <w:p w14:paraId="049A5E34"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Underlying Asset Class Exposure</w:t>
            </w:r>
          </w:p>
        </w:tc>
      </w:tr>
      <w:tr w:rsidR="009E6C1A" w:rsidRPr="002449A5" w14:paraId="72AEE6CE" w14:textId="77777777" w:rsidTr="009E6C1A">
        <w:trPr>
          <w:trHeight w:val="552"/>
        </w:trPr>
        <w:tc>
          <w:tcPr>
            <w:tcW w:w="1007" w:type="pct"/>
            <w:tcBorders>
              <w:top w:val="nil"/>
              <w:left w:val="single" w:sz="4" w:space="0" w:color="auto"/>
              <w:bottom w:val="single" w:sz="4" w:space="0" w:color="auto"/>
              <w:right w:val="single" w:sz="4" w:space="0" w:color="auto"/>
            </w:tcBorders>
            <w:shd w:val="clear" w:color="000000" w:fill="BFBFBF"/>
            <w:vAlign w:val="center"/>
            <w:hideMark/>
          </w:tcPr>
          <w:p w14:paraId="31E06713" w14:textId="77777777" w:rsidR="009E6C1A" w:rsidRPr="002449A5" w:rsidRDefault="009E6C1A" w:rsidP="002449A5">
            <w:pPr>
              <w:spacing w:after="120" w:line="240" w:lineRule="auto"/>
              <w:rPr>
                <w:rFonts w:asciiTheme="minorHAnsi" w:eastAsia="Times New Roman" w:hAnsiTheme="minorHAnsi" w:cstheme="minorHAnsi"/>
                <w:b/>
                <w:bCs/>
                <w:color w:val="auto"/>
                <w:sz w:val="22"/>
                <w:lang w:eastAsia="en-AU"/>
              </w:rPr>
            </w:pPr>
            <w:r w:rsidRPr="002449A5">
              <w:rPr>
                <w:rFonts w:asciiTheme="minorHAnsi" w:eastAsia="Times New Roman" w:hAnsiTheme="minorHAnsi" w:cstheme="minorHAnsi"/>
                <w:b/>
                <w:bCs/>
                <w:color w:val="auto"/>
                <w:sz w:val="22"/>
                <w:lang w:eastAsia="en-AU"/>
              </w:rPr>
              <w:t>Asset Classes</w:t>
            </w:r>
          </w:p>
        </w:tc>
        <w:tc>
          <w:tcPr>
            <w:tcW w:w="814" w:type="pct"/>
            <w:tcBorders>
              <w:top w:val="nil"/>
              <w:left w:val="nil"/>
              <w:bottom w:val="single" w:sz="4" w:space="0" w:color="auto"/>
              <w:right w:val="single" w:sz="4" w:space="0" w:color="auto"/>
            </w:tcBorders>
            <w:shd w:val="clear" w:color="000000" w:fill="BFBFBF"/>
            <w:vAlign w:val="center"/>
            <w:hideMark/>
          </w:tcPr>
          <w:p w14:paraId="08DF0432"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Conservative</w:t>
            </w:r>
          </w:p>
        </w:tc>
        <w:tc>
          <w:tcPr>
            <w:tcW w:w="815" w:type="pct"/>
            <w:tcBorders>
              <w:top w:val="nil"/>
              <w:left w:val="nil"/>
              <w:bottom w:val="single" w:sz="4" w:space="0" w:color="auto"/>
              <w:right w:val="single" w:sz="4" w:space="0" w:color="auto"/>
            </w:tcBorders>
            <w:shd w:val="clear" w:color="000000" w:fill="BFBFBF"/>
            <w:vAlign w:val="center"/>
            <w:hideMark/>
          </w:tcPr>
          <w:p w14:paraId="6EB09FCB"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Moderately Conservative</w:t>
            </w:r>
          </w:p>
        </w:tc>
        <w:tc>
          <w:tcPr>
            <w:tcW w:w="788" w:type="pct"/>
            <w:tcBorders>
              <w:top w:val="nil"/>
              <w:left w:val="nil"/>
              <w:bottom w:val="single" w:sz="4" w:space="0" w:color="auto"/>
              <w:right w:val="single" w:sz="4" w:space="0" w:color="auto"/>
            </w:tcBorders>
            <w:shd w:val="clear" w:color="000000" w:fill="BFBFBF"/>
            <w:vAlign w:val="center"/>
            <w:hideMark/>
          </w:tcPr>
          <w:p w14:paraId="08EF2057"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Balanced</w:t>
            </w:r>
          </w:p>
        </w:tc>
        <w:tc>
          <w:tcPr>
            <w:tcW w:w="788" w:type="pct"/>
            <w:tcBorders>
              <w:top w:val="nil"/>
              <w:left w:val="nil"/>
              <w:bottom w:val="single" w:sz="4" w:space="0" w:color="auto"/>
              <w:right w:val="single" w:sz="4" w:space="0" w:color="auto"/>
            </w:tcBorders>
            <w:shd w:val="clear" w:color="000000" w:fill="BFBFBF"/>
            <w:vAlign w:val="center"/>
            <w:hideMark/>
          </w:tcPr>
          <w:p w14:paraId="58B86B2B"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Growth</w:t>
            </w:r>
          </w:p>
        </w:tc>
        <w:tc>
          <w:tcPr>
            <w:tcW w:w="788" w:type="pct"/>
            <w:tcBorders>
              <w:top w:val="nil"/>
              <w:left w:val="nil"/>
              <w:bottom w:val="single" w:sz="4" w:space="0" w:color="auto"/>
              <w:right w:val="single" w:sz="4" w:space="0" w:color="auto"/>
            </w:tcBorders>
            <w:shd w:val="clear" w:color="000000" w:fill="BFBFBF"/>
            <w:vAlign w:val="center"/>
            <w:hideMark/>
          </w:tcPr>
          <w:p w14:paraId="35F427FD" w14:textId="77777777" w:rsidR="009E6C1A" w:rsidRPr="002449A5" w:rsidRDefault="009E6C1A" w:rsidP="002449A5">
            <w:pPr>
              <w:spacing w:after="120" w:line="240" w:lineRule="auto"/>
              <w:jc w:val="center"/>
              <w:rPr>
                <w:rFonts w:asciiTheme="minorHAnsi" w:eastAsia="Times New Roman" w:hAnsiTheme="minorHAnsi" w:cstheme="minorHAnsi"/>
                <w:b/>
                <w:bCs/>
                <w:color w:val="000000"/>
                <w:sz w:val="22"/>
                <w:lang w:eastAsia="en-AU"/>
              </w:rPr>
            </w:pPr>
            <w:r w:rsidRPr="002449A5">
              <w:rPr>
                <w:rFonts w:asciiTheme="minorHAnsi" w:eastAsia="Times New Roman" w:hAnsiTheme="minorHAnsi" w:cstheme="minorHAnsi"/>
                <w:b/>
                <w:bCs/>
                <w:color w:val="000000"/>
                <w:sz w:val="22"/>
                <w:lang w:eastAsia="en-AU"/>
              </w:rPr>
              <w:t>High Growth</w:t>
            </w:r>
          </w:p>
        </w:tc>
      </w:tr>
      <w:tr w:rsidR="009E6C1A" w:rsidRPr="002449A5" w14:paraId="4979694E" w14:textId="77777777" w:rsidTr="009E6C1A">
        <w:trPr>
          <w:trHeight w:val="288"/>
        </w:trPr>
        <w:tc>
          <w:tcPr>
            <w:tcW w:w="1007" w:type="pct"/>
            <w:tcBorders>
              <w:top w:val="nil"/>
              <w:left w:val="single" w:sz="4" w:space="0" w:color="auto"/>
              <w:bottom w:val="single" w:sz="4" w:space="0" w:color="auto"/>
              <w:right w:val="single" w:sz="4" w:space="0" w:color="auto"/>
            </w:tcBorders>
            <w:shd w:val="clear" w:color="auto" w:fill="auto"/>
            <w:noWrap/>
            <w:vAlign w:val="center"/>
            <w:hideMark/>
          </w:tcPr>
          <w:p w14:paraId="3AD95B22" w14:textId="77777777" w:rsidR="009E6C1A" w:rsidRPr="002449A5" w:rsidRDefault="009E6C1A" w:rsidP="002449A5">
            <w:pPr>
              <w:spacing w:after="120" w:line="240" w:lineRule="auto"/>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 xml:space="preserve">Cash </w:t>
            </w:r>
            <w:r w:rsidRPr="002449A5">
              <w:rPr>
                <w:rFonts w:asciiTheme="minorHAnsi" w:eastAsia="Times New Roman" w:hAnsiTheme="minorHAnsi" w:cstheme="minorHAnsi"/>
                <w:color w:val="auto"/>
                <w:sz w:val="22"/>
                <w:vertAlign w:val="superscript"/>
                <w:lang w:val="x-none" w:eastAsia="en-AU"/>
              </w:rPr>
              <w:t>[2]</w:t>
            </w:r>
          </w:p>
        </w:tc>
        <w:tc>
          <w:tcPr>
            <w:tcW w:w="814" w:type="pct"/>
            <w:tcBorders>
              <w:top w:val="nil"/>
              <w:left w:val="nil"/>
              <w:bottom w:val="single" w:sz="4" w:space="0" w:color="auto"/>
              <w:right w:val="single" w:sz="4" w:space="0" w:color="auto"/>
            </w:tcBorders>
            <w:shd w:val="clear" w:color="auto" w:fill="auto"/>
            <w:noWrap/>
            <w:vAlign w:val="bottom"/>
            <w:hideMark/>
          </w:tcPr>
          <w:p w14:paraId="3F89E937"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45%</w:t>
            </w:r>
          </w:p>
        </w:tc>
        <w:tc>
          <w:tcPr>
            <w:tcW w:w="815" w:type="pct"/>
            <w:tcBorders>
              <w:top w:val="nil"/>
              <w:left w:val="nil"/>
              <w:bottom w:val="single" w:sz="4" w:space="0" w:color="auto"/>
              <w:right w:val="single" w:sz="4" w:space="0" w:color="auto"/>
            </w:tcBorders>
            <w:shd w:val="clear" w:color="auto" w:fill="auto"/>
            <w:noWrap/>
            <w:vAlign w:val="bottom"/>
            <w:hideMark/>
          </w:tcPr>
          <w:p w14:paraId="28C4AFDC"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25%</w:t>
            </w:r>
          </w:p>
        </w:tc>
        <w:tc>
          <w:tcPr>
            <w:tcW w:w="788" w:type="pct"/>
            <w:tcBorders>
              <w:top w:val="nil"/>
              <w:left w:val="nil"/>
              <w:bottom w:val="single" w:sz="4" w:space="0" w:color="auto"/>
              <w:right w:val="single" w:sz="4" w:space="0" w:color="auto"/>
            </w:tcBorders>
            <w:shd w:val="clear" w:color="auto" w:fill="auto"/>
            <w:noWrap/>
            <w:vAlign w:val="bottom"/>
            <w:hideMark/>
          </w:tcPr>
          <w:p w14:paraId="1C9B4C56"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15%</w:t>
            </w:r>
          </w:p>
        </w:tc>
        <w:tc>
          <w:tcPr>
            <w:tcW w:w="788" w:type="pct"/>
            <w:tcBorders>
              <w:top w:val="nil"/>
              <w:left w:val="nil"/>
              <w:bottom w:val="single" w:sz="4" w:space="0" w:color="auto"/>
              <w:right w:val="single" w:sz="4" w:space="0" w:color="auto"/>
            </w:tcBorders>
            <w:shd w:val="clear" w:color="auto" w:fill="auto"/>
            <w:noWrap/>
            <w:vAlign w:val="bottom"/>
            <w:hideMark/>
          </w:tcPr>
          <w:p w14:paraId="0CCC48AD"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10%</w:t>
            </w:r>
          </w:p>
        </w:tc>
        <w:tc>
          <w:tcPr>
            <w:tcW w:w="788" w:type="pct"/>
            <w:tcBorders>
              <w:top w:val="nil"/>
              <w:left w:val="nil"/>
              <w:bottom w:val="single" w:sz="4" w:space="0" w:color="auto"/>
              <w:right w:val="single" w:sz="4" w:space="0" w:color="auto"/>
            </w:tcBorders>
            <w:shd w:val="clear" w:color="auto" w:fill="auto"/>
            <w:noWrap/>
            <w:vAlign w:val="bottom"/>
            <w:hideMark/>
          </w:tcPr>
          <w:p w14:paraId="140CC8A0"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 xml:space="preserve">5% </w:t>
            </w:r>
            <w:r w:rsidRPr="002449A5">
              <w:rPr>
                <w:rFonts w:asciiTheme="minorHAnsi" w:eastAsia="Times New Roman" w:hAnsiTheme="minorHAnsi" w:cstheme="minorHAnsi"/>
                <w:color w:val="auto"/>
                <w:sz w:val="22"/>
                <w:vertAlign w:val="superscript"/>
                <w:lang w:val="x-none" w:eastAsia="en-AU"/>
              </w:rPr>
              <w:t>[3]</w:t>
            </w:r>
          </w:p>
        </w:tc>
      </w:tr>
      <w:tr w:rsidR="009E6C1A" w:rsidRPr="002449A5" w14:paraId="66695FD0" w14:textId="77777777" w:rsidTr="009E6C1A">
        <w:trPr>
          <w:trHeight w:val="300"/>
        </w:trPr>
        <w:tc>
          <w:tcPr>
            <w:tcW w:w="1007" w:type="pct"/>
            <w:tcBorders>
              <w:top w:val="nil"/>
              <w:left w:val="single" w:sz="4" w:space="0" w:color="auto"/>
              <w:bottom w:val="single" w:sz="4" w:space="0" w:color="auto"/>
              <w:right w:val="single" w:sz="4" w:space="0" w:color="auto"/>
            </w:tcBorders>
            <w:shd w:val="clear" w:color="auto" w:fill="auto"/>
            <w:noWrap/>
            <w:vAlign w:val="center"/>
            <w:hideMark/>
          </w:tcPr>
          <w:p w14:paraId="51C9C49B" w14:textId="77777777" w:rsidR="009E6C1A" w:rsidRPr="002449A5" w:rsidRDefault="009E6C1A" w:rsidP="002449A5">
            <w:pPr>
              <w:spacing w:after="120" w:line="240" w:lineRule="auto"/>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 xml:space="preserve">Fixed Interest </w:t>
            </w:r>
            <w:r w:rsidRPr="002449A5">
              <w:rPr>
                <w:rFonts w:asciiTheme="minorHAnsi" w:eastAsia="Times New Roman" w:hAnsiTheme="minorHAnsi" w:cstheme="minorHAnsi"/>
                <w:color w:val="auto"/>
                <w:sz w:val="22"/>
                <w:vertAlign w:val="superscript"/>
                <w:lang w:val="x-none" w:eastAsia="en-AU"/>
              </w:rPr>
              <w:t>[2]</w:t>
            </w:r>
          </w:p>
        </w:tc>
        <w:tc>
          <w:tcPr>
            <w:tcW w:w="814" w:type="pct"/>
            <w:tcBorders>
              <w:top w:val="nil"/>
              <w:left w:val="nil"/>
              <w:bottom w:val="single" w:sz="4" w:space="0" w:color="auto"/>
              <w:right w:val="single" w:sz="4" w:space="0" w:color="auto"/>
            </w:tcBorders>
            <w:shd w:val="clear" w:color="auto" w:fill="auto"/>
            <w:noWrap/>
            <w:vAlign w:val="bottom"/>
            <w:hideMark/>
          </w:tcPr>
          <w:p w14:paraId="44883E08"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45%</w:t>
            </w:r>
          </w:p>
        </w:tc>
        <w:tc>
          <w:tcPr>
            <w:tcW w:w="815" w:type="pct"/>
            <w:tcBorders>
              <w:top w:val="nil"/>
              <w:left w:val="nil"/>
              <w:bottom w:val="single" w:sz="4" w:space="0" w:color="auto"/>
              <w:right w:val="single" w:sz="4" w:space="0" w:color="auto"/>
            </w:tcBorders>
            <w:shd w:val="clear" w:color="auto" w:fill="auto"/>
            <w:noWrap/>
            <w:vAlign w:val="bottom"/>
            <w:hideMark/>
          </w:tcPr>
          <w:p w14:paraId="39C09CF0"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45%</w:t>
            </w:r>
          </w:p>
        </w:tc>
        <w:tc>
          <w:tcPr>
            <w:tcW w:w="788" w:type="pct"/>
            <w:tcBorders>
              <w:top w:val="nil"/>
              <w:left w:val="nil"/>
              <w:bottom w:val="single" w:sz="4" w:space="0" w:color="auto"/>
              <w:right w:val="single" w:sz="4" w:space="0" w:color="auto"/>
            </w:tcBorders>
            <w:shd w:val="clear" w:color="auto" w:fill="auto"/>
            <w:noWrap/>
            <w:vAlign w:val="bottom"/>
            <w:hideMark/>
          </w:tcPr>
          <w:p w14:paraId="2D516979"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25%</w:t>
            </w:r>
          </w:p>
        </w:tc>
        <w:tc>
          <w:tcPr>
            <w:tcW w:w="788" w:type="pct"/>
            <w:tcBorders>
              <w:top w:val="nil"/>
              <w:left w:val="nil"/>
              <w:bottom w:val="single" w:sz="4" w:space="0" w:color="auto"/>
              <w:right w:val="single" w:sz="4" w:space="0" w:color="auto"/>
            </w:tcBorders>
            <w:shd w:val="clear" w:color="auto" w:fill="auto"/>
            <w:noWrap/>
            <w:vAlign w:val="bottom"/>
            <w:hideMark/>
          </w:tcPr>
          <w:p w14:paraId="274808F8"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20%</w:t>
            </w:r>
          </w:p>
        </w:tc>
        <w:tc>
          <w:tcPr>
            <w:tcW w:w="788" w:type="pct"/>
            <w:tcBorders>
              <w:top w:val="nil"/>
              <w:left w:val="nil"/>
              <w:bottom w:val="single" w:sz="4" w:space="0" w:color="auto"/>
              <w:right w:val="single" w:sz="4" w:space="0" w:color="auto"/>
            </w:tcBorders>
            <w:shd w:val="clear" w:color="auto" w:fill="auto"/>
            <w:noWrap/>
            <w:vAlign w:val="bottom"/>
            <w:hideMark/>
          </w:tcPr>
          <w:p w14:paraId="118CECE9"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 xml:space="preserve">5% </w:t>
            </w:r>
            <w:r w:rsidRPr="002449A5">
              <w:rPr>
                <w:rFonts w:asciiTheme="minorHAnsi" w:eastAsia="Times New Roman" w:hAnsiTheme="minorHAnsi" w:cstheme="minorHAnsi"/>
                <w:color w:val="auto"/>
                <w:sz w:val="22"/>
                <w:vertAlign w:val="superscript"/>
                <w:lang w:val="x-none" w:eastAsia="en-AU"/>
              </w:rPr>
              <w:t>[3]</w:t>
            </w:r>
          </w:p>
        </w:tc>
      </w:tr>
      <w:tr w:rsidR="009E6C1A" w:rsidRPr="002449A5" w14:paraId="192C507A" w14:textId="77777777" w:rsidTr="009E6C1A">
        <w:trPr>
          <w:trHeight w:val="288"/>
        </w:trPr>
        <w:tc>
          <w:tcPr>
            <w:tcW w:w="1007" w:type="pct"/>
            <w:tcBorders>
              <w:top w:val="nil"/>
              <w:left w:val="single" w:sz="4" w:space="0" w:color="auto"/>
              <w:bottom w:val="single" w:sz="4" w:space="0" w:color="auto"/>
              <w:right w:val="single" w:sz="4" w:space="0" w:color="auto"/>
            </w:tcBorders>
            <w:shd w:val="clear" w:color="auto" w:fill="auto"/>
            <w:noWrap/>
            <w:vAlign w:val="center"/>
            <w:hideMark/>
          </w:tcPr>
          <w:p w14:paraId="738D9F1A" w14:textId="77777777" w:rsidR="009E6C1A" w:rsidRPr="002449A5" w:rsidRDefault="009E6C1A" w:rsidP="002449A5">
            <w:pPr>
              <w:spacing w:after="120" w:line="240" w:lineRule="auto"/>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Australian Shares</w:t>
            </w:r>
          </w:p>
        </w:tc>
        <w:tc>
          <w:tcPr>
            <w:tcW w:w="814" w:type="pct"/>
            <w:tcBorders>
              <w:top w:val="nil"/>
              <w:left w:val="nil"/>
              <w:bottom w:val="single" w:sz="4" w:space="0" w:color="auto"/>
              <w:right w:val="single" w:sz="4" w:space="0" w:color="auto"/>
            </w:tcBorders>
            <w:shd w:val="clear" w:color="auto" w:fill="auto"/>
            <w:noWrap/>
            <w:vAlign w:val="bottom"/>
            <w:hideMark/>
          </w:tcPr>
          <w:p w14:paraId="1B1DA1E8"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5%</w:t>
            </w:r>
          </w:p>
        </w:tc>
        <w:tc>
          <w:tcPr>
            <w:tcW w:w="815" w:type="pct"/>
            <w:tcBorders>
              <w:top w:val="nil"/>
              <w:left w:val="nil"/>
              <w:bottom w:val="single" w:sz="4" w:space="0" w:color="auto"/>
              <w:right w:val="single" w:sz="4" w:space="0" w:color="auto"/>
            </w:tcBorders>
            <w:shd w:val="clear" w:color="auto" w:fill="auto"/>
            <w:noWrap/>
            <w:vAlign w:val="bottom"/>
            <w:hideMark/>
          </w:tcPr>
          <w:p w14:paraId="5AD905B1"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10%</w:t>
            </w:r>
          </w:p>
        </w:tc>
        <w:tc>
          <w:tcPr>
            <w:tcW w:w="788" w:type="pct"/>
            <w:tcBorders>
              <w:top w:val="nil"/>
              <w:left w:val="nil"/>
              <w:bottom w:val="single" w:sz="4" w:space="0" w:color="auto"/>
              <w:right w:val="single" w:sz="4" w:space="0" w:color="auto"/>
            </w:tcBorders>
            <w:shd w:val="clear" w:color="auto" w:fill="auto"/>
            <w:noWrap/>
            <w:vAlign w:val="bottom"/>
            <w:hideMark/>
          </w:tcPr>
          <w:p w14:paraId="52BC2AEC"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25%</w:t>
            </w:r>
          </w:p>
        </w:tc>
        <w:tc>
          <w:tcPr>
            <w:tcW w:w="788" w:type="pct"/>
            <w:tcBorders>
              <w:top w:val="nil"/>
              <w:left w:val="nil"/>
              <w:bottom w:val="single" w:sz="4" w:space="0" w:color="auto"/>
              <w:right w:val="single" w:sz="4" w:space="0" w:color="auto"/>
            </w:tcBorders>
            <w:shd w:val="clear" w:color="auto" w:fill="auto"/>
            <w:noWrap/>
            <w:vAlign w:val="bottom"/>
            <w:hideMark/>
          </w:tcPr>
          <w:p w14:paraId="17C76E7D"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30%</w:t>
            </w:r>
          </w:p>
        </w:tc>
        <w:tc>
          <w:tcPr>
            <w:tcW w:w="788" w:type="pct"/>
            <w:tcBorders>
              <w:top w:val="nil"/>
              <w:left w:val="nil"/>
              <w:bottom w:val="single" w:sz="4" w:space="0" w:color="auto"/>
              <w:right w:val="single" w:sz="4" w:space="0" w:color="auto"/>
            </w:tcBorders>
            <w:shd w:val="clear" w:color="auto" w:fill="auto"/>
            <w:noWrap/>
            <w:vAlign w:val="bottom"/>
            <w:hideMark/>
          </w:tcPr>
          <w:p w14:paraId="58E66137"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45%</w:t>
            </w:r>
          </w:p>
        </w:tc>
      </w:tr>
      <w:tr w:rsidR="009E6C1A" w:rsidRPr="002449A5" w14:paraId="10792CFC" w14:textId="77777777" w:rsidTr="009E6C1A">
        <w:trPr>
          <w:trHeight w:val="288"/>
        </w:trPr>
        <w:tc>
          <w:tcPr>
            <w:tcW w:w="1007" w:type="pct"/>
            <w:tcBorders>
              <w:top w:val="nil"/>
              <w:left w:val="single" w:sz="4" w:space="0" w:color="auto"/>
              <w:bottom w:val="single" w:sz="4" w:space="0" w:color="auto"/>
              <w:right w:val="single" w:sz="4" w:space="0" w:color="auto"/>
            </w:tcBorders>
            <w:shd w:val="clear" w:color="auto" w:fill="auto"/>
            <w:noWrap/>
            <w:vAlign w:val="center"/>
            <w:hideMark/>
          </w:tcPr>
          <w:p w14:paraId="54181576" w14:textId="77777777" w:rsidR="009E6C1A" w:rsidRPr="002449A5" w:rsidRDefault="009E6C1A" w:rsidP="002449A5">
            <w:pPr>
              <w:spacing w:after="120" w:line="240" w:lineRule="auto"/>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International Shares</w:t>
            </w:r>
          </w:p>
        </w:tc>
        <w:tc>
          <w:tcPr>
            <w:tcW w:w="814" w:type="pct"/>
            <w:tcBorders>
              <w:top w:val="nil"/>
              <w:left w:val="nil"/>
              <w:bottom w:val="single" w:sz="4" w:space="0" w:color="auto"/>
              <w:right w:val="single" w:sz="4" w:space="0" w:color="auto"/>
            </w:tcBorders>
            <w:shd w:val="clear" w:color="auto" w:fill="auto"/>
            <w:noWrap/>
            <w:vAlign w:val="bottom"/>
            <w:hideMark/>
          </w:tcPr>
          <w:p w14:paraId="3AFC3219"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w:t>
            </w:r>
          </w:p>
        </w:tc>
        <w:tc>
          <w:tcPr>
            <w:tcW w:w="815" w:type="pct"/>
            <w:tcBorders>
              <w:top w:val="nil"/>
              <w:left w:val="nil"/>
              <w:bottom w:val="single" w:sz="4" w:space="0" w:color="auto"/>
              <w:right w:val="single" w:sz="4" w:space="0" w:color="auto"/>
            </w:tcBorders>
            <w:shd w:val="clear" w:color="auto" w:fill="auto"/>
            <w:noWrap/>
            <w:vAlign w:val="bottom"/>
            <w:hideMark/>
          </w:tcPr>
          <w:p w14:paraId="781AC7F0"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10%</w:t>
            </w:r>
          </w:p>
        </w:tc>
        <w:tc>
          <w:tcPr>
            <w:tcW w:w="788" w:type="pct"/>
            <w:tcBorders>
              <w:top w:val="nil"/>
              <w:left w:val="nil"/>
              <w:bottom w:val="single" w:sz="4" w:space="0" w:color="auto"/>
              <w:right w:val="single" w:sz="4" w:space="0" w:color="auto"/>
            </w:tcBorders>
            <w:shd w:val="clear" w:color="auto" w:fill="auto"/>
            <w:noWrap/>
            <w:vAlign w:val="bottom"/>
            <w:hideMark/>
          </w:tcPr>
          <w:p w14:paraId="367540BE"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20%</w:t>
            </w:r>
          </w:p>
        </w:tc>
        <w:tc>
          <w:tcPr>
            <w:tcW w:w="788" w:type="pct"/>
            <w:tcBorders>
              <w:top w:val="nil"/>
              <w:left w:val="nil"/>
              <w:bottom w:val="single" w:sz="4" w:space="0" w:color="auto"/>
              <w:right w:val="single" w:sz="4" w:space="0" w:color="auto"/>
            </w:tcBorders>
            <w:shd w:val="clear" w:color="auto" w:fill="auto"/>
            <w:noWrap/>
            <w:vAlign w:val="bottom"/>
            <w:hideMark/>
          </w:tcPr>
          <w:p w14:paraId="4B418AEB"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25%</w:t>
            </w:r>
          </w:p>
        </w:tc>
        <w:tc>
          <w:tcPr>
            <w:tcW w:w="788" w:type="pct"/>
            <w:tcBorders>
              <w:top w:val="nil"/>
              <w:left w:val="nil"/>
              <w:bottom w:val="single" w:sz="4" w:space="0" w:color="auto"/>
              <w:right w:val="single" w:sz="4" w:space="0" w:color="auto"/>
            </w:tcBorders>
            <w:shd w:val="clear" w:color="auto" w:fill="auto"/>
            <w:noWrap/>
            <w:vAlign w:val="bottom"/>
            <w:hideMark/>
          </w:tcPr>
          <w:p w14:paraId="2C7B47AB"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45%</w:t>
            </w:r>
          </w:p>
        </w:tc>
      </w:tr>
      <w:tr w:rsidR="009E6C1A" w:rsidRPr="002449A5" w14:paraId="2D929832" w14:textId="77777777" w:rsidTr="009E6C1A">
        <w:trPr>
          <w:trHeight w:val="288"/>
        </w:trPr>
        <w:tc>
          <w:tcPr>
            <w:tcW w:w="1007" w:type="pct"/>
            <w:tcBorders>
              <w:top w:val="nil"/>
              <w:left w:val="single" w:sz="4" w:space="0" w:color="auto"/>
              <w:bottom w:val="single" w:sz="4" w:space="0" w:color="auto"/>
              <w:right w:val="single" w:sz="4" w:space="0" w:color="auto"/>
            </w:tcBorders>
            <w:shd w:val="clear" w:color="auto" w:fill="auto"/>
            <w:noWrap/>
            <w:vAlign w:val="center"/>
            <w:hideMark/>
          </w:tcPr>
          <w:p w14:paraId="13BF8C6D" w14:textId="77777777" w:rsidR="009E6C1A" w:rsidRPr="002449A5" w:rsidRDefault="009E6C1A" w:rsidP="002449A5">
            <w:pPr>
              <w:spacing w:after="120" w:line="240" w:lineRule="auto"/>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Listed Property</w:t>
            </w:r>
          </w:p>
        </w:tc>
        <w:tc>
          <w:tcPr>
            <w:tcW w:w="814" w:type="pct"/>
            <w:tcBorders>
              <w:top w:val="nil"/>
              <w:left w:val="nil"/>
              <w:bottom w:val="single" w:sz="4" w:space="0" w:color="auto"/>
              <w:right w:val="single" w:sz="4" w:space="0" w:color="auto"/>
            </w:tcBorders>
            <w:shd w:val="clear" w:color="auto" w:fill="auto"/>
            <w:noWrap/>
            <w:vAlign w:val="bottom"/>
            <w:hideMark/>
          </w:tcPr>
          <w:p w14:paraId="367AF303"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5%</w:t>
            </w:r>
          </w:p>
        </w:tc>
        <w:tc>
          <w:tcPr>
            <w:tcW w:w="815" w:type="pct"/>
            <w:tcBorders>
              <w:top w:val="nil"/>
              <w:left w:val="nil"/>
              <w:bottom w:val="single" w:sz="4" w:space="0" w:color="auto"/>
              <w:right w:val="single" w:sz="4" w:space="0" w:color="auto"/>
            </w:tcBorders>
            <w:shd w:val="clear" w:color="auto" w:fill="auto"/>
            <w:noWrap/>
            <w:vAlign w:val="bottom"/>
            <w:hideMark/>
          </w:tcPr>
          <w:p w14:paraId="25C98386"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10%</w:t>
            </w:r>
          </w:p>
        </w:tc>
        <w:tc>
          <w:tcPr>
            <w:tcW w:w="788" w:type="pct"/>
            <w:tcBorders>
              <w:top w:val="nil"/>
              <w:left w:val="nil"/>
              <w:bottom w:val="single" w:sz="4" w:space="0" w:color="auto"/>
              <w:right w:val="single" w:sz="4" w:space="0" w:color="auto"/>
            </w:tcBorders>
            <w:shd w:val="clear" w:color="auto" w:fill="auto"/>
            <w:noWrap/>
            <w:vAlign w:val="bottom"/>
            <w:hideMark/>
          </w:tcPr>
          <w:p w14:paraId="3EC75F75"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15%</w:t>
            </w:r>
          </w:p>
        </w:tc>
        <w:tc>
          <w:tcPr>
            <w:tcW w:w="788" w:type="pct"/>
            <w:tcBorders>
              <w:top w:val="nil"/>
              <w:left w:val="nil"/>
              <w:bottom w:val="single" w:sz="4" w:space="0" w:color="auto"/>
              <w:right w:val="single" w:sz="4" w:space="0" w:color="auto"/>
            </w:tcBorders>
            <w:shd w:val="clear" w:color="auto" w:fill="auto"/>
            <w:noWrap/>
            <w:vAlign w:val="bottom"/>
            <w:hideMark/>
          </w:tcPr>
          <w:p w14:paraId="01A5D2B1"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15%</w:t>
            </w:r>
          </w:p>
        </w:tc>
        <w:tc>
          <w:tcPr>
            <w:tcW w:w="788" w:type="pct"/>
            <w:tcBorders>
              <w:top w:val="nil"/>
              <w:left w:val="nil"/>
              <w:bottom w:val="single" w:sz="4" w:space="0" w:color="auto"/>
              <w:right w:val="single" w:sz="4" w:space="0" w:color="auto"/>
            </w:tcBorders>
            <w:shd w:val="clear" w:color="auto" w:fill="auto"/>
            <w:noWrap/>
            <w:vAlign w:val="bottom"/>
            <w:hideMark/>
          </w:tcPr>
          <w:p w14:paraId="519072D8"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0%</w:t>
            </w:r>
          </w:p>
        </w:tc>
      </w:tr>
      <w:tr w:rsidR="009E6C1A" w:rsidRPr="002449A5" w14:paraId="02DE310E" w14:textId="77777777" w:rsidTr="009E6C1A">
        <w:trPr>
          <w:trHeight w:val="288"/>
        </w:trPr>
        <w:tc>
          <w:tcPr>
            <w:tcW w:w="1007" w:type="pct"/>
            <w:tcBorders>
              <w:top w:val="nil"/>
              <w:left w:val="single" w:sz="4" w:space="0" w:color="auto"/>
              <w:bottom w:val="single" w:sz="4" w:space="0" w:color="auto"/>
              <w:right w:val="single" w:sz="4" w:space="0" w:color="auto"/>
            </w:tcBorders>
            <w:shd w:val="clear" w:color="auto" w:fill="auto"/>
            <w:noWrap/>
            <w:vAlign w:val="center"/>
            <w:hideMark/>
          </w:tcPr>
          <w:p w14:paraId="6BE57F4B" w14:textId="77777777" w:rsidR="009E6C1A" w:rsidRPr="002449A5" w:rsidRDefault="009E6C1A" w:rsidP="002449A5">
            <w:pPr>
              <w:spacing w:after="120" w:line="240" w:lineRule="auto"/>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 xml:space="preserve">Other </w:t>
            </w:r>
          </w:p>
        </w:tc>
        <w:tc>
          <w:tcPr>
            <w:tcW w:w="814" w:type="pct"/>
            <w:tcBorders>
              <w:top w:val="nil"/>
              <w:left w:val="nil"/>
              <w:bottom w:val="single" w:sz="4" w:space="0" w:color="auto"/>
              <w:right w:val="single" w:sz="4" w:space="0" w:color="auto"/>
            </w:tcBorders>
            <w:shd w:val="clear" w:color="auto" w:fill="auto"/>
            <w:noWrap/>
            <w:vAlign w:val="bottom"/>
            <w:hideMark/>
          </w:tcPr>
          <w:p w14:paraId="5E5144E0"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w:t>
            </w:r>
          </w:p>
        </w:tc>
        <w:tc>
          <w:tcPr>
            <w:tcW w:w="815" w:type="pct"/>
            <w:tcBorders>
              <w:top w:val="nil"/>
              <w:left w:val="nil"/>
              <w:bottom w:val="single" w:sz="4" w:space="0" w:color="auto"/>
              <w:right w:val="single" w:sz="4" w:space="0" w:color="auto"/>
            </w:tcBorders>
            <w:shd w:val="clear" w:color="auto" w:fill="auto"/>
            <w:noWrap/>
            <w:vAlign w:val="bottom"/>
            <w:hideMark/>
          </w:tcPr>
          <w:p w14:paraId="6ECC1D1D"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w:t>
            </w:r>
          </w:p>
        </w:tc>
        <w:tc>
          <w:tcPr>
            <w:tcW w:w="788" w:type="pct"/>
            <w:tcBorders>
              <w:top w:val="nil"/>
              <w:left w:val="nil"/>
              <w:bottom w:val="single" w:sz="4" w:space="0" w:color="auto"/>
              <w:right w:val="single" w:sz="4" w:space="0" w:color="auto"/>
            </w:tcBorders>
            <w:shd w:val="clear" w:color="auto" w:fill="auto"/>
            <w:noWrap/>
            <w:vAlign w:val="bottom"/>
            <w:hideMark/>
          </w:tcPr>
          <w:p w14:paraId="2785D646"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w:t>
            </w:r>
          </w:p>
        </w:tc>
        <w:tc>
          <w:tcPr>
            <w:tcW w:w="788" w:type="pct"/>
            <w:tcBorders>
              <w:top w:val="nil"/>
              <w:left w:val="nil"/>
              <w:bottom w:val="single" w:sz="4" w:space="0" w:color="auto"/>
              <w:right w:val="single" w:sz="4" w:space="0" w:color="auto"/>
            </w:tcBorders>
            <w:shd w:val="clear" w:color="auto" w:fill="auto"/>
            <w:noWrap/>
            <w:vAlign w:val="bottom"/>
            <w:hideMark/>
          </w:tcPr>
          <w:p w14:paraId="547A1545"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w:t>
            </w:r>
          </w:p>
        </w:tc>
        <w:tc>
          <w:tcPr>
            <w:tcW w:w="788" w:type="pct"/>
            <w:tcBorders>
              <w:top w:val="nil"/>
              <w:left w:val="nil"/>
              <w:bottom w:val="single" w:sz="4" w:space="0" w:color="auto"/>
              <w:right w:val="single" w:sz="4" w:space="0" w:color="auto"/>
            </w:tcBorders>
            <w:shd w:val="clear" w:color="auto" w:fill="auto"/>
            <w:noWrap/>
            <w:vAlign w:val="bottom"/>
            <w:hideMark/>
          </w:tcPr>
          <w:p w14:paraId="6A8EC9BC" w14:textId="77777777" w:rsidR="009E6C1A" w:rsidRPr="002449A5" w:rsidRDefault="009E6C1A" w:rsidP="002449A5">
            <w:pPr>
              <w:spacing w:after="120" w:line="240" w:lineRule="auto"/>
              <w:jc w:val="center"/>
              <w:rPr>
                <w:rFonts w:asciiTheme="minorHAnsi" w:eastAsia="Times New Roman" w:hAnsiTheme="minorHAnsi" w:cstheme="minorHAnsi"/>
                <w:color w:val="auto"/>
                <w:sz w:val="22"/>
                <w:lang w:eastAsia="en-AU"/>
              </w:rPr>
            </w:pPr>
            <w:r w:rsidRPr="002449A5">
              <w:rPr>
                <w:rFonts w:asciiTheme="minorHAnsi" w:eastAsia="Times New Roman" w:hAnsiTheme="minorHAnsi" w:cstheme="minorHAnsi"/>
                <w:color w:val="auto"/>
                <w:sz w:val="22"/>
                <w:lang w:val="x-none" w:eastAsia="en-AU"/>
              </w:rPr>
              <w:t>-</w:t>
            </w:r>
          </w:p>
        </w:tc>
      </w:tr>
    </w:tbl>
    <w:p w14:paraId="541570DB" w14:textId="55AFCDD5" w:rsidR="00DB5149" w:rsidRPr="002449A5" w:rsidRDefault="00DB5149" w:rsidP="002449A5">
      <w:pPr>
        <w:spacing w:after="120" w:line="240" w:lineRule="auto"/>
        <w:ind w:left="993"/>
        <w:rPr>
          <w:rFonts w:asciiTheme="minorHAnsi" w:hAnsiTheme="minorHAnsi" w:cstheme="minorHAnsi"/>
          <w:sz w:val="18"/>
          <w:szCs w:val="18"/>
        </w:rPr>
      </w:pPr>
      <w:r w:rsidRPr="002449A5">
        <w:rPr>
          <w:rFonts w:asciiTheme="minorHAnsi" w:hAnsiTheme="minorHAnsi" w:cstheme="minorHAnsi"/>
          <w:sz w:val="18"/>
          <w:szCs w:val="18"/>
        </w:rPr>
        <w:t>[1] Asset Class allocation</w:t>
      </w:r>
      <w:r w:rsidR="00F36602" w:rsidRPr="002449A5">
        <w:rPr>
          <w:rFonts w:asciiTheme="minorHAnsi" w:hAnsiTheme="minorHAnsi" w:cstheme="minorHAnsi"/>
          <w:sz w:val="18"/>
          <w:szCs w:val="18"/>
        </w:rPr>
        <w:t>s</w:t>
      </w:r>
      <w:r w:rsidRPr="002449A5">
        <w:rPr>
          <w:rFonts w:asciiTheme="minorHAnsi" w:hAnsiTheme="minorHAnsi" w:cstheme="minorHAnsi"/>
          <w:sz w:val="18"/>
          <w:szCs w:val="18"/>
        </w:rPr>
        <w:t xml:space="preserve"> have a tolerance of +/- 10%</w:t>
      </w:r>
    </w:p>
    <w:p w14:paraId="55975F5E" w14:textId="064C4D2A" w:rsidR="00DB5149" w:rsidRPr="002449A5" w:rsidRDefault="00DB5149" w:rsidP="002449A5">
      <w:pPr>
        <w:spacing w:after="120" w:line="240" w:lineRule="auto"/>
        <w:ind w:left="993"/>
        <w:rPr>
          <w:rFonts w:asciiTheme="minorHAnsi" w:hAnsiTheme="minorHAnsi" w:cstheme="minorHAnsi"/>
          <w:sz w:val="18"/>
          <w:szCs w:val="18"/>
        </w:rPr>
      </w:pPr>
      <w:r w:rsidRPr="002449A5">
        <w:rPr>
          <w:rFonts w:asciiTheme="minorHAnsi" w:hAnsiTheme="minorHAnsi" w:cstheme="minorHAnsi"/>
          <w:sz w:val="18"/>
          <w:szCs w:val="18"/>
        </w:rPr>
        <w:t xml:space="preserve">[2] Exception: a Conservative portfolio can arbitrarily allocate funds between the Cash and Fixed Interest classes to meet </w:t>
      </w:r>
      <w:r w:rsidR="009403DC" w:rsidRPr="00DC632A">
        <w:rPr>
          <w:rFonts w:asciiTheme="minorHAnsi" w:hAnsiTheme="minorHAnsi" w:cstheme="minorHAnsi"/>
          <w:sz w:val="18"/>
          <w:szCs w:val="18"/>
        </w:rPr>
        <w:t>client objectives</w:t>
      </w:r>
    </w:p>
    <w:p w14:paraId="2B3282E0" w14:textId="28C33091" w:rsidR="00DB5149" w:rsidRPr="002449A5" w:rsidRDefault="00DB5149" w:rsidP="002449A5">
      <w:pPr>
        <w:spacing w:after="120" w:line="240" w:lineRule="auto"/>
        <w:ind w:left="993"/>
        <w:rPr>
          <w:rFonts w:asciiTheme="minorHAnsi" w:hAnsiTheme="minorHAnsi" w:cstheme="minorHAnsi"/>
          <w:sz w:val="18"/>
          <w:szCs w:val="18"/>
        </w:rPr>
      </w:pPr>
      <w:r w:rsidRPr="002449A5">
        <w:rPr>
          <w:rFonts w:asciiTheme="minorHAnsi" w:hAnsiTheme="minorHAnsi" w:cstheme="minorHAnsi"/>
          <w:sz w:val="18"/>
          <w:szCs w:val="18"/>
        </w:rPr>
        <w:t xml:space="preserve">[3] Exception: if margin lending/gearing is an appropriate strategy, then the target defensive allocation should be no more than 5% Cash. The fixed interest </w:t>
      </w:r>
      <w:r w:rsidRPr="00DC632A">
        <w:rPr>
          <w:rFonts w:asciiTheme="minorHAnsi" w:hAnsiTheme="minorHAnsi" w:cstheme="minorHAnsi"/>
          <w:sz w:val="18"/>
          <w:szCs w:val="18"/>
        </w:rPr>
        <w:t xml:space="preserve">allocation </w:t>
      </w:r>
      <w:r w:rsidR="00166DA6" w:rsidRPr="00DC632A">
        <w:rPr>
          <w:rFonts w:asciiTheme="minorHAnsi" w:hAnsiTheme="minorHAnsi" w:cstheme="minorHAnsi"/>
          <w:sz w:val="18"/>
          <w:szCs w:val="18"/>
        </w:rPr>
        <w:t xml:space="preserve">is </w:t>
      </w:r>
      <w:r w:rsidRPr="00DC632A">
        <w:rPr>
          <w:rFonts w:asciiTheme="minorHAnsi" w:hAnsiTheme="minorHAnsi" w:cstheme="minorHAnsi"/>
          <w:sz w:val="18"/>
          <w:szCs w:val="18"/>
        </w:rPr>
        <w:t xml:space="preserve">allotted to Growth assets to meet the </w:t>
      </w:r>
      <w:r w:rsidR="00166DA6" w:rsidRPr="00DC632A">
        <w:rPr>
          <w:rFonts w:asciiTheme="minorHAnsi" w:hAnsiTheme="minorHAnsi" w:cstheme="minorHAnsi"/>
          <w:sz w:val="18"/>
          <w:szCs w:val="18"/>
        </w:rPr>
        <w:t>client objectives</w:t>
      </w:r>
      <w:r w:rsidRPr="00DC632A">
        <w:rPr>
          <w:rFonts w:asciiTheme="minorHAnsi" w:hAnsiTheme="minorHAnsi" w:cstheme="minorHAnsi"/>
          <w:sz w:val="18"/>
          <w:szCs w:val="18"/>
        </w:rPr>
        <w:t>.</w:t>
      </w:r>
      <w:bookmarkEnd w:id="14"/>
    </w:p>
    <w:p w14:paraId="234105B9" w14:textId="34F6EA44" w:rsidR="002B428C" w:rsidRPr="00DC632A" w:rsidRDefault="002B428C" w:rsidP="002449A5">
      <w:pPr>
        <w:spacing w:after="120" w:line="240" w:lineRule="auto"/>
        <w:ind w:left="993"/>
        <w:rPr>
          <w:rFonts w:asciiTheme="minorHAnsi" w:hAnsiTheme="minorHAnsi" w:cstheme="minorHAnsi"/>
          <w:sz w:val="22"/>
          <w:lang w:eastAsia="en-AU"/>
        </w:rPr>
      </w:pPr>
      <w:r w:rsidRPr="00DC632A">
        <w:rPr>
          <w:rFonts w:asciiTheme="minorHAnsi" w:hAnsiTheme="minorHAnsi" w:cstheme="minorHAnsi"/>
          <w:sz w:val="22"/>
          <w:lang w:eastAsia="en-AU"/>
        </w:rPr>
        <w:t>Portfolio recommendations must align with the client’s assessed risk profile.</w:t>
      </w:r>
      <w:r w:rsidR="00D0604B">
        <w:rPr>
          <w:rFonts w:asciiTheme="minorHAnsi" w:hAnsiTheme="minorHAnsi" w:cstheme="minorHAnsi"/>
          <w:sz w:val="22"/>
          <w:lang w:eastAsia="en-AU"/>
        </w:rPr>
        <w:t xml:space="preserve"> Any recommended sub-asset allocation variance exceeding +/- 10% must be explained and justified.</w:t>
      </w:r>
    </w:p>
    <w:p w14:paraId="0590062A" w14:textId="71323EEF" w:rsidR="00767F46" w:rsidRPr="002449A5" w:rsidRDefault="00767F46" w:rsidP="002449A5">
      <w:pPr>
        <w:spacing w:after="120" w:line="240" w:lineRule="auto"/>
        <w:ind w:left="993"/>
        <w:rPr>
          <w:rFonts w:asciiTheme="minorHAnsi" w:hAnsiTheme="minorHAnsi" w:cstheme="minorHAnsi"/>
          <w:sz w:val="22"/>
          <w:lang w:eastAsia="en-AU"/>
        </w:rPr>
      </w:pPr>
      <w:r w:rsidRPr="00DC632A">
        <w:rPr>
          <w:rFonts w:asciiTheme="minorHAnsi" w:hAnsiTheme="minorHAnsi" w:cstheme="minorHAnsi"/>
          <w:sz w:val="22"/>
          <w:lang w:eastAsia="en-AU"/>
        </w:rPr>
        <w:t>SMSF Portfolio recommendations must align with the trustee’s Investment Strategy.</w:t>
      </w:r>
      <w:r w:rsidR="009A5B5A" w:rsidRPr="00DC632A">
        <w:rPr>
          <w:rFonts w:asciiTheme="minorHAnsi" w:hAnsiTheme="minorHAnsi" w:cstheme="minorHAnsi"/>
          <w:sz w:val="22"/>
          <w:lang w:eastAsia="en-AU"/>
        </w:rPr>
        <w:t xml:space="preserve"> This may be different from the assessed risk profiles of the members.</w:t>
      </w:r>
    </w:p>
    <w:p w14:paraId="0B822AEE" w14:textId="30CE7A65" w:rsidR="009A5B5A" w:rsidRDefault="002B428C" w:rsidP="00710A62">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When advising the Trustees of a SMSF </w:t>
      </w:r>
      <w:r w:rsidR="00F36602" w:rsidRPr="002449A5">
        <w:rPr>
          <w:rFonts w:asciiTheme="minorHAnsi" w:hAnsiTheme="minorHAnsi" w:cstheme="minorHAnsi"/>
          <w:sz w:val="22"/>
          <w:lang w:eastAsia="en-AU"/>
        </w:rPr>
        <w:t>regarding</w:t>
      </w:r>
      <w:r w:rsidRPr="002449A5">
        <w:rPr>
          <w:rFonts w:asciiTheme="minorHAnsi" w:hAnsiTheme="minorHAnsi" w:cstheme="minorHAnsi"/>
          <w:sz w:val="22"/>
          <w:lang w:eastAsia="en-AU"/>
        </w:rPr>
        <w:t xml:space="preserve"> the Investment Strategy, it is the strategic objectives of the </w:t>
      </w:r>
      <w:r w:rsidR="00F36602" w:rsidRPr="002449A5">
        <w:rPr>
          <w:rFonts w:asciiTheme="minorHAnsi" w:hAnsiTheme="minorHAnsi" w:cstheme="minorHAnsi"/>
          <w:sz w:val="22"/>
          <w:lang w:eastAsia="en-AU"/>
        </w:rPr>
        <w:t xml:space="preserve">Fund </w:t>
      </w:r>
      <w:r w:rsidR="007F7F08" w:rsidRPr="002449A5">
        <w:rPr>
          <w:rFonts w:asciiTheme="minorHAnsi" w:hAnsiTheme="minorHAnsi" w:cstheme="minorHAnsi"/>
          <w:sz w:val="22"/>
          <w:lang w:eastAsia="en-AU"/>
        </w:rPr>
        <w:t xml:space="preserve">as a whole </w:t>
      </w:r>
      <w:r w:rsidRPr="002449A5">
        <w:rPr>
          <w:rFonts w:asciiTheme="minorHAnsi" w:hAnsiTheme="minorHAnsi" w:cstheme="minorHAnsi"/>
          <w:sz w:val="22"/>
          <w:lang w:eastAsia="en-AU"/>
        </w:rPr>
        <w:t xml:space="preserve">that determine asset allocation. </w:t>
      </w:r>
      <w:r w:rsidR="00F36602" w:rsidRPr="002449A5">
        <w:rPr>
          <w:rFonts w:asciiTheme="minorHAnsi" w:hAnsiTheme="minorHAnsi" w:cstheme="minorHAnsi"/>
          <w:sz w:val="22"/>
          <w:lang w:eastAsia="en-AU"/>
        </w:rPr>
        <w:t xml:space="preserve">It is important to have on file evidence of </w:t>
      </w:r>
      <w:r w:rsidR="006E1504">
        <w:rPr>
          <w:rFonts w:asciiTheme="minorHAnsi" w:hAnsiTheme="minorHAnsi" w:cstheme="minorHAnsi"/>
          <w:sz w:val="22"/>
          <w:lang w:eastAsia="en-AU"/>
        </w:rPr>
        <w:t xml:space="preserve">any </w:t>
      </w:r>
      <w:r w:rsidR="006E1504" w:rsidRPr="00DC632A">
        <w:rPr>
          <w:rFonts w:asciiTheme="minorHAnsi" w:hAnsiTheme="minorHAnsi" w:cstheme="minorHAnsi"/>
          <w:sz w:val="22"/>
          <w:lang w:eastAsia="en-AU"/>
        </w:rPr>
        <w:t>pre-existing</w:t>
      </w:r>
      <w:r w:rsidR="00F36602" w:rsidRPr="00DC632A">
        <w:rPr>
          <w:rFonts w:asciiTheme="minorHAnsi" w:hAnsiTheme="minorHAnsi" w:cstheme="minorHAnsi"/>
          <w:sz w:val="22"/>
          <w:lang w:eastAsia="en-AU"/>
        </w:rPr>
        <w:t xml:space="preserve"> documented</w:t>
      </w:r>
      <w:r w:rsidR="00F36602" w:rsidRPr="002449A5">
        <w:rPr>
          <w:rFonts w:asciiTheme="minorHAnsi" w:hAnsiTheme="minorHAnsi" w:cstheme="minorHAnsi"/>
          <w:sz w:val="22"/>
          <w:lang w:eastAsia="en-AU"/>
        </w:rPr>
        <w:t xml:space="preserve"> investment strategy and to consider in your discussions with the trustees of the Fund, the preferred asset allocation and investment objectives of the Fund. </w:t>
      </w:r>
    </w:p>
    <w:p w14:paraId="5A34A39A" w14:textId="4DDC7BCE" w:rsidR="00453D21" w:rsidRDefault="00453D21" w:rsidP="002449A5">
      <w:pPr>
        <w:spacing w:after="120" w:line="240" w:lineRule="auto"/>
        <w:ind w:left="993"/>
        <w:rPr>
          <w:rFonts w:asciiTheme="minorHAnsi" w:hAnsiTheme="minorHAnsi" w:cstheme="minorHAnsi"/>
          <w:sz w:val="22"/>
          <w:lang w:eastAsia="en-AU"/>
        </w:rPr>
      </w:pPr>
    </w:p>
    <w:p w14:paraId="1E866D4C" w14:textId="3BF0C7F6" w:rsidR="00D0604B" w:rsidRPr="00D0604B" w:rsidRDefault="00D0604B" w:rsidP="00D0604B">
      <w:pPr>
        <w:pStyle w:val="Heading1"/>
        <w:spacing w:before="0" w:after="120" w:line="240" w:lineRule="auto"/>
        <w:ind w:left="993"/>
        <w:rPr>
          <w:rFonts w:asciiTheme="minorHAnsi" w:hAnsiTheme="minorHAnsi" w:cstheme="minorHAnsi"/>
        </w:rPr>
      </w:pPr>
      <w:r w:rsidRPr="00D0604B">
        <w:rPr>
          <w:rFonts w:asciiTheme="minorHAnsi" w:hAnsiTheme="minorHAnsi" w:cstheme="minorHAnsi"/>
        </w:rPr>
        <w:t>Alternative Strategic Asset Allocations</w:t>
      </w:r>
    </w:p>
    <w:p w14:paraId="14C46828" w14:textId="27AA04C0" w:rsidR="00D0604B" w:rsidRDefault="00D0604B" w:rsidP="002449A5">
      <w:pPr>
        <w:spacing w:after="120" w:line="240" w:lineRule="auto"/>
        <w:ind w:left="993"/>
        <w:rPr>
          <w:rFonts w:asciiTheme="minorHAnsi" w:hAnsiTheme="minorHAnsi" w:cstheme="minorHAnsi"/>
          <w:sz w:val="22"/>
          <w:lang w:eastAsia="en-AU"/>
        </w:rPr>
      </w:pPr>
      <w:r>
        <w:rPr>
          <w:rFonts w:asciiTheme="minorHAnsi" w:hAnsiTheme="minorHAnsi" w:cstheme="minorHAnsi"/>
          <w:sz w:val="22"/>
          <w:lang w:eastAsia="en-AU"/>
        </w:rPr>
        <w:t xml:space="preserve">Practices wishing to establish their own </w:t>
      </w:r>
      <w:r w:rsidR="00E60417">
        <w:rPr>
          <w:rFonts w:asciiTheme="minorHAnsi" w:hAnsiTheme="minorHAnsi" w:cstheme="minorHAnsi"/>
          <w:sz w:val="22"/>
          <w:lang w:eastAsia="en-AU"/>
        </w:rPr>
        <w:t xml:space="preserve">default </w:t>
      </w:r>
      <w:r>
        <w:rPr>
          <w:rFonts w:asciiTheme="minorHAnsi" w:hAnsiTheme="minorHAnsi" w:cstheme="minorHAnsi"/>
          <w:sz w:val="22"/>
          <w:lang w:eastAsia="en-AU"/>
        </w:rPr>
        <w:t xml:space="preserve">SAAs, that </w:t>
      </w:r>
      <w:r w:rsidR="00E60417">
        <w:rPr>
          <w:rFonts w:asciiTheme="minorHAnsi" w:hAnsiTheme="minorHAnsi" w:cstheme="minorHAnsi"/>
          <w:sz w:val="22"/>
          <w:lang w:eastAsia="en-AU"/>
        </w:rPr>
        <w:t xml:space="preserve">differ </w:t>
      </w:r>
      <w:r>
        <w:rPr>
          <w:rFonts w:asciiTheme="minorHAnsi" w:hAnsiTheme="minorHAnsi" w:cstheme="minorHAnsi"/>
          <w:sz w:val="22"/>
          <w:lang w:eastAsia="en-AU"/>
        </w:rPr>
        <w:t>minimally from the InterPrac default &lt;above&gt;, may do so.</w:t>
      </w:r>
    </w:p>
    <w:p w14:paraId="68F93BEA" w14:textId="3B872C4E" w:rsidR="00D0604B" w:rsidRDefault="00D0604B" w:rsidP="002449A5">
      <w:pPr>
        <w:spacing w:after="120" w:line="240" w:lineRule="auto"/>
        <w:ind w:left="993"/>
        <w:rPr>
          <w:rFonts w:asciiTheme="minorHAnsi" w:hAnsiTheme="minorHAnsi" w:cstheme="minorHAnsi"/>
          <w:sz w:val="22"/>
          <w:lang w:eastAsia="en-AU"/>
        </w:rPr>
      </w:pPr>
      <w:r>
        <w:rPr>
          <w:rFonts w:asciiTheme="minorHAnsi" w:hAnsiTheme="minorHAnsi" w:cstheme="minorHAnsi"/>
          <w:sz w:val="22"/>
          <w:lang w:eastAsia="en-AU"/>
        </w:rPr>
        <w:t xml:space="preserve">A minimal difference occurs when sub-asset allocations </w:t>
      </w:r>
      <w:r w:rsidR="00E60417">
        <w:rPr>
          <w:rFonts w:asciiTheme="minorHAnsi" w:hAnsiTheme="minorHAnsi" w:cstheme="minorHAnsi"/>
          <w:sz w:val="22"/>
          <w:lang w:eastAsia="en-AU"/>
        </w:rPr>
        <w:t xml:space="preserve">vary </w:t>
      </w:r>
      <w:r>
        <w:rPr>
          <w:rFonts w:asciiTheme="minorHAnsi" w:hAnsiTheme="minorHAnsi" w:cstheme="minorHAnsi"/>
          <w:sz w:val="22"/>
          <w:lang w:eastAsia="en-AU"/>
        </w:rPr>
        <w:t>by less than, or equal to, +/- 10% of the InterPrac default. &lt;above&gt;</w:t>
      </w:r>
    </w:p>
    <w:p w14:paraId="0BE8707A" w14:textId="571D8D0D" w:rsidR="00D0604B" w:rsidRDefault="00D0604B" w:rsidP="002449A5">
      <w:pPr>
        <w:spacing w:after="120" w:line="240" w:lineRule="auto"/>
        <w:ind w:left="993"/>
        <w:rPr>
          <w:rFonts w:asciiTheme="minorHAnsi" w:hAnsiTheme="minorHAnsi" w:cstheme="minorHAnsi"/>
          <w:sz w:val="22"/>
          <w:lang w:eastAsia="en-AU"/>
        </w:rPr>
      </w:pPr>
      <w:r>
        <w:rPr>
          <w:rFonts w:asciiTheme="minorHAnsi" w:hAnsiTheme="minorHAnsi" w:cstheme="minorHAnsi"/>
          <w:sz w:val="22"/>
          <w:lang w:eastAsia="en-AU"/>
        </w:rPr>
        <w:t xml:space="preserve">If sub-asset allocations default at greater than </w:t>
      </w:r>
      <w:r w:rsidR="00E14A39">
        <w:rPr>
          <w:rFonts w:asciiTheme="minorHAnsi" w:hAnsiTheme="minorHAnsi" w:cstheme="minorHAnsi"/>
          <w:sz w:val="22"/>
          <w:lang w:eastAsia="en-AU"/>
        </w:rPr>
        <w:t>+/- 10%, permission must be obtained from the National Compliance Manager.</w:t>
      </w:r>
    </w:p>
    <w:p w14:paraId="606CC095" w14:textId="77777777" w:rsidR="00D0604B" w:rsidRPr="002449A5" w:rsidRDefault="00D0604B" w:rsidP="002449A5">
      <w:pPr>
        <w:spacing w:after="120" w:line="240" w:lineRule="auto"/>
        <w:ind w:left="993"/>
        <w:rPr>
          <w:rFonts w:asciiTheme="minorHAnsi" w:hAnsiTheme="minorHAnsi" w:cstheme="minorHAnsi"/>
          <w:sz w:val="22"/>
          <w:lang w:eastAsia="en-AU"/>
        </w:rPr>
      </w:pPr>
    </w:p>
    <w:p w14:paraId="0ABC1C38" w14:textId="5D0B62F4" w:rsidR="004C5478" w:rsidRPr="002449A5" w:rsidRDefault="004C5478" w:rsidP="002449A5">
      <w:pPr>
        <w:pStyle w:val="Heading1"/>
        <w:spacing w:before="0" w:after="120" w:line="240" w:lineRule="auto"/>
        <w:ind w:left="993"/>
        <w:rPr>
          <w:rFonts w:asciiTheme="minorHAnsi" w:hAnsiTheme="minorHAnsi" w:cstheme="minorHAnsi"/>
        </w:rPr>
      </w:pPr>
      <w:r w:rsidRPr="002449A5">
        <w:rPr>
          <w:rFonts w:asciiTheme="minorHAnsi" w:hAnsiTheme="minorHAnsi" w:cstheme="minorHAnsi"/>
        </w:rPr>
        <w:t>Platforms</w:t>
      </w:r>
    </w:p>
    <w:p w14:paraId="7D07E20D" w14:textId="0C4F5B82" w:rsidR="00EA7FE4" w:rsidRPr="002449A5" w:rsidRDefault="004E1E6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does not mandate the use of any particular investment platform.</w:t>
      </w:r>
    </w:p>
    <w:p w14:paraId="4E1795A9" w14:textId="45B81266" w:rsidR="004C5478" w:rsidRPr="002449A5" w:rsidRDefault="00EA7FE4"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Hub 24</w:t>
      </w:r>
    </w:p>
    <w:p w14:paraId="39125B01" w14:textId="70653237" w:rsidR="00483D32" w:rsidRPr="002449A5" w:rsidRDefault="004E1E6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support</w:t>
      </w:r>
      <w:r w:rsidR="005F47CA" w:rsidRPr="002449A5">
        <w:rPr>
          <w:rFonts w:asciiTheme="minorHAnsi" w:hAnsiTheme="minorHAnsi" w:cstheme="minorHAnsi"/>
          <w:sz w:val="22"/>
          <w:lang w:eastAsia="en-AU"/>
        </w:rPr>
        <w:t>s</w:t>
      </w:r>
      <w:r w:rsidRPr="002449A5">
        <w:rPr>
          <w:rFonts w:asciiTheme="minorHAnsi" w:hAnsiTheme="minorHAnsi" w:cstheme="minorHAnsi"/>
          <w:sz w:val="22"/>
          <w:lang w:eastAsia="en-AU"/>
        </w:rPr>
        <w:t xml:space="preserve"> Hub 24 </w:t>
      </w:r>
      <w:r w:rsidR="000531C1" w:rsidRPr="002449A5">
        <w:rPr>
          <w:rFonts w:asciiTheme="minorHAnsi" w:hAnsiTheme="minorHAnsi" w:cstheme="minorHAnsi"/>
          <w:sz w:val="22"/>
          <w:lang w:eastAsia="en-AU"/>
        </w:rPr>
        <w:t xml:space="preserve">Wrap and Managed Account platform </w:t>
      </w:r>
      <w:r w:rsidRPr="002449A5">
        <w:rPr>
          <w:rFonts w:asciiTheme="minorHAnsi" w:hAnsiTheme="minorHAnsi" w:cstheme="minorHAnsi"/>
          <w:sz w:val="22"/>
          <w:lang w:eastAsia="en-AU"/>
        </w:rPr>
        <w:t xml:space="preserve">from the perspective of its low underlying costs and </w:t>
      </w:r>
      <w:r w:rsidR="00483D32" w:rsidRPr="002449A5">
        <w:rPr>
          <w:rFonts w:asciiTheme="minorHAnsi" w:hAnsiTheme="minorHAnsi" w:cstheme="minorHAnsi"/>
          <w:sz w:val="22"/>
          <w:lang w:eastAsia="en-AU"/>
        </w:rPr>
        <w:t xml:space="preserve">broad </w:t>
      </w:r>
      <w:r w:rsidRPr="002449A5">
        <w:rPr>
          <w:rFonts w:asciiTheme="minorHAnsi" w:hAnsiTheme="minorHAnsi" w:cstheme="minorHAnsi"/>
          <w:sz w:val="22"/>
          <w:lang w:eastAsia="en-AU"/>
        </w:rPr>
        <w:t>product availability.</w:t>
      </w:r>
      <w:r w:rsidR="00F80A03" w:rsidRPr="002449A5">
        <w:rPr>
          <w:rFonts w:asciiTheme="minorHAnsi" w:hAnsiTheme="minorHAnsi" w:cstheme="minorHAnsi"/>
          <w:sz w:val="22"/>
          <w:lang w:eastAsia="en-AU"/>
        </w:rPr>
        <w:t xml:space="preserve"> </w:t>
      </w:r>
    </w:p>
    <w:p w14:paraId="41A6BD01" w14:textId="3B92FB00" w:rsidR="004E1E68" w:rsidRDefault="00F80A03" w:rsidP="00710A62">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w:t>
      </w:r>
      <w:r w:rsidR="005F47CA" w:rsidRPr="002449A5">
        <w:rPr>
          <w:rFonts w:asciiTheme="minorHAnsi" w:hAnsiTheme="minorHAnsi" w:cstheme="minorHAnsi"/>
          <w:sz w:val="22"/>
          <w:lang w:eastAsia="en-AU"/>
        </w:rPr>
        <w:t xml:space="preserve">’s white-labelled version </w:t>
      </w:r>
      <w:r w:rsidR="00F36602" w:rsidRPr="002449A5">
        <w:rPr>
          <w:rFonts w:asciiTheme="minorHAnsi" w:hAnsiTheme="minorHAnsi" w:cstheme="minorHAnsi"/>
          <w:sz w:val="22"/>
          <w:lang w:eastAsia="en-AU"/>
        </w:rPr>
        <w:t xml:space="preserve">of HUB24 </w:t>
      </w:r>
      <w:r w:rsidR="005F47CA" w:rsidRPr="002449A5">
        <w:rPr>
          <w:rFonts w:asciiTheme="minorHAnsi" w:hAnsiTheme="minorHAnsi" w:cstheme="minorHAnsi"/>
          <w:sz w:val="22"/>
          <w:lang w:eastAsia="en-AU"/>
        </w:rPr>
        <w:t xml:space="preserve">is called </w:t>
      </w:r>
      <w:r w:rsidR="005F47CA" w:rsidRPr="002449A5">
        <w:rPr>
          <w:rFonts w:asciiTheme="minorHAnsi" w:hAnsiTheme="minorHAnsi" w:cstheme="minorHAnsi"/>
          <w:b/>
          <w:sz w:val="22"/>
          <w:lang w:eastAsia="en-AU"/>
        </w:rPr>
        <w:t>Investor1st</w:t>
      </w:r>
      <w:r w:rsidR="005F47CA" w:rsidRPr="002449A5">
        <w:rPr>
          <w:rFonts w:asciiTheme="minorHAnsi" w:hAnsiTheme="minorHAnsi" w:cstheme="minorHAnsi"/>
          <w:sz w:val="22"/>
          <w:lang w:eastAsia="en-AU"/>
        </w:rPr>
        <w:t xml:space="preserve"> (IDPS</w:t>
      </w:r>
      <w:r w:rsidR="006C66B1" w:rsidRPr="002449A5">
        <w:rPr>
          <w:rFonts w:asciiTheme="minorHAnsi" w:hAnsiTheme="minorHAnsi" w:cstheme="minorHAnsi"/>
          <w:sz w:val="22"/>
          <w:lang w:eastAsia="en-AU"/>
        </w:rPr>
        <w:t xml:space="preserve"> and Super/Pension platform</w:t>
      </w:r>
      <w:r w:rsidR="005F47CA" w:rsidRPr="002449A5">
        <w:rPr>
          <w:rFonts w:asciiTheme="minorHAnsi" w:hAnsiTheme="minorHAnsi" w:cstheme="minorHAnsi"/>
          <w:sz w:val="22"/>
          <w:lang w:eastAsia="en-AU"/>
        </w:rPr>
        <w:t>).</w:t>
      </w:r>
    </w:p>
    <w:p w14:paraId="47B7A8CD" w14:textId="77777777" w:rsidR="00D1630B" w:rsidRDefault="00D1630B" w:rsidP="00001E47">
      <w:pPr>
        <w:pStyle w:val="ListParagraph"/>
        <w:spacing w:after="120" w:line="240" w:lineRule="auto"/>
        <w:ind w:left="993"/>
        <w:contextualSpacing w:val="0"/>
        <w:rPr>
          <w:rFonts w:asciiTheme="minorHAnsi" w:eastAsia="Times New Roman" w:hAnsiTheme="minorHAnsi" w:cstheme="minorHAnsi"/>
          <w:b/>
          <w:sz w:val="22"/>
          <w:lang w:eastAsia="en-AU"/>
        </w:rPr>
      </w:pPr>
    </w:p>
    <w:p w14:paraId="10B41475" w14:textId="7DE14F99" w:rsidR="00001E47" w:rsidRPr="00121AD2" w:rsidRDefault="003F24FB" w:rsidP="00001E47">
      <w:pPr>
        <w:pStyle w:val="ListParagraph"/>
        <w:spacing w:after="120" w:line="240" w:lineRule="auto"/>
        <w:ind w:left="993"/>
        <w:contextualSpacing w:val="0"/>
        <w:rPr>
          <w:rFonts w:asciiTheme="minorHAnsi" w:eastAsia="Times New Roman" w:hAnsiTheme="minorHAnsi" w:cstheme="minorHAnsi"/>
          <w:b/>
          <w:sz w:val="22"/>
          <w:lang w:eastAsia="en-AU"/>
        </w:rPr>
      </w:pPr>
      <w:r w:rsidRPr="00121AD2">
        <w:rPr>
          <w:rFonts w:asciiTheme="minorHAnsi" w:eastAsia="Times New Roman" w:hAnsiTheme="minorHAnsi" w:cstheme="minorHAnsi"/>
          <w:b/>
          <w:sz w:val="22"/>
          <w:lang w:eastAsia="en-AU"/>
        </w:rPr>
        <w:t xml:space="preserve">AusPrac </w:t>
      </w:r>
      <w:r w:rsidR="00001E47" w:rsidRPr="00121AD2">
        <w:rPr>
          <w:rFonts w:asciiTheme="minorHAnsi" w:eastAsia="Times New Roman" w:hAnsiTheme="minorHAnsi" w:cstheme="minorHAnsi"/>
          <w:b/>
          <w:sz w:val="22"/>
          <w:lang w:eastAsia="en-AU"/>
        </w:rPr>
        <w:t>Super</w:t>
      </w:r>
    </w:p>
    <w:p w14:paraId="45EB739B" w14:textId="63C45442" w:rsidR="00453D21" w:rsidRPr="002449A5" w:rsidRDefault="00D1630B" w:rsidP="002449A5">
      <w:pPr>
        <w:spacing w:after="120" w:line="240" w:lineRule="auto"/>
        <w:ind w:left="993"/>
        <w:rPr>
          <w:rFonts w:asciiTheme="minorHAnsi" w:hAnsiTheme="minorHAnsi" w:cstheme="minorHAnsi"/>
          <w:sz w:val="22"/>
          <w:lang w:eastAsia="en-AU"/>
        </w:rPr>
      </w:pPr>
      <w:r>
        <w:t>Australian Practical Superannuation is a sub-plan of MAP Superannuation Plan. The Trustee is Diversa Trustees Limited. The Sponsor and Promoter is OneVue Wealth and Sequoia Asset Management Pty Ltd is the appointed sub-Promoter.</w:t>
      </w:r>
    </w:p>
    <w:p w14:paraId="312131BC" w14:textId="77777777" w:rsidR="00D1630B" w:rsidRDefault="00D1630B" w:rsidP="002449A5">
      <w:pPr>
        <w:pStyle w:val="Heading1"/>
        <w:spacing w:before="0" w:after="120" w:line="240" w:lineRule="auto"/>
        <w:ind w:left="993"/>
        <w:rPr>
          <w:rFonts w:asciiTheme="minorHAnsi" w:hAnsiTheme="minorHAnsi" w:cstheme="minorHAnsi"/>
        </w:rPr>
      </w:pPr>
    </w:p>
    <w:p w14:paraId="1E486BA0" w14:textId="617DC127" w:rsidR="004E1E68" w:rsidRPr="002449A5" w:rsidRDefault="004E1E68" w:rsidP="002449A5">
      <w:pPr>
        <w:pStyle w:val="Heading1"/>
        <w:spacing w:before="0" w:after="120" w:line="240" w:lineRule="auto"/>
        <w:ind w:left="993"/>
        <w:rPr>
          <w:rFonts w:asciiTheme="minorHAnsi" w:hAnsiTheme="minorHAnsi" w:cstheme="minorHAnsi"/>
        </w:rPr>
      </w:pPr>
      <w:r w:rsidRPr="002449A5">
        <w:rPr>
          <w:rFonts w:asciiTheme="minorHAnsi" w:hAnsiTheme="minorHAnsi" w:cstheme="minorHAnsi"/>
        </w:rPr>
        <w:t>Share Trading Services</w:t>
      </w:r>
    </w:p>
    <w:p w14:paraId="0B67C80E" w14:textId="2D28BD25" w:rsidR="004E1E68" w:rsidRPr="002449A5" w:rsidRDefault="004E1E6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does not mandate the use of any particular broking platform.</w:t>
      </w:r>
      <w:r w:rsidR="0056278B" w:rsidRPr="002449A5">
        <w:rPr>
          <w:rFonts w:asciiTheme="minorHAnsi" w:hAnsiTheme="minorHAnsi" w:cstheme="minorHAnsi"/>
          <w:sz w:val="22"/>
          <w:lang w:eastAsia="en-AU"/>
        </w:rPr>
        <w:t xml:space="preserve"> Please note - any referral arrangements with stock brokers or trading platforms must have an agreement in place between the broker (and their respective company) and InterPrac Financial Planning.  You must refer them to speak with us before engaging their services.</w:t>
      </w:r>
    </w:p>
    <w:p w14:paraId="303FEFF0" w14:textId="460440F1" w:rsidR="004E1E68" w:rsidRPr="002449A5" w:rsidRDefault="004E1E68"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Morrisons</w:t>
      </w:r>
    </w:p>
    <w:p w14:paraId="014EDB32" w14:textId="70A03D3F" w:rsidR="003400E2" w:rsidRDefault="00ED4D44" w:rsidP="00710A62">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supports Morrisons from the perspective of its low underlying costs</w:t>
      </w:r>
      <w:r w:rsidR="006C06A8" w:rsidRPr="002449A5">
        <w:rPr>
          <w:rFonts w:asciiTheme="minorHAnsi" w:hAnsiTheme="minorHAnsi" w:cstheme="minorHAnsi"/>
          <w:sz w:val="22"/>
          <w:lang w:eastAsia="en-AU"/>
        </w:rPr>
        <w:t xml:space="preserve"> and </w:t>
      </w:r>
      <w:r w:rsidR="007A1910" w:rsidRPr="002449A5">
        <w:rPr>
          <w:rFonts w:asciiTheme="minorHAnsi" w:hAnsiTheme="minorHAnsi" w:cstheme="minorHAnsi"/>
          <w:sz w:val="22"/>
          <w:lang w:eastAsia="en-AU"/>
        </w:rPr>
        <w:t>full-service</w:t>
      </w:r>
      <w:r w:rsidR="006C06A8" w:rsidRPr="002449A5">
        <w:rPr>
          <w:rFonts w:asciiTheme="minorHAnsi" w:hAnsiTheme="minorHAnsi" w:cstheme="minorHAnsi"/>
          <w:sz w:val="22"/>
          <w:lang w:eastAsia="en-AU"/>
        </w:rPr>
        <w:t xml:space="preserve"> capabilities</w:t>
      </w:r>
      <w:r w:rsidRPr="002449A5">
        <w:rPr>
          <w:rFonts w:asciiTheme="minorHAnsi" w:hAnsiTheme="minorHAnsi" w:cstheme="minorHAnsi"/>
          <w:sz w:val="22"/>
          <w:lang w:eastAsia="en-AU"/>
        </w:rPr>
        <w:t>.</w:t>
      </w:r>
      <w:r w:rsidR="006C06A8" w:rsidRPr="002449A5">
        <w:rPr>
          <w:rFonts w:asciiTheme="minorHAnsi" w:hAnsiTheme="minorHAnsi" w:cstheme="minorHAnsi"/>
          <w:sz w:val="22"/>
          <w:lang w:eastAsia="en-AU"/>
        </w:rPr>
        <w:t xml:space="preserve"> </w:t>
      </w:r>
      <w:r w:rsidR="003400E2" w:rsidRPr="002449A5">
        <w:rPr>
          <w:rFonts w:asciiTheme="minorHAnsi" w:hAnsiTheme="minorHAnsi" w:cstheme="minorHAnsi"/>
          <w:sz w:val="22"/>
          <w:lang w:eastAsia="en-AU"/>
        </w:rPr>
        <w:t>Morrisons is a subsidiary of the Sequoia Financial Group.</w:t>
      </w:r>
    </w:p>
    <w:p w14:paraId="6E8450A5" w14:textId="77777777" w:rsidR="00470759" w:rsidRPr="002449A5" w:rsidRDefault="00470759" w:rsidP="00470759">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Morrisons Securities trading platform provides access to Morningstar research for direct equities. </w:t>
      </w:r>
    </w:p>
    <w:p w14:paraId="795AB427" w14:textId="77777777" w:rsidR="00453D21" w:rsidRPr="002449A5" w:rsidRDefault="00453D21" w:rsidP="002449A5">
      <w:pPr>
        <w:spacing w:after="120" w:line="240" w:lineRule="auto"/>
        <w:ind w:left="993"/>
        <w:rPr>
          <w:rFonts w:asciiTheme="minorHAnsi" w:hAnsiTheme="minorHAnsi" w:cstheme="minorHAnsi"/>
          <w:sz w:val="22"/>
          <w:lang w:eastAsia="en-AU"/>
        </w:rPr>
      </w:pPr>
    </w:p>
    <w:p w14:paraId="1C0A062F" w14:textId="119F10B5" w:rsidR="00A56A98" w:rsidRPr="002449A5" w:rsidRDefault="00710A62" w:rsidP="002449A5">
      <w:pPr>
        <w:pStyle w:val="Heading1"/>
        <w:spacing w:before="0" w:after="120" w:line="240" w:lineRule="auto"/>
        <w:ind w:left="993"/>
        <w:rPr>
          <w:rFonts w:asciiTheme="minorHAnsi" w:hAnsiTheme="minorHAnsi" w:cstheme="minorHAnsi"/>
        </w:rPr>
      </w:pPr>
      <w:r w:rsidRPr="002449A5">
        <w:rPr>
          <w:rFonts w:asciiTheme="minorHAnsi" w:hAnsiTheme="minorHAnsi" w:cstheme="minorHAnsi"/>
        </w:rPr>
        <w:t>S</w:t>
      </w:r>
      <w:r w:rsidR="007946C6" w:rsidRPr="002449A5">
        <w:rPr>
          <w:rFonts w:asciiTheme="minorHAnsi" w:hAnsiTheme="minorHAnsi" w:cstheme="minorHAnsi"/>
        </w:rPr>
        <w:t xml:space="preserve">pecific </w:t>
      </w:r>
      <w:r w:rsidR="00DC44AB" w:rsidRPr="002449A5">
        <w:rPr>
          <w:rFonts w:asciiTheme="minorHAnsi" w:hAnsiTheme="minorHAnsi" w:cstheme="minorHAnsi"/>
        </w:rPr>
        <w:t>Investment P</w:t>
      </w:r>
      <w:r w:rsidR="007946C6" w:rsidRPr="002449A5">
        <w:rPr>
          <w:rFonts w:asciiTheme="minorHAnsi" w:hAnsiTheme="minorHAnsi" w:cstheme="minorHAnsi"/>
        </w:rPr>
        <w:t>roduct</w:t>
      </w:r>
      <w:r w:rsidRPr="002449A5">
        <w:rPr>
          <w:rFonts w:asciiTheme="minorHAnsi" w:hAnsiTheme="minorHAnsi" w:cstheme="minorHAnsi"/>
        </w:rPr>
        <w:t xml:space="preserve"> T</w:t>
      </w:r>
      <w:r w:rsidR="007946C6" w:rsidRPr="002449A5">
        <w:rPr>
          <w:rFonts w:asciiTheme="minorHAnsi" w:hAnsiTheme="minorHAnsi" w:cstheme="minorHAnsi"/>
        </w:rPr>
        <w:t>ypes</w:t>
      </w:r>
    </w:p>
    <w:p w14:paraId="15F4C564" w14:textId="408D63FF" w:rsidR="004E1E68" w:rsidRPr="002449A5" w:rsidRDefault="004E1E6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InterPrac supports and respects that Advisers will have favoured products that, in their opinion, will most effectively serve the Best Interest of their clients.</w:t>
      </w:r>
    </w:p>
    <w:p w14:paraId="6A454C31" w14:textId="715E91A2" w:rsidR="004E1E68" w:rsidRPr="002449A5" w:rsidRDefault="004E1E6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Nevertheless, even if an AR holds strong personal views on the value</w:t>
      </w:r>
      <w:r w:rsidRPr="00160AD1">
        <w:rPr>
          <w:rFonts w:asciiTheme="minorHAnsi" w:hAnsiTheme="minorHAnsi" w:cstheme="minorHAnsi"/>
          <w:sz w:val="22"/>
          <w:lang w:eastAsia="en-AU"/>
        </w:rPr>
        <w:t xml:space="preserve">, or risk, inherent to a type of investment product, InterPrac requires that the fundamental principles </w:t>
      </w:r>
      <w:r w:rsidR="0011632F" w:rsidRPr="00160AD1">
        <w:rPr>
          <w:rFonts w:asciiTheme="minorHAnsi" w:hAnsiTheme="minorHAnsi" w:cstheme="minorHAnsi"/>
          <w:sz w:val="22"/>
          <w:lang w:eastAsia="en-AU"/>
        </w:rPr>
        <w:t>&lt;</w:t>
      </w:r>
      <w:r w:rsidRPr="00160AD1">
        <w:rPr>
          <w:rFonts w:asciiTheme="minorHAnsi" w:hAnsiTheme="minorHAnsi" w:cstheme="minorHAnsi"/>
          <w:sz w:val="22"/>
          <w:lang w:eastAsia="en-AU"/>
        </w:rPr>
        <w:t>outlined below</w:t>
      </w:r>
      <w:r w:rsidR="0011632F" w:rsidRPr="00160AD1">
        <w:rPr>
          <w:rFonts w:asciiTheme="minorHAnsi" w:hAnsiTheme="minorHAnsi" w:cstheme="minorHAnsi"/>
          <w:sz w:val="22"/>
          <w:lang w:eastAsia="en-AU"/>
        </w:rPr>
        <w:t>&gt;</w:t>
      </w:r>
      <w:r w:rsidRPr="00160AD1">
        <w:rPr>
          <w:rFonts w:asciiTheme="minorHAnsi" w:hAnsiTheme="minorHAnsi" w:cstheme="minorHAnsi"/>
          <w:sz w:val="22"/>
          <w:lang w:eastAsia="en-AU"/>
        </w:rPr>
        <w:t xml:space="preserve"> must be part of any initial client disclosure.</w:t>
      </w:r>
    </w:p>
    <w:p w14:paraId="7F88DCD9" w14:textId="16165EA1" w:rsidR="004E1E68" w:rsidRPr="002449A5" w:rsidRDefault="004E1E68"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Moreover, in the monitoring of portfolio advice, the Licensee will assume the following principles to determine advice suitability. </w:t>
      </w:r>
    </w:p>
    <w:p w14:paraId="5B8276EE" w14:textId="4080ACD5" w:rsidR="007946C6" w:rsidRPr="002449A5" w:rsidRDefault="00DC44AB"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 xml:space="preserve">Direct </w:t>
      </w:r>
      <w:r w:rsidR="007946C6" w:rsidRPr="002449A5">
        <w:rPr>
          <w:rFonts w:asciiTheme="minorHAnsi" w:eastAsia="Times New Roman" w:hAnsiTheme="minorHAnsi" w:cstheme="minorHAnsi"/>
          <w:b/>
          <w:sz w:val="22"/>
          <w:lang w:eastAsia="en-AU"/>
        </w:rPr>
        <w:t>Property</w:t>
      </w:r>
    </w:p>
    <w:p w14:paraId="1B93374F" w14:textId="586E821A" w:rsidR="00630974" w:rsidRPr="00160AD1" w:rsidRDefault="00630974"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An adviser may not </w:t>
      </w:r>
      <w:r w:rsidR="00F36602" w:rsidRPr="002449A5">
        <w:rPr>
          <w:rFonts w:asciiTheme="minorHAnsi" w:hAnsiTheme="minorHAnsi" w:cstheme="minorHAnsi"/>
          <w:sz w:val="22"/>
          <w:lang w:eastAsia="en-AU"/>
        </w:rPr>
        <w:t>provide</w:t>
      </w:r>
      <w:r w:rsidRPr="002449A5">
        <w:rPr>
          <w:rFonts w:asciiTheme="minorHAnsi" w:hAnsiTheme="minorHAnsi" w:cstheme="minorHAnsi"/>
          <w:sz w:val="22"/>
          <w:lang w:eastAsia="en-AU"/>
        </w:rPr>
        <w:t xml:space="preserve"> personal advice </w:t>
      </w:r>
      <w:r w:rsidR="00F36602" w:rsidRPr="002449A5">
        <w:rPr>
          <w:rFonts w:asciiTheme="minorHAnsi" w:hAnsiTheme="minorHAnsi" w:cstheme="minorHAnsi"/>
          <w:sz w:val="22"/>
          <w:lang w:eastAsia="en-AU"/>
        </w:rPr>
        <w:t xml:space="preserve">regarding </w:t>
      </w:r>
      <w:r w:rsidRPr="002449A5">
        <w:rPr>
          <w:rFonts w:asciiTheme="minorHAnsi" w:hAnsiTheme="minorHAnsi" w:cstheme="minorHAnsi"/>
          <w:sz w:val="22"/>
          <w:lang w:eastAsia="en-AU"/>
        </w:rPr>
        <w:t xml:space="preserve">the </w:t>
      </w:r>
      <w:r w:rsidR="00140A71" w:rsidRPr="00160AD1">
        <w:rPr>
          <w:rFonts w:asciiTheme="minorHAnsi" w:hAnsiTheme="minorHAnsi" w:cstheme="minorHAnsi"/>
          <w:sz w:val="22"/>
          <w:lang w:eastAsia="en-AU"/>
        </w:rPr>
        <w:t>purchase or sale</w:t>
      </w:r>
      <w:r w:rsidRPr="00160AD1">
        <w:rPr>
          <w:rFonts w:asciiTheme="minorHAnsi" w:hAnsiTheme="minorHAnsi" w:cstheme="minorHAnsi"/>
          <w:sz w:val="22"/>
          <w:lang w:eastAsia="en-AU"/>
        </w:rPr>
        <w:t xml:space="preserve"> of a particular property.</w:t>
      </w:r>
    </w:p>
    <w:p w14:paraId="2282075F" w14:textId="4DB8A8CD" w:rsidR="00140A71" w:rsidRPr="002449A5" w:rsidRDefault="00140A71" w:rsidP="002449A5">
      <w:pPr>
        <w:spacing w:after="120" w:line="240" w:lineRule="auto"/>
        <w:ind w:left="993"/>
        <w:rPr>
          <w:rFonts w:asciiTheme="minorHAnsi" w:eastAsia="Times New Roman" w:hAnsiTheme="minorHAnsi" w:cstheme="minorHAnsi"/>
          <w:b/>
          <w:sz w:val="22"/>
          <w:lang w:eastAsia="en-AU"/>
        </w:rPr>
      </w:pPr>
      <w:r w:rsidRPr="00160AD1">
        <w:rPr>
          <w:rFonts w:asciiTheme="minorHAnsi" w:hAnsiTheme="minorHAnsi" w:cstheme="minorHAnsi"/>
          <w:sz w:val="22"/>
          <w:lang w:eastAsia="en-AU"/>
        </w:rPr>
        <w:t>However, an adviser can advise upon the implications of a sale or purchase.</w:t>
      </w:r>
    </w:p>
    <w:p w14:paraId="3BA25D67" w14:textId="36491112" w:rsidR="00630974" w:rsidRPr="002449A5" w:rsidRDefault="00630974"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Property has been traditionally classed as a growth asset</w:t>
      </w:r>
      <w:r w:rsidR="00E41393">
        <w:rPr>
          <w:rFonts w:asciiTheme="minorHAnsi" w:hAnsiTheme="minorHAnsi" w:cstheme="minorHAnsi"/>
          <w:sz w:val="22"/>
          <w:lang w:eastAsia="en-AU"/>
        </w:rPr>
        <w:t>.</w:t>
      </w:r>
    </w:p>
    <w:p w14:paraId="116FBE63" w14:textId="557CA7CE" w:rsidR="00DC44AB" w:rsidRPr="002449A5" w:rsidRDefault="00DC44AB"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Listed and Unlisted Property</w:t>
      </w:r>
    </w:p>
    <w:p w14:paraId="124D1493" w14:textId="6486D187" w:rsidR="00630974" w:rsidRPr="002449A5" w:rsidRDefault="00630974" w:rsidP="002449A5">
      <w:pPr>
        <w:spacing w:after="120" w:line="240" w:lineRule="auto"/>
        <w:ind w:left="993"/>
        <w:rPr>
          <w:rFonts w:asciiTheme="minorHAnsi" w:eastAsia="Times New Roman" w:hAnsiTheme="minorHAnsi" w:cstheme="minorHAnsi"/>
          <w:b/>
          <w:sz w:val="22"/>
          <w:lang w:eastAsia="en-AU"/>
        </w:rPr>
      </w:pPr>
      <w:r w:rsidRPr="002449A5">
        <w:rPr>
          <w:rFonts w:asciiTheme="minorHAnsi" w:hAnsiTheme="minorHAnsi" w:cstheme="minorHAnsi"/>
          <w:sz w:val="22"/>
          <w:lang w:eastAsia="en-AU"/>
        </w:rPr>
        <w:t xml:space="preserve">An adviser may </w:t>
      </w:r>
      <w:r w:rsidR="00F36602" w:rsidRPr="002449A5">
        <w:rPr>
          <w:rFonts w:asciiTheme="minorHAnsi" w:hAnsiTheme="minorHAnsi" w:cstheme="minorHAnsi"/>
          <w:sz w:val="22"/>
          <w:lang w:eastAsia="en-AU"/>
        </w:rPr>
        <w:t>provide</w:t>
      </w:r>
      <w:r w:rsidRPr="002449A5">
        <w:rPr>
          <w:rFonts w:asciiTheme="minorHAnsi" w:hAnsiTheme="minorHAnsi" w:cstheme="minorHAnsi"/>
          <w:sz w:val="22"/>
          <w:lang w:eastAsia="en-AU"/>
        </w:rPr>
        <w:t xml:space="preserve"> personal advice </w:t>
      </w:r>
      <w:r w:rsidR="00F36602" w:rsidRPr="002449A5">
        <w:rPr>
          <w:rFonts w:asciiTheme="minorHAnsi" w:hAnsiTheme="minorHAnsi" w:cstheme="minorHAnsi"/>
          <w:sz w:val="22"/>
          <w:lang w:eastAsia="en-AU"/>
        </w:rPr>
        <w:t xml:space="preserve">regarding </w:t>
      </w:r>
      <w:r w:rsidRPr="002449A5">
        <w:rPr>
          <w:rFonts w:asciiTheme="minorHAnsi" w:hAnsiTheme="minorHAnsi" w:cstheme="minorHAnsi"/>
          <w:sz w:val="22"/>
          <w:lang w:eastAsia="en-AU"/>
        </w:rPr>
        <w:t xml:space="preserve">the suitability of </w:t>
      </w:r>
      <w:r w:rsidR="00157490" w:rsidRPr="002449A5">
        <w:rPr>
          <w:rFonts w:asciiTheme="minorHAnsi" w:hAnsiTheme="minorHAnsi" w:cstheme="minorHAnsi"/>
          <w:sz w:val="22"/>
          <w:lang w:eastAsia="en-AU"/>
        </w:rPr>
        <w:t xml:space="preserve">such investments to the extent that they </w:t>
      </w:r>
      <w:r w:rsidR="0026534E" w:rsidRPr="002449A5">
        <w:rPr>
          <w:rFonts w:asciiTheme="minorHAnsi" w:hAnsiTheme="minorHAnsi" w:cstheme="minorHAnsi"/>
          <w:sz w:val="22"/>
          <w:lang w:eastAsia="en-AU"/>
        </w:rPr>
        <w:t xml:space="preserve">are </w:t>
      </w:r>
      <w:r w:rsidR="00157490" w:rsidRPr="002449A5">
        <w:rPr>
          <w:rFonts w:asciiTheme="minorHAnsi" w:hAnsiTheme="minorHAnsi" w:cstheme="minorHAnsi"/>
          <w:sz w:val="22"/>
          <w:lang w:eastAsia="en-AU"/>
        </w:rPr>
        <w:t>approved by the Licensee.</w:t>
      </w:r>
    </w:p>
    <w:p w14:paraId="3B610A0C" w14:textId="3B90E917" w:rsidR="00630974" w:rsidRPr="002449A5" w:rsidRDefault="00157490"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Commercial properties, based upon stable leasing arrangements, are best classed as income producing assets.</w:t>
      </w:r>
    </w:p>
    <w:p w14:paraId="414AF4A4" w14:textId="449CC969" w:rsidR="00157490" w:rsidRPr="002449A5" w:rsidRDefault="00157490" w:rsidP="002449A5">
      <w:pPr>
        <w:spacing w:after="120" w:line="240" w:lineRule="auto"/>
        <w:ind w:left="993"/>
        <w:rPr>
          <w:rFonts w:asciiTheme="minorHAnsi" w:hAnsiTheme="minorHAnsi" w:cstheme="minorHAnsi"/>
          <w:sz w:val="22"/>
          <w:lang w:eastAsia="en-AU"/>
        </w:rPr>
      </w:pPr>
      <w:r w:rsidRPr="002449A5">
        <w:rPr>
          <w:rFonts w:asciiTheme="minorHAnsi" w:hAnsiTheme="minorHAnsi" w:cstheme="minorHAnsi"/>
          <w:sz w:val="22"/>
          <w:lang w:eastAsia="en-AU"/>
        </w:rPr>
        <w:t xml:space="preserve">However, given the complexities around </w:t>
      </w:r>
      <w:r w:rsidR="0026534E" w:rsidRPr="002449A5">
        <w:rPr>
          <w:rFonts w:asciiTheme="minorHAnsi" w:hAnsiTheme="minorHAnsi" w:cstheme="minorHAnsi"/>
          <w:sz w:val="22"/>
          <w:lang w:eastAsia="en-AU"/>
        </w:rPr>
        <w:t>commercial</w:t>
      </w:r>
      <w:r w:rsidRPr="002449A5">
        <w:rPr>
          <w:rFonts w:asciiTheme="minorHAnsi" w:hAnsiTheme="minorHAnsi" w:cstheme="minorHAnsi"/>
          <w:sz w:val="22"/>
          <w:lang w:eastAsia="en-AU"/>
        </w:rPr>
        <w:t xml:space="preserve"> property investments (eg. stapl</w:t>
      </w:r>
      <w:r w:rsidR="00C1520C" w:rsidRPr="002449A5">
        <w:rPr>
          <w:rFonts w:asciiTheme="minorHAnsi" w:hAnsiTheme="minorHAnsi" w:cstheme="minorHAnsi"/>
          <w:sz w:val="22"/>
          <w:lang w:eastAsia="en-AU"/>
        </w:rPr>
        <w:t>ed structures</w:t>
      </w:r>
      <w:r w:rsidRPr="002449A5">
        <w:rPr>
          <w:rFonts w:asciiTheme="minorHAnsi" w:hAnsiTheme="minorHAnsi" w:cstheme="minorHAnsi"/>
          <w:sz w:val="22"/>
          <w:lang w:eastAsia="en-AU"/>
        </w:rPr>
        <w:t>), the</w:t>
      </w:r>
      <w:r w:rsidR="006549F0" w:rsidRPr="002449A5">
        <w:rPr>
          <w:rFonts w:asciiTheme="minorHAnsi" w:hAnsiTheme="minorHAnsi" w:cstheme="minorHAnsi"/>
          <w:sz w:val="22"/>
          <w:lang w:eastAsia="en-AU"/>
        </w:rPr>
        <w:t>y can be</w:t>
      </w:r>
      <w:r w:rsidRPr="002449A5">
        <w:rPr>
          <w:rFonts w:asciiTheme="minorHAnsi" w:hAnsiTheme="minorHAnsi" w:cstheme="minorHAnsi"/>
          <w:sz w:val="22"/>
          <w:lang w:eastAsia="en-AU"/>
        </w:rPr>
        <w:t xml:space="preserve"> treated as growth assets.</w:t>
      </w:r>
    </w:p>
    <w:p w14:paraId="18705774" w14:textId="01AAD29C" w:rsidR="001410A2" w:rsidRPr="002449A5" w:rsidRDefault="001410A2"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 xml:space="preserve">Listed </w:t>
      </w:r>
      <w:r w:rsidR="00DC44AB" w:rsidRPr="002449A5">
        <w:rPr>
          <w:rFonts w:asciiTheme="minorHAnsi" w:eastAsia="Times New Roman" w:hAnsiTheme="minorHAnsi" w:cstheme="minorHAnsi"/>
          <w:b/>
          <w:sz w:val="22"/>
          <w:lang w:eastAsia="en-AU"/>
        </w:rPr>
        <w:t xml:space="preserve">&amp; Unlisted </w:t>
      </w:r>
      <w:r w:rsidRPr="002449A5">
        <w:rPr>
          <w:rFonts w:asciiTheme="minorHAnsi" w:eastAsia="Times New Roman" w:hAnsiTheme="minorHAnsi" w:cstheme="minorHAnsi"/>
          <w:b/>
          <w:sz w:val="22"/>
          <w:lang w:eastAsia="en-AU"/>
        </w:rPr>
        <w:t>Shares</w:t>
      </w:r>
    </w:p>
    <w:p w14:paraId="1DCE3151" w14:textId="3B2FDBC8" w:rsidR="00213B76" w:rsidRPr="002449A5" w:rsidRDefault="00213B76"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Listed Shares</w:t>
      </w:r>
      <w:r w:rsidR="00F80A03" w:rsidRPr="002449A5">
        <w:rPr>
          <w:rFonts w:asciiTheme="minorHAnsi" w:hAnsiTheme="minorHAnsi" w:cstheme="minorHAnsi"/>
          <w:sz w:val="22"/>
        </w:rPr>
        <w:t xml:space="preserve"> are growth assets and not to be classed as low risk even if the shares are blue chip; producing long term stable dividends.</w:t>
      </w:r>
    </w:p>
    <w:p w14:paraId="360F6099" w14:textId="244B76CD" w:rsidR="00F80A03" w:rsidRPr="002449A5" w:rsidRDefault="00F80A03"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InterPrac supports model share portfolios (income, growth) </w:t>
      </w:r>
      <w:r w:rsidR="007C7169" w:rsidRPr="002449A5">
        <w:rPr>
          <w:rFonts w:asciiTheme="minorHAnsi" w:hAnsiTheme="minorHAnsi" w:cstheme="minorHAnsi"/>
          <w:sz w:val="22"/>
        </w:rPr>
        <w:t>that can be acquired through the</w:t>
      </w:r>
      <w:r w:rsidRPr="002449A5">
        <w:rPr>
          <w:rFonts w:asciiTheme="minorHAnsi" w:hAnsiTheme="minorHAnsi" w:cstheme="minorHAnsi"/>
          <w:sz w:val="22"/>
        </w:rPr>
        <w:t xml:space="preserve"> Investor1st</w:t>
      </w:r>
      <w:r w:rsidR="007C7169" w:rsidRPr="002449A5">
        <w:rPr>
          <w:rFonts w:asciiTheme="minorHAnsi" w:hAnsiTheme="minorHAnsi" w:cstheme="minorHAnsi"/>
          <w:sz w:val="22"/>
        </w:rPr>
        <w:t xml:space="preserve"> platform</w:t>
      </w:r>
      <w:r w:rsidRPr="002449A5">
        <w:rPr>
          <w:rFonts w:asciiTheme="minorHAnsi" w:hAnsiTheme="minorHAnsi" w:cstheme="minorHAnsi"/>
          <w:sz w:val="22"/>
        </w:rPr>
        <w:t xml:space="preserve">. </w:t>
      </w:r>
    </w:p>
    <w:p w14:paraId="69080F52" w14:textId="2635ECDA" w:rsidR="00A5405D" w:rsidRPr="002449A5" w:rsidRDefault="00A5405D" w:rsidP="002449A5">
      <w:pPr>
        <w:spacing w:after="120" w:line="240" w:lineRule="auto"/>
        <w:ind w:left="993"/>
        <w:rPr>
          <w:rFonts w:asciiTheme="minorHAnsi" w:hAnsiTheme="minorHAnsi" w:cstheme="minorHAnsi"/>
          <w:sz w:val="22"/>
        </w:rPr>
      </w:pPr>
      <w:r w:rsidRPr="00160AD1">
        <w:rPr>
          <w:rFonts w:asciiTheme="minorHAnsi" w:hAnsiTheme="minorHAnsi" w:cstheme="minorHAnsi"/>
          <w:sz w:val="22"/>
        </w:rPr>
        <w:lastRenderedPageBreak/>
        <w:t xml:space="preserve">All ASX </w:t>
      </w:r>
      <w:r w:rsidR="00C946B7" w:rsidRPr="00160AD1">
        <w:rPr>
          <w:rFonts w:asciiTheme="minorHAnsi" w:hAnsiTheme="minorHAnsi" w:cstheme="minorHAnsi"/>
          <w:sz w:val="22"/>
        </w:rPr>
        <w:t>3</w:t>
      </w:r>
      <w:r w:rsidRPr="00160AD1">
        <w:rPr>
          <w:rFonts w:asciiTheme="minorHAnsi" w:hAnsiTheme="minorHAnsi" w:cstheme="minorHAnsi"/>
          <w:sz w:val="22"/>
        </w:rPr>
        <w:t xml:space="preserve">00 shares can be used for client portfolios where that advice is supported by credible research obtained from a qualified source, such as a stock broker or analyst.  </w:t>
      </w:r>
      <w:r w:rsidR="00C946B7" w:rsidRPr="00160AD1">
        <w:rPr>
          <w:rFonts w:asciiTheme="minorHAnsi" w:hAnsiTheme="minorHAnsi" w:cstheme="minorHAnsi"/>
          <w:sz w:val="22"/>
        </w:rPr>
        <w:t>Otherwise, approval must be sought from the investment committee.</w:t>
      </w:r>
    </w:p>
    <w:p w14:paraId="06CADE66" w14:textId="21FCE9EB"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Direct share research on most stocks within the ASX Top 300 can </w:t>
      </w:r>
      <w:r w:rsidR="0056278B" w:rsidRPr="002449A5">
        <w:rPr>
          <w:rFonts w:asciiTheme="minorHAnsi" w:hAnsiTheme="minorHAnsi" w:cstheme="minorHAnsi"/>
          <w:sz w:val="22"/>
        </w:rPr>
        <w:t xml:space="preserve">also </w:t>
      </w:r>
      <w:r w:rsidRPr="002449A5">
        <w:rPr>
          <w:rFonts w:asciiTheme="minorHAnsi" w:hAnsiTheme="minorHAnsi" w:cstheme="minorHAnsi"/>
          <w:sz w:val="22"/>
        </w:rPr>
        <w:t>be obtained through the Inter</w:t>
      </w:r>
      <w:r w:rsidR="00453D21">
        <w:rPr>
          <w:rFonts w:asciiTheme="minorHAnsi" w:hAnsiTheme="minorHAnsi" w:cstheme="minorHAnsi"/>
          <w:sz w:val="22"/>
        </w:rPr>
        <w:t>P</w:t>
      </w:r>
      <w:r w:rsidRPr="002449A5">
        <w:rPr>
          <w:rFonts w:asciiTheme="minorHAnsi" w:hAnsiTheme="minorHAnsi" w:cstheme="minorHAnsi"/>
          <w:sz w:val="22"/>
        </w:rPr>
        <w:t>rac</w:t>
      </w:r>
      <w:r w:rsidR="00DE6DC2">
        <w:rPr>
          <w:rFonts w:asciiTheme="minorHAnsi" w:hAnsiTheme="minorHAnsi" w:cstheme="minorHAnsi"/>
          <w:sz w:val="22"/>
        </w:rPr>
        <w:t>’s</w:t>
      </w:r>
      <w:r w:rsidRPr="002449A5">
        <w:rPr>
          <w:rFonts w:asciiTheme="minorHAnsi" w:hAnsiTheme="minorHAnsi" w:cstheme="minorHAnsi"/>
          <w:sz w:val="22"/>
        </w:rPr>
        <w:t xml:space="preserve"> Morningstar Research </w:t>
      </w:r>
      <w:r w:rsidRPr="00785F36">
        <w:rPr>
          <w:rFonts w:asciiTheme="minorHAnsi" w:hAnsiTheme="minorHAnsi" w:cstheme="minorHAnsi"/>
          <w:sz w:val="22"/>
        </w:rPr>
        <w:t xml:space="preserve">portal </w:t>
      </w:r>
      <w:r w:rsidR="00DE6DC2">
        <w:rPr>
          <w:rFonts w:asciiTheme="minorHAnsi" w:hAnsiTheme="minorHAnsi" w:cstheme="minorHAnsi"/>
          <w:sz w:val="22"/>
        </w:rPr>
        <w:t xml:space="preserve">or </w:t>
      </w:r>
      <w:r w:rsidR="00FD5446" w:rsidRPr="00785F36">
        <w:rPr>
          <w:rFonts w:asciiTheme="minorHAnsi" w:hAnsiTheme="minorHAnsi" w:cstheme="minorHAnsi"/>
          <w:sz w:val="22"/>
        </w:rPr>
        <w:t>M</w:t>
      </w:r>
      <w:r w:rsidR="003115F0" w:rsidRPr="00785F36">
        <w:rPr>
          <w:rFonts w:asciiTheme="minorHAnsi" w:hAnsiTheme="minorHAnsi" w:cstheme="minorHAnsi"/>
          <w:sz w:val="22"/>
        </w:rPr>
        <w:t>orrisons</w:t>
      </w:r>
      <w:r w:rsidRPr="00785F36">
        <w:rPr>
          <w:rFonts w:asciiTheme="minorHAnsi" w:hAnsiTheme="minorHAnsi" w:cstheme="minorHAnsi"/>
          <w:sz w:val="22"/>
        </w:rPr>
        <w:t>.</w:t>
      </w:r>
      <w:r w:rsidRPr="002449A5">
        <w:rPr>
          <w:rFonts w:asciiTheme="minorHAnsi" w:hAnsiTheme="minorHAnsi" w:cstheme="minorHAnsi"/>
          <w:sz w:val="22"/>
        </w:rPr>
        <w:t xml:space="preserve">  </w:t>
      </w:r>
    </w:p>
    <w:p w14:paraId="2FC291F9" w14:textId="04DB36D3"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You </w:t>
      </w:r>
      <w:r w:rsidR="0056278B" w:rsidRPr="002449A5">
        <w:rPr>
          <w:rFonts w:asciiTheme="minorHAnsi" w:hAnsiTheme="minorHAnsi" w:cstheme="minorHAnsi"/>
          <w:sz w:val="22"/>
        </w:rPr>
        <w:t>must</w:t>
      </w:r>
      <w:r w:rsidRPr="002449A5">
        <w:rPr>
          <w:rFonts w:asciiTheme="minorHAnsi" w:hAnsiTheme="minorHAnsi" w:cstheme="minorHAnsi"/>
          <w:sz w:val="22"/>
        </w:rPr>
        <w:t xml:space="preserve"> obtain the research report from the respective research or stock broking provider before recommending </w:t>
      </w:r>
      <w:r w:rsidR="0056278B" w:rsidRPr="002449A5">
        <w:rPr>
          <w:rFonts w:asciiTheme="minorHAnsi" w:hAnsiTheme="minorHAnsi" w:cstheme="minorHAnsi"/>
          <w:sz w:val="22"/>
        </w:rPr>
        <w:t>the investment to a client</w:t>
      </w:r>
      <w:r w:rsidR="00354E87">
        <w:rPr>
          <w:rFonts w:asciiTheme="minorHAnsi" w:hAnsiTheme="minorHAnsi" w:cstheme="minorHAnsi"/>
          <w:sz w:val="22"/>
        </w:rPr>
        <w:t>.</w:t>
      </w:r>
      <w:r w:rsidR="0056278B" w:rsidRPr="002449A5">
        <w:rPr>
          <w:rFonts w:asciiTheme="minorHAnsi" w:hAnsiTheme="minorHAnsi" w:cstheme="minorHAnsi"/>
          <w:sz w:val="22"/>
        </w:rPr>
        <w:t xml:space="preserve"> </w:t>
      </w:r>
      <w:r w:rsidR="00354E87">
        <w:rPr>
          <w:rFonts w:asciiTheme="minorHAnsi" w:hAnsiTheme="minorHAnsi" w:cstheme="minorHAnsi"/>
          <w:sz w:val="22"/>
        </w:rPr>
        <w:t>I</w:t>
      </w:r>
      <w:r w:rsidR="0056278B" w:rsidRPr="002449A5">
        <w:rPr>
          <w:rFonts w:asciiTheme="minorHAnsi" w:hAnsiTheme="minorHAnsi" w:cstheme="minorHAnsi"/>
          <w:sz w:val="22"/>
        </w:rPr>
        <w:t>nclude the research report in the client file and provide it with the Statement of Advice.</w:t>
      </w:r>
      <w:r w:rsidRPr="002449A5">
        <w:rPr>
          <w:rFonts w:asciiTheme="minorHAnsi" w:hAnsiTheme="minorHAnsi" w:cstheme="minorHAnsi"/>
          <w:sz w:val="22"/>
        </w:rPr>
        <w:t xml:space="preserve">  </w:t>
      </w:r>
    </w:p>
    <w:p w14:paraId="405327D2" w14:textId="1F64EA43"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If you are using an approved Model Portfolio such as the InterPrac </w:t>
      </w:r>
      <w:r w:rsidR="0056278B" w:rsidRPr="002449A5">
        <w:rPr>
          <w:rFonts w:asciiTheme="minorHAnsi" w:hAnsiTheme="minorHAnsi" w:cstheme="minorHAnsi"/>
          <w:sz w:val="22"/>
        </w:rPr>
        <w:t xml:space="preserve">Income or Growth </w:t>
      </w:r>
      <w:r w:rsidRPr="002449A5">
        <w:rPr>
          <w:rFonts w:asciiTheme="minorHAnsi" w:hAnsiTheme="minorHAnsi" w:cstheme="minorHAnsi"/>
          <w:sz w:val="22"/>
        </w:rPr>
        <w:t>model portfolios, the underlying shares in the portfolio are automatically recommended.</w:t>
      </w:r>
    </w:p>
    <w:p w14:paraId="09C5CB2F" w14:textId="6FD6F46C"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For direct </w:t>
      </w:r>
      <w:r w:rsidR="00354E87" w:rsidRPr="002449A5">
        <w:rPr>
          <w:rFonts w:asciiTheme="minorHAnsi" w:hAnsiTheme="minorHAnsi" w:cstheme="minorHAnsi"/>
          <w:sz w:val="22"/>
        </w:rPr>
        <w:t>shareholdings</w:t>
      </w:r>
      <w:r w:rsidRPr="002449A5">
        <w:rPr>
          <w:rFonts w:asciiTheme="minorHAnsi" w:hAnsiTheme="minorHAnsi" w:cstheme="minorHAnsi"/>
          <w:sz w:val="22"/>
        </w:rPr>
        <w:t xml:space="preserve"> within a SMSF or </w:t>
      </w:r>
      <w:r w:rsidR="00354E87" w:rsidRPr="002449A5">
        <w:rPr>
          <w:rFonts w:asciiTheme="minorHAnsi" w:hAnsiTheme="minorHAnsi" w:cstheme="minorHAnsi"/>
          <w:sz w:val="22"/>
        </w:rPr>
        <w:t>platform-based</w:t>
      </w:r>
      <w:r w:rsidRPr="002449A5">
        <w:rPr>
          <w:rFonts w:asciiTheme="minorHAnsi" w:hAnsiTheme="minorHAnsi" w:cstheme="minorHAnsi"/>
          <w:sz w:val="22"/>
        </w:rPr>
        <w:t xml:space="preserve"> superannuation account, individual stocks outside the ASX 300 are limited to a maximum exposure of 10% of the total direct share portfolio (each one individually) to mitigate risk and increase diversification benefits. </w:t>
      </w:r>
    </w:p>
    <w:p w14:paraId="0C5D322B" w14:textId="75D3E15F" w:rsidR="0039455A" w:rsidRPr="002449A5" w:rsidRDefault="0039455A"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The purchase of unlisted shares by a </w:t>
      </w:r>
      <w:r w:rsidR="007C7169" w:rsidRPr="002449A5">
        <w:rPr>
          <w:rFonts w:asciiTheme="minorHAnsi" w:hAnsiTheme="minorHAnsi" w:cstheme="minorHAnsi"/>
          <w:sz w:val="22"/>
        </w:rPr>
        <w:t>client (eg. a</w:t>
      </w:r>
      <w:r w:rsidR="00D76E3C">
        <w:rPr>
          <w:rFonts w:asciiTheme="minorHAnsi" w:hAnsiTheme="minorHAnsi" w:cstheme="minorHAnsi"/>
          <w:sz w:val="22"/>
        </w:rPr>
        <w:t>n</w:t>
      </w:r>
      <w:r w:rsidR="007C7169" w:rsidRPr="002449A5">
        <w:rPr>
          <w:rFonts w:asciiTheme="minorHAnsi" w:hAnsiTheme="minorHAnsi" w:cstheme="minorHAnsi"/>
          <w:sz w:val="22"/>
        </w:rPr>
        <w:t xml:space="preserve"> </w:t>
      </w:r>
      <w:r w:rsidRPr="002449A5">
        <w:rPr>
          <w:rFonts w:asciiTheme="minorHAnsi" w:hAnsiTheme="minorHAnsi" w:cstheme="minorHAnsi"/>
          <w:sz w:val="22"/>
        </w:rPr>
        <w:t>SMSF</w:t>
      </w:r>
      <w:r w:rsidR="007C7169" w:rsidRPr="002449A5">
        <w:rPr>
          <w:rFonts w:asciiTheme="minorHAnsi" w:hAnsiTheme="minorHAnsi" w:cstheme="minorHAnsi"/>
          <w:sz w:val="22"/>
        </w:rPr>
        <w:t>)</w:t>
      </w:r>
      <w:r w:rsidRPr="002449A5">
        <w:rPr>
          <w:rFonts w:asciiTheme="minorHAnsi" w:hAnsiTheme="minorHAnsi" w:cstheme="minorHAnsi"/>
          <w:sz w:val="22"/>
        </w:rPr>
        <w:t xml:space="preserve"> may result in particular legislative and tax implications not applicable to other investors. Advisers must be very aware of these implications or seek advice from a credible technical </w:t>
      </w:r>
      <w:r w:rsidRPr="00785F36">
        <w:rPr>
          <w:rFonts w:asciiTheme="minorHAnsi" w:hAnsiTheme="minorHAnsi" w:cstheme="minorHAnsi"/>
          <w:sz w:val="22"/>
        </w:rPr>
        <w:t>source</w:t>
      </w:r>
      <w:r w:rsidR="00D76E3C" w:rsidRPr="00785F36">
        <w:rPr>
          <w:rFonts w:asciiTheme="minorHAnsi" w:hAnsiTheme="minorHAnsi" w:cstheme="minorHAnsi"/>
          <w:sz w:val="22"/>
        </w:rPr>
        <w:t xml:space="preserve"> (eg. CentrePoint Alliance, Colonial First State)&gt;. T</w:t>
      </w:r>
      <w:r w:rsidRPr="00785F36">
        <w:rPr>
          <w:rFonts w:asciiTheme="minorHAnsi" w:hAnsiTheme="minorHAnsi" w:cstheme="minorHAnsi"/>
          <w:sz w:val="22"/>
        </w:rPr>
        <w:t>he Compliance Team</w:t>
      </w:r>
      <w:r w:rsidR="00D76E3C" w:rsidRPr="00785F36">
        <w:rPr>
          <w:rFonts w:asciiTheme="minorHAnsi" w:hAnsiTheme="minorHAnsi" w:cstheme="minorHAnsi"/>
          <w:sz w:val="22"/>
        </w:rPr>
        <w:t xml:space="preserve"> can provide access phone numbers to CPAL, CFS.</w:t>
      </w:r>
    </w:p>
    <w:p w14:paraId="123A78F9" w14:textId="77777777" w:rsidR="00A5405D" w:rsidRPr="002449A5" w:rsidRDefault="00A5405D"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ETFs</w:t>
      </w:r>
    </w:p>
    <w:p w14:paraId="683F9E07" w14:textId="77777777"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Exchange Traded Funds typically adopt a passive investment style that seeks to track or replicate an asset or market index but can also offer active management where the investment manager is seeking to outperform the index by applying an active investment philosophy.</w:t>
      </w:r>
    </w:p>
    <w:p w14:paraId="6B9E6DDF" w14:textId="5C79ECAD"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In addition to the underlying asset class risk, ETFs are subject to market risk and may be valued at more or less than their net tangible asset value. Where ETFs contain derivative exposure (eg. synthetic ETFs) the risks to investors are increased by the additional element of credit risk.</w:t>
      </w:r>
    </w:p>
    <w:p w14:paraId="6DA59F73" w14:textId="77777777" w:rsidR="00304EBD"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Given this double risk overlay, ETFs cannot be treated as low risk investments.</w:t>
      </w:r>
    </w:p>
    <w:p w14:paraId="37EA0377" w14:textId="30800ABF" w:rsidR="00A5405D" w:rsidRPr="002449A5" w:rsidRDefault="00304EBD" w:rsidP="002449A5">
      <w:pPr>
        <w:spacing w:after="120" w:line="240" w:lineRule="auto"/>
        <w:ind w:left="993"/>
        <w:rPr>
          <w:rFonts w:asciiTheme="minorHAnsi" w:hAnsiTheme="minorHAnsi" w:cstheme="minorHAnsi"/>
          <w:sz w:val="22"/>
        </w:rPr>
      </w:pPr>
      <w:r w:rsidRPr="00095AB0">
        <w:rPr>
          <w:rFonts w:asciiTheme="minorHAnsi" w:hAnsiTheme="minorHAnsi" w:cstheme="minorHAnsi"/>
          <w:sz w:val="22"/>
        </w:rPr>
        <w:t>In volatile periods (eg. bear market), smaller ETF providers may also be subject to liquidity risk if investors withdraw significant funds. InterPrac requires advisers to stick with the larger proven ETF providers.</w:t>
      </w:r>
      <w:r w:rsidR="00A5405D" w:rsidRPr="002449A5">
        <w:rPr>
          <w:rFonts w:asciiTheme="minorHAnsi" w:hAnsiTheme="minorHAnsi" w:cstheme="minorHAnsi"/>
          <w:sz w:val="22"/>
        </w:rPr>
        <w:t xml:space="preserve"> </w:t>
      </w:r>
    </w:p>
    <w:p w14:paraId="6AFA3405" w14:textId="77777777" w:rsidR="00A5405D" w:rsidRPr="002449A5" w:rsidRDefault="00A5405D"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Hybrids</w:t>
      </w:r>
    </w:p>
    <w:p w14:paraId="1BAA908A" w14:textId="77777777"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Hybrids are not to be equated with fixed interest products even where the product is primarily considered for the production of income to support a client’s needs.</w:t>
      </w:r>
    </w:p>
    <w:p w14:paraId="7977C72F" w14:textId="77777777"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The potential for reversion to an equity asset, and with consideration of securitised debt arrangements in some products, means that Hybrids must not be treated as low risk investments.</w:t>
      </w:r>
    </w:p>
    <w:p w14:paraId="318A4D05" w14:textId="77777777" w:rsidR="00A5405D" w:rsidRPr="002449A5" w:rsidRDefault="00A5405D"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LICs</w:t>
      </w:r>
    </w:p>
    <w:p w14:paraId="21B98DCA" w14:textId="77777777"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Listed Investment Companies can adopt an Index or Sector specific investment philosophy.</w:t>
      </w:r>
    </w:p>
    <w:p w14:paraId="6681481C" w14:textId="77777777"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In addition to the underlying asset class risk, they are subject to market risk and may be valued at more or less than their net tangible asset value.</w:t>
      </w:r>
    </w:p>
    <w:p w14:paraId="08B85030" w14:textId="77777777" w:rsidR="00A5405D" w:rsidRPr="002449A5" w:rsidRDefault="00A5405D"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Given this double risk overlay, LICs cannot be treated as low risk investments. </w:t>
      </w:r>
    </w:p>
    <w:p w14:paraId="115E6D23" w14:textId="2CEEA332" w:rsidR="00DC44AB" w:rsidRPr="002449A5" w:rsidRDefault="00DC44AB"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t>Managed Funds</w:t>
      </w:r>
    </w:p>
    <w:p w14:paraId="5D1BA3A9" w14:textId="3A461599" w:rsidR="001410A2" w:rsidRPr="002449A5" w:rsidRDefault="00213B76"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The universe of eligible funds is delineated by the InterPrac Approve</w:t>
      </w:r>
      <w:r w:rsidR="00840FC5" w:rsidRPr="002449A5">
        <w:rPr>
          <w:rFonts w:asciiTheme="minorHAnsi" w:hAnsiTheme="minorHAnsi" w:cstheme="minorHAnsi"/>
          <w:sz w:val="22"/>
        </w:rPr>
        <w:t>d</w:t>
      </w:r>
      <w:r w:rsidRPr="002449A5">
        <w:rPr>
          <w:rFonts w:asciiTheme="minorHAnsi" w:hAnsiTheme="minorHAnsi" w:cstheme="minorHAnsi"/>
          <w:sz w:val="22"/>
        </w:rPr>
        <w:t xml:space="preserve"> </w:t>
      </w:r>
      <w:r w:rsidR="007C7169" w:rsidRPr="002449A5">
        <w:rPr>
          <w:rFonts w:asciiTheme="minorHAnsi" w:hAnsiTheme="minorHAnsi" w:cstheme="minorHAnsi"/>
          <w:sz w:val="22"/>
        </w:rPr>
        <w:t xml:space="preserve">Product </w:t>
      </w:r>
      <w:r w:rsidRPr="002449A5">
        <w:rPr>
          <w:rFonts w:asciiTheme="minorHAnsi" w:hAnsiTheme="minorHAnsi" w:cstheme="minorHAnsi"/>
          <w:sz w:val="22"/>
        </w:rPr>
        <w:t>List.</w:t>
      </w:r>
    </w:p>
    <w:p w14:paraId="142C49B9" w14:textId="1A70DF33" w:rsidR="00840FC5" w:rsidRPr="002449A5" w:rsidRDefault="00840FC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Managed funds represent not only investable assets but typically provide internal portfolio management expertise and administrative portfolio support services. These ‘extras’ may be valuable to a client and should be fairly represented in comparison to direct investment alternatives.  </w:t>
      </w:r>
    </w:p>
    <w:p w14:paraId="5A5DD75B" w14:textId="6F865FEC" w:rsidR="001410A2" w:rsidRPr="002449A5" w:rsidRDefault="004C5478" w:rsidP="002449A5">
      <w:pPr>
        <w:pStyle w:val="ListParagraph"/>
        <w:spacing w:after="120" w:line="240" w:lineRule="auto"/>
        <w:ind w:left="993"/>
        <w:contextualSpacing w:val="0"/>
        <w:rPr>
          <w:rFonts w:asciiTheme="minorHAnsi" w:eastAsia="Times New Roman" w:hAnsiTheme="minorHAnsi" w:cstheme="minorHAnsi"/>
          <w:b/>
          <w:sz w:val="22"/>
          <w:lang w:eastAsia="en-AU"/>
        </w:rPr>
      </w:pPr>
      <w:r w:rsidRPr="002449A5">
        <w:rPr>
          <w:rFonts w:asciiTheme="minorHAnsi" w:eastAsia="Times New Roman" w:hAnsiTheme="minorHAnsi" w:cstheme="minorHAnsi"/>
          <w:b/>
          <w:sz w:val="22"/>
          <w:lang w:eastAsia="en-AU"/>
        </w:rPr>
        <w:lastRenderedPageBreak/>
        <w:t>Hedge Funds</w:t>
      </w:r>
    </w:p>
    <w:p w14:paraId="4C7F1FB2" w14:textId="71A660CF" w:rsidR="007946C6" w:rsidRPr="002449A5" w:rsidRDefault="00840FC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Given the sophisticated investment strategies that typically underlie these products, they should be used with more experienced investors or as a minor component of a portfolio for a less experienced investor.</w:t>
      </w:r>
    </w:p>
    <w:p w14:paraId="5656342D" w14:textId="3901E074" w:rsidR="00840FC5" w:rsidRDefault="00840FC5" w:rsidP="00710A62">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In a determination of portfolio risk, hedge funds must be treated as high </w:t>
      </w:r>
      <w:r w:rsidRPr="00095AB0">
        <w:rPr>
          <w:rFonts w:asciiTheme="minorHAnsi" w:hAnsiTheme="minorHAnsi" w:cstheme="minorHAnsi"/>
          <w:sz w:val="22"/>
        </w:rPr>
        <w:t>risk</w:t>
      </w:r>
      <w:r w:rsidR="00EC31AF" w:rsidRPr="00095AB0">
        <w:rPr>
          <w:rFonts w:asciiTheme="minorHAnsi" w:hAnsiTheme="minorHAnsi" w:cstheme="minorHAnsi"/>
          <w:sz w:val="22"/>
        </w:rPr>
        <w:t xml:space="preserve">, </w:t>
      </w:r>
      <w:r w:rsidR="00611005" w:rsidRPr="00095AB0">
        <w:rPr>
          <w:rFonts w:asciiTheme="minorHAnsi" w:hAnsiTheme="minorHAnsi" w:cstheme="minorHAnsi"/>
          <w:sz w:val="22"/>
        </w:rPr>
        <w:t>‘Other’</w:t>
      </w:r>
      <w:r w:rsidRPr="00095AB0">
        <w:rPr>
          <w:rFonts w:asciiTheme="minorHAnsi" w:hAnsiTheme="minorHAnsi" w:cstheme="minorHAnsi"/>
          <w:sz w:val="22"/>
        </w:rPr>
        <w:t xml:space="preserve"> assets</w:t>
      </w:r>
      <w:r w:rsidR="00611005">
        <w:rPr>
          <w:rFonts w:asciiTheme="minorHAnsi" w:hAnsiTheme="minorHAnsi" w:cstheme="minorHAnsi"/>
          <w:sz w:val="22"/>
        </w:rPr>
        <w:t xml:space="preserve"> as page 3</w:t>
      </w:r>
      <w:r w:rsidRPr="002449A5">
        <w:rPr>
          <w:rFonts w:asciiTheme="minorHAnsi" w:hAnsiTheme="minorHAnsi" w:cstheme="minorHAnsi"/>
          <w:sz w:val="22"/>
        </w:rPr>
        <w:t xml:space="preserve">. </w:t>
      </w:r>
    </w:p>
    <w:p w14:paraId="03FD4919" w14:textId="77777777" w:rsidR="00453D21" w:rsidRPr="002449A5" w:rsidRDefault="00453D21" w:rsidP="002449A5">
      <w:pPr>
        <w:spacing w:after="120" w:line="240" w:lineRule="auto"/>
        <w:ind w:left="993"/>
        <w:rPr>
          <w:rFonts w:asciiTheme="minorHAnsi" w:hAnsiTheme="minorHAnsi" w:cstheme="minorHAnsi"/>
          <w:sz w:val="22"/>
        </w:rPr>
      </w:pPr>
    </w:p>
    <w:p w14:paraId="507F49A0" w14:textId="6FFF8B09" w:rsidR="00DC44AB" w:rsidRPr="002449A5" w:rsidRDefault="00DC44AB" w:rsidP="002449A5">
      <w:pPr>
        <w:pStyle w:val="Heading1"/>
        <w:spacing w:before="0" w:after="120" w:line="240" w:lineRule="auto"/>
        <w:ind w:left="993"/>
        <w:rPr>
          <w:rFonts w:asciiTheme="minorHAnsi" w:hAnsiTheme="minorHAnsi" w:cstheme="minorHAnsi"/>
        </w:rPr>
      </w:pPr>
      <w:r w:rsidRPr="002449A5">
        <w:rPr>
          <w:rFonts w:asciiTheme="minorHAnsi" w:hAnsiTheme="minorHAnsi" w:cstheme="minorHAnsi"/>
        </w:rPr>
        <w:t>Guidance on Insurance Providers</w:t>
      </w:r>
    </w:p>
    <w:p w14:paraId="1FD36E22" w14:textId="77777777" w:rsidR="00546105" w:rsidRPr="002449A5" w:rsidRDefault="0054610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All APRA licensed insurers and their respective retail (or wholesale) products are approved for use. </w:t>
      </w:r>
    </w:p>
    <w:p w14:paraId="400D44DF" w14:textId="77777777" w:rsidR="00546105" w:rsidRPr="002449A5" w:rsidRDefault="0054610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APRA (Australian Prudential Regulatory Authority) licensed insurance companies cover all the major insurance companies operating in Australia and meet stringent liquidity plus regulatory guidelines providing comfort that they have the capacity to cover the claims of your clients.</w:t>
      </w:r>
    </w:p>
    <w:p w14:paraId="2B480E25" w14:textId="6828D17B" w:rsidR="00546105" w:rsidRPr="002449A5" w:rsidRDefault="00546105"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Advisers need to undertake their own due diligence process when selecting which life insurer is to be recommended to a client. InterPrac approves the use of all life insurance comparison tools provided by software such as LifeRisk Online, Xplan, Midwinter or AdviserLogic.  Advisers who do not use this software must use the online quotation tools available from the relevant insurance products being recommended.  To meet your best interest duty, you need to have at least 3 different quotes from the insurers you have selected as well as comparing against the client’s current insurance providers. </w:t>
      </w:r>
    </w:p>
    <w:p w14:paraId="483DB267" w14:textId="1A00A23B" w:rsidR="00546105" w:rsidRDefault="00546105" w:rsidP="00710A62">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Each client’s specific recommendation and the chosen product you believe best meets the needs of the client based on product features, benefits and or price is then the one you should recommend. </w:t>
      </w:r>
    </w:p>
    <w:p w14:paraId="255C6DE7" w14:textId="77777777" w:rsidR="00453D21" w:rsidRPr="002449A5" w:rsidRDefault="00453D21" w:rsidP="002449A5">
      <w:pPr>
        <w:spacing w:after="120" w:line="240" w:lineRule="auto"/>
        <w:ind w:left="993"/>
        <w:rPr>
          <w:rFonts w:asciiTheme="minorHAnsi" w:hAnsiTheme="minorHAnsi" w:cstheme="minorHAnsi"/>
          <w:sz w:val="22"/>
        </w:rPr>
      </w:pPr>
    </w:p>
    <w:p w14:paraId="021BDECB" w14:textId="77777777" w:rsidR="00F131E2" w:rsidRPr="002449A5" w:rsidRDefault="00F131E2" w:rsidP="002449A5">
      <w:pPr>
        <w:pStyle w:val="Heading1"/>
        <w:spacing w:before="0" w:after="120" w:line="240" w:lineRule="auto"/>
        <w:ind w:left="993"/>
        <w:rPr>
          <w:rFonts w:asciiTheme="minorHAnsi" w:hAnsiTheme="minorHAnsi" w:cstheme="minorHAnsi"/>
        </w:rPr>
      </w:pPr>
      <w:bookmarkStart w:id="15" w:name="_Toc4059910"/>
      <w:r w:rsidRPr="002449A5">
        <w:rPr>
          <w:rFonts w:asciiTheme="minorHAnsi" w:hAnsiTheme="minorHAnsi" w:cstheme="minorHAnsi"/>
        </w:rPr>
        <w:t>Consequences</w:t>
      </w:r>
      <w:bookmarkEnd w:id="15"/>
    </w:p>
    <w:p w14:paraId="023EB2CB" w14:textId="794B5844" w:rsidR="00F131E2" w:rsidRPr="002449A5" w:rsidRDefault="00F131E2"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 xml:space="preserve">Failure to </w:t>
      </w:r>
      <w:r w:rsidR="00BC2E0A" w:rsidRPr="002449A5">
        <w:rPr>
          <w:rFonts w:asciiTheme="minorHAnsi" w:hAnsiTheme="minorHAnsi" w:cstheme="minorHAnsi"/>
          <w:sz w:val="22"/>
        </w:rPr>
        <w:t xml:space="preserve">practically apply the </w:t>
      </w:r>
      <w:r w:rsidR="006C06A8" w:rsidRPr="002449A5">
        <w:rPr>
          <w:rFonts w:asciiTheme="minorHAnsi" w:hAnsiTheme="minorHAnsi" w:cstheme="minorHAnsi"/>
          <w:sz w:val="22"/>
        </w:rPr>
        <w:t xml:space="preserve">investment product </w:t>
      </w:r>
      <w:r w:rsidR="00BC2E0A" w:rsidRPr="002449A5">
        <w:rPr>
          <w:rFonts w:asciiTheme="minorHAnsi" w:hAnsiTheme="minorHAnsi" w:cstheme="minorHAnsi"/>
          <w:sz w:val="22"/>
        </w:rPr>
        <w:t xml:space="preserve">principles </w:t>
      </w:r>
      <w:r w:rsidR="006C06A8" w:rsidRPr="002449A5">
        <w:rPr>
          <w:rFonts w:asciiTheme="minorHAnsi" w:hAnsiTheme="minorHAnsi" w:cstheme="minorHAnsi"/>
          <w:sz w:val="22"/>
        </w:rPr>
        <w:t xml:space="preserve">and research requirements </w:t>
      </w:r>
      <w:r w:rsidRPr="002449A5">
        <w:rPr>
          <w:rFonts w:asciiTheme="minorHAnsi" w:hAnsiTheme="minorHAnsi" w:cstheme="minorHAnsi"/>
          <w:sz w:val="22"/>
        </w:rPr>
        <w:t>may result in:</w:t>
      </w:r>
    </w:p>
    <w:p w14:paraId="3A5DCD32" w14:textId="77777777" w:rsidR="00F131E2" w:rsidRPr="002449A5" w:rsidRDefault="00F131E2" w:rsidP="002449A5">
      <w:pPr>
        <w:pStyle w:val="ListParagraph"/>
        <w:numPr>
          <w:ilvl w:val="0"/>
          <w:numId w:val="22"/>
        </w:numPr>
        <w:spacing w:after="120" w:line="240" w:lineRule="auto"/>
        <w:ind w:left="1560"/>
        <w:contextualSpacing w:val="0"/>
        <w:rPr>
          <w:rFonts w:asciiTheme="minorHAnsi" w:hAnsiTheme="minorHAnsi" w:cstheme="minorHAnsi"/>
          <w:sz w:val="22"/>
        </w:rPr>
      </w:pPr>
      <w:r w:rsidRPr="002449A5">
        <w:rPr>
          <w:rFonts w:asciiTheme="minorHAnsi" w:hAnsiTheme="minorHAnsi" w:cstheme="minorHAnsi"/>
          <w:sz w:val="22"/>
        </w:rPr>
        <w:t>Failure to demonstrate Best Interests Duty</w:t>
      </w:r>
    </w:p>
    <w:p w14:paraId="3B95D186" w14:textId="77777777" w:rsidR="00F131E2" w:rsidRPr="002449A5" w:rsidRDefault="00F131E2" w:rsidP="002449A5">
      <w:pPr>
        <w:pStyle w:val="ListParagraph"/>
        <w:numPr>
          <w:ilvl w:val="0"/>
          <w:numId w:val="22"/>
        </w:numPr>
        <w:spacing w:after="120" w:line="240" w:lineRule="auto"/>
        <w:ind w:left="1560"/>
        <w:contextualSpacing w:val="0"/>
        <w:rPr>
          <w:rFonts w:asciiTheme="minorHAnsi" w:hAnsiTheme="minorHAnsi" w:cstheme="minorHAnsi"/>
          <w:sz w:val="22"/>
        </w:rPr>
      </w:pPr>
      <w:r w:rsidRPr="002449A5">
        <w:rPr>
          <w:rFonts w:asciiTheme="minorHAnsi" w:hAnsiTheme="minorHAnsi" w:cstheme="minorHAnsi"/>
          <w:sz w:val="22"/>
        </w:rPr>
        <w:t>Revocation of Licensee Authorisation</w:t>
      </w:r>
    </w:p>
    <w:p w14:paraId="7D93D61F" w14:textId="6BBA6982" w:rsidR="00F131E2" w:rsidRDefault="00F131E2" w:rsidP="00710A62">
      <w:pPr>
        <w:pStyle w:val="ListParagraph"/>
        <w:numPr>
          <w:ilvl w:val="0"/>
          <w:numId w:val="22"/>
        </w:numPr>
        <w:spacing w:after="120" w:line="240" w:lineRule="auto"/>
        <w:ind w:left="1560"/>
        <w:contextualSpacing w:val="0"/>
        <w:rPr>
          <w:rFonts w:asciiTheme="minorHAnsi" w:hAnsiTheme="minorHAnsi" w:cstheme="minorHAnsi"/>
          <w:sz w:val="22"/>
        </w:rPr>
      </w:pPr>
      <w:r w:rsidRPr="002449A5">
        <w:rPr>
          <w:rFonts w:asciiTheme="minorHAnsi" w:hAnsiTheme="minorHAnsi" w:cstheme="minorHAnsi"/>
          <w:sz w:val="22"/>
        </w:rPr>
        <w:t>Licensee imposed remedial activities</w:t>
      </w:r>
    </w:p>
    <w:p w14:paraId="696E9470" w14:textId="77777777" w:rsidR="00453D21" w:rsidRPr="002449A5" w:rsidRDefault="00453D21" w:rsidP="002449A5">
      <w:pPr>
        <w:spacing w:after="120" w:line="240" w:lineRule="auto"/>
        <w:rPr>
          <w:rFonts w:asciiTheme="minorHAnsi" w:hAnsiTheme="minorHAnsi" w:cstheme="minorHAnsi"/>
          <w:sz w:val="22"/>
        </w:rPr>
      </w:pPr>
    </w:p>
    <w:p w14:paraId="756A5152" w14:textId="65F100CC" w:rsidR="00F131E2" w:rsidRDefault="00F131E2" w:rsidP="00710A62">
      <w:pPr>
        <w:pStyle w:val="Heading1"/>
        <w:spacing w:before="0" w:after="120" w:line="240" w:lineRule="auto"/>
        <w:ind w:left="993"/>
        <w:rPr>
          <w:rFonts w:asciiTheme="minorHAnsi" w:hAnsiTheme="minorHAnsi" w:cstheme="minorHAnsi"/>
        </w:rPr>
      </w:pPr>
      <w:bookmarkStart w:id="16" w:name="_Toc4059911"/>
      <w:r w:rsidRPr="002449A5">
        <w:rPr>
          <w:rFonts w:asciiTheme="minorHAnsi" w:hAnsiTheme="minorHAnsi" w:cstheme="minorHAnsi"/>
        </w:rPr>
        <w:t>Associated Documentation</w:t>
      </w:r>
      <w:bookmarkEnd w:id="16"/>
    </w:p>
    <w:p w14:paraId="0D373F73" w14:textId="19656A58" w:rsidR="00E7006E" w:rsidRPr="002449A5" w:rsidRDefault="00E7006E" w:rsidP="002449A5">
      <w:pPr>
        <w:spacing w:after="120" w:line="240" w:lineRule="auto"/>
        <w:ind w:left="993"/>
        <w:rPr>
          <w:rFonts w:asciiTheme="minorHAnsi" w:hAnsiTheme="minorHAnsi" w:cstheme="minorHAnsi"/>
          <w:sz w:val="22"/>
        </w:rPr>
      </w:pPr>
      <w:r w:rsidRPr="002449A5">
        <w:rPr>
          <w:rFonts w:asciiTheme="minorHAnsi" w:hAnsiTheme="minorHAnsi" w:cstheme="minorHAnsi"/>
          <w:sz w:val="22"/>
        </w:rPr>
        <w:t>Found of the Adviser Resource Centre website:</w:t>
      </w:r>
    </w:p>
    <w:p w14:paraId="30EE4212" w14:textId="63A1D47B" w:rsidR="00E05C6C" w:rsidRDefault="00E05C6C" w:rsidP="00710A62">
      <w:pPr>
        <w:pStyle w:val="ListParagraph"/>
        <w:numPr>
          <w:ilvl w:val="0"/>
          <w:numId w:val="22"/>
        </w:numPr>
        <w:spacing w:after="120" w:line="240" w:lineRule="auto"/>
        <w:ind w:left="1560"/>
        <w:contextualSpacing w:val="0"/>
        <w:rPr>
          <w:rFonts w:asciiTheme="minorHAnsi" w:hAnsiTheme="minorHAnsi" w:cstheme="minorHAnsi"/>
          <w:sz w:val="22"/>
        </w:rPr>
      </w:pPr>
      <w:r w:rsidRPr="002449A5">
        <w:rPr>
          <w:rFonts w:asciiTheme="minorHAnsi" w:hAnsiTheme="minorHAnsi" w:cstheme="minorHAnsi"/>
          <w:sz w:val="22"/>
        </w:rPr>
        <w:t>InterPrac Approved Product List</w:t>
      </w:r>
    </w:p>
    <w:p w14:paraId="52616433" w14:textId="315BE65F" w:rsidR="00453D21" w:rsidRPr="002449A5" w:rsidRDefault="00453D21" w:rsidP="002449A5">
      <w:pPr>
        <w:pStyle w:val="ListParagraph"/>
        <w:numPr>
          <w:ilvl w:val="0"/>
          <w:numId w:val="22"/>
        </w:numPr>
        <w:spacing w:after="120" w:line="240" w:lineRule="auto"/>
        <w:ind w:left="1560"/>
        <w:contextualSpacing w:val="0"/>
        <w:rPr>
          <w:rFonts w:asciiTheme="minorHAnsi" w:hAnsiTheme="minorHAnsi" w:cstheme="minorHAnsi"/>
          <w:sz w:val="22"/>
        </w:rPr>
      </w:pPr>
      <w:r w:rsidRPr="007102D1">
        <w:rPr>
          <w:rFonts w:asciiTheme="minorHAnsi" w:hAnsiTheme="minorHAnsi" w:cstheme="minorHAnsi"/>
          <w:sz w:val="22"/>
        </w:rPr>
        <w:t>Statement of Advice Appendix text – Investor1st</w:t>
      </w:r>
    </w:p>
    <w:p w14:paraId="655B6D41" w14:textId="77777777" w:rsidR="00F131E2" w:rsidRPr="002449A5" w:rsidRDefault="00F131E2" w:rsidP="002449A5">
      <w:pPr>
        <w:pStyle w:val="ListParagraph"/>
        <w:keepNext/>
        <w:keepLines/>
        <w:spacing w:after="120" w:line="240" w:lineRule="auto"/>
        <w:ind w:left="1560"/>
        <w:contextualSpacing w:val="0"/>
        <w:outlineLvl w:val="0"/>
        <w:rPr>
          <w:rFonts w:asciiTheme="minorHAnsi" w:eastAsiaTheme="majorEastAsia" w:hAnsiTheme="minorHAnsi" w:cstheme="minorHAnsi"/>
          <w:color w:val="74B3DE"/>
          <w:sz w:val="22"/>
        </w:rPr>
      </w:pPr>
    </w:p>
    <w:sectPr w:rsidR="00F131E2" w:rsidRPr="002449A5" w:rsidSect="002449A5">
      <w:headerReference w:type="default" r:id="rId12"/>
      <w:type w:val="continuous"/>
      <w:pgSz w:w="11910" w:h="16840"/>
      <w:pgMar w:top="1361" w:right="1021" w:bottom="1418" w:left="658" w:header="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5179" w14:textId="77777777" w:rsidR="000B47C7" w:rsidRDefault="000B47C7" w:rsidP="001A7853">
      <w:pPr>
        <w:spacing w:after="0" w:line="240" w:lineRule="auto"/>
      </w:pPr>
      <w:r>
        <w:separator/>
      </w:r>
    </w:p>
  </w:endnote>
  <w:endnote w:type="continuationSeparator" w:id="0">
    <w:p w14:paraId="5E4E5B5F" w14:textId="77777777" w:rsidR="000B47C7" w:rsidRDefault="000B47C7" w:rsidP="001A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6B4E" w14:textId="4996D3EB" w:rsidR="000B47C7" w:rsidRPr="002449A5" w:rsidRDefault="00E60417" w:rsidP="002449A5">
    <w:pPr>
      <w:pStyle w:val="Footer"/>
      <w:jc w:val="center"/>
      <w:rPr>
        <w:i/>
      </w:rPr>
    </w:pPr>
    <w:sdt>
      <w:sdtPr>
        <w:id w:val="-1579973503"/>
        <w:docPartObj>
          <w:docPartGallery w:val="Page Numbers (Bottom of Page)"/>
          <w:docPartUnique/>
        </w:docPartObj>
      </w:sdtPr>
      <w:sdtEndPr>
        <w:rPr>
          <w:noProof/>
        </w:rPr>
      </w:sdtEndPr>
      <w:sdtContent>
        <w:r w:rsidR="000B47C7">
          <w:t xml:space="preserve">Page | </w:t>
        </w:r>
        <w:r w:rsidR="000B47C7">
          <w:fldChar w:fldCharType="begin"/>
        </w:r>
        <w:r w:rsidR="000B47C7">
          <w:instrText xml:space="preserve"> PAGE   \* MERGEFORMAT </w:instrText>
        </w:r>
        <w:r w:rsidR="000B47C7">
          <w:fldChar w:fldCharType="separate"/>
        </w:r>
        <w:r w:rsidR="000B47C7">
          <w:t>1</w:t>
        </w:r>
        <w:r w:rsidR="000B47C7">
          <w:rPr>
            <w:noProof/>
          </w:rPr>
          <w:fldChar w:fldCharType="end"/>
        </w:r>
        <w:r w:rsidR="00710A62">
          <w:rPr>
            <w:noProof/>
          </w:rPr>
          <w:tab/>
        </w:r>
        <w:r w:rsidR="00710A62">
          <w:rPr>
            <w:noProof/>
          </w:rPr>
          <w:tab/>
        </w:r>
      </w:sdtContent>
    </w:sdt>
    <w:r w:rsidR="00710A62">
      <w:rPr>
        <w:noProof/>
      </w:rPr>
      <w:t xml:space="preserve"> </w:t>
    </w:r>
    <w:sdt>
      <w:sdtPr>
        <w:rPr>
          <w:i/>
          <w:caps/>
          <w:szCs w:val="20"/>
        </w:rPr>
        <w:alias w:val="Title"/>
        <w:tag w:val=""/>
        <w:id w:val="-1201553886"/>
        <w:dataBinding w:prefixMappings="xmlns:ns0='http://purl.org/dc/elements/1.1/' xmlns:ns1='http://schemas.openxmlformats.org/package/2006/metadata/core-properties' " w:xpath="/ns1:coreProperties[1]/ns0:title[1]" w:storeItemID="{6C3C8BC8-F283-45AE-878A-BAB7291924A1}"/>
        <w:text/>
      </w:sdtPr>
      <w:sdtEndPr/>
      <w:sdtContent>
        <w:r w:rsidR="00710A62">
          <w:rPr>
            <w:i/>
            <w:caps/>
            <w:szCs w:val="20"/>
          </w:rPr>
          <w:t>INVESTMENT ADVICE</w:t>
        </w:r>
      </w:sdtContent>
    </w:sdt>
    <w:r w:rsidR="00710A62" w:rsidRPr="002C4139">
      <w:rPr>
        <w:i/>
        <w:caps/>
        <w:color w:val="808080" w:themeColor="background1" w:themeShade="80"/>
        <w:szCs w:val="20"/>
      </w:rPr>
      <w:t> | </w:t>
    </w:r>
    <w:sdt>
      <w:sdtPr>
        <w:rPr>
          <w:i/>
          <w:szCs w:val="20"/>
        </w:rPr>
        <w:alias w:val="Subtitle"/>
        <w:tag w:val=""/>
        <w:id w:val="-1879780306"/>
        <w:dataBinding w:prefixMappings="xmlns:ns0='http://purl.org/dc/elements/1.1/' xmlns:ns1='http://schemas.openxmlformats.org/package/2006/metadata/core-properties' " w:xpath="/ns1:coreProperties[1]/ns0:subject[1]" w:storeItemID="{6C3C8BC8-F283-45AE-878A-BAB7291924A1}"/>
        <w:text/>
      </w:sdtPr>
      <w:sdtEndPr/>
      <w:sdtContent>
        <w:r w:rsidR="00710A62" w:rsidRPr="002C4139">
          <w:rPr>
            <w:i/>
            <w:szCs w:val="20"/>
          </w:rPr>
          <w:t xml:space="preserve">Business </w:t>
        </w:r>
        <w:r w:rsidR="00710A62">
          <w:rPr>
            <w:i/>
            <w:szCs w:val="20"/>
          </w:rPr>
          <w:t>Principle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BDAE" w14:textId="521B5DD3" w:rsidR="00710A62" w:rsidRDefault="00710A62">
    <w:pPr>
      <w:pStyle w:val="Footer"/>
    </w:pPr>
  </w:p>
  <w:p w14:paraId="7EEB5438" w14:textId="10C7AE20" w:rsidR="00453D21" w:rsidRPr="002449A5" w:rsidRDefault="00E60417" w:rsidP="002449A5">
    <w:pPr>
      <w:pStyle w:val="Footer"/>
      <w:jc w:val="center"/>
      <w:rPr>
        <w:i/>
      </w:rPr>
    </w:pPr>
    <w:sdt>
      <w:sdtPr>
        <w:id w:val="1242914644"/>
        <w:docPartObj>
          <w:docPartGallery w:val="Page Numbers (Bottom of Page)"/>
          <w:docPartUnique/>
        </w:docPartObj>
      </w:sdtPr>
      <w:sdtEndPr>
        <w:rPr>
          <w:noProof/>
        </w:rPr>
      </w:sdtEndPr>
      <w:sdtContent>
        <w:r w:rsidR="00453D21">
          <w:t xml:space="preserve">Page | </w:t>
        </w:r>
        <w:r w:rsidR="00453D21">
          <w:fldChar w:fldCharType="begin"/>
        </w:r>
        <w:r w:rsidR="00453D21">
          <w:instrText xml:space="preserve"> PAGE   \* MERGEFORMAT </w:instrText>
        </w:r>
        <w:r w:rsidR="00453D21">
          <w:fldChar w:fldCharType="separate"/>
        </w:r>
        <w:r w:rsidR="00453D21">
          <w:t>2</w:t>
        </w:r>
        <w:r w:rsidR="00453D21">
          <w:rPr>
            <w:noProof/>
          </w:rPr>
          <w:fldChar w:fldCharType="end"/>
        </w:r>
        <w:r w:rsidR="00453D21">
          <w:rPr>
            <w:noProof/>
          </w:rPr>
          <w:tab/>
        </w:r>
        <w:r w:rsidR="00453D21">
          <w:rPr>
            <w:noProof/>
          </w:rPr>
          <w:tab/>
        </w:r>
      </w:sdtContent>
    </w:sdt>
    <w:r w:rsidR="00453D21">
      <w:rPr>
        <w:noProof/>
      </w:rPr>
      <w:t xml:space="preserve"> </w:t>
    </w:r>
    <w:sdt>
      <w:sdtPr>
        <w:rPr>
          <w:i/>
          <w:caps/>
          <w:szCs w:val="20"/>
        </w:rPr>
        <w:alias w:val="Title"/>
        <w:tag w:val=""/>
        <w:id w:val="1855994657"/>
        <w:dataBinding w:prefixMappings="xmlns:ns0='http://purl.org/dc/elements/1.1/' xmlns:ns1='http://schemas.openxmlformats.org/package/2006/metadata/core-properties' " w:xpath="/ns1:coreProperties[1]/ns0:title[1]" w:storeItemID="{6C3C8BC8-F283-45AE-878A-BAB7291924A1}"/>
        <w:text/>
      </w:sdtPr>
      <w:sdtEndPr/>
      <w:sdtContent>
        <w:r w:rsidR="00453D21">
          <w:rPr>
            <w:i/>
            <w:caps/>
            <w:szCs w:val="20"/>
          </w:rPr>
          <w:t>INVESTMENT ADVICE</w:t>
        </w:r>
      </w:sdtContent>
    </w:sdt>
    <w:r w:rsidR="00453D21" w:rsidRPr="002C4139">
      <w:rPr>
        <w:i/>
        <w:caps/>
        <w:color w:val="808080" w:themeColor="background1" w:themeShade="80"/>
        <w:szCs w:val="20"/>
      </w:rPr>
      <w:t> | </w:t>
    </w:r>
    <w:sdt>
      <w:sdtPr>
        <w:rPr>
          <w:i/>
          <w:szCs w:val="20"/>
        </w:rPr>
        <w:alias w:val="Subtitle"/>
        <w:tag w:val=""/>
        <w:id w:val="-1383944840"/>
        <w:dataBinding w:prefixMappings="xmlns:ns0='http://purl.org/dc/elements/1.1/' xmlns:ns1='http://schemas.openxmlformats.org/package/2006/metadata/core-properties' " w:xpath="/ns1:coreProperties[1]/ns0:subject[1]" w:storeItemID="{6C3C8BC8-F283-45AE-878A-BAB7291924A1}"/>
        <w:text/>
      </w:sdtPr>
      <w:sdtEndPr/>
      <w:sdtContent>
        <w:r w:rsidR="00453D21" w:rsidRPr="002C4139">
          <w:rPr>
            <w:i/>
            <w:szCs w:val="20"/>
          </w:rPr>
          <w:t xml:space="preserve">Business </w:t>
        </w:r>
        <w:r w:rsidR="00453D21">
          <w:rPr>
            <w:i/>
            <w:szCs w:val="20"/>
          </w:rPr>
          <w:t>Principle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FCB9" w14:textId="77777777" w:rsidR="000B47C7" w:rsidRDefault="000B47C7" w:rsidP="001A7853">
      <w:pPr>
        <w:spacing w:after="0" w:line="240" w:lineRule="auto"/>
      </w:pPr>
      <w:r>
        <w:separator/>
      </w:r>
    </w:p>
  </w:footnote>
  <w:footnote w:type="continuationSeparator" w:id="0">
    <w:p w14:paraId="5AE3B77A" w14:textId="77777777" w:rsidR="000B47C7" w:rsidRDefault="000B47C7" w:rsidP="001A7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0CA1" w14:textId="77777777" w:rsidR="000B47C7" w:rsidRDefault="000B47C7">
    <w:pPr>
      <w:pStyle w:val="Header"/>
      <w:rPr>
        <w:sz w:val="28"/>
        <w:szCs w:val="28"/>
      </w:rPr>
    </w:pPr>
  </w:p>
  <w:p w14:paraId="54148708" w14:textId="77777777" w:rsidR="000B47C7" w:rsidRDefault="000B47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CF66" w14:textId="77777777" w:rsidR="00710A62" w:rsidRDefault="00710A62" w:rsidP="00A71514">
    <w:pPr>
      <w:pStyle w:val="Header"/>
      <w:rPr>
        <w:rFonts w:eastAsia="Times New Roman" w:cs="Open Sans"/>
        <w:b/>
        <w:sz w:val="36"/>
        <w:lang w:eastAsia="en-AU"/>
      </w:rPr>
    </w:pPr>
  </w:p>
  <w:p w14:paraId="76A5D0A7" w14:textId="33C34B8E" w:rsidR="000B47C7" w:rsidRDefault="00271D40" w:rsidP="00A71514">
    <w:pPr>
      <w:pStyle w:val="Header"/>
      <w:rPr>
        <w:rFonts w:eastAsia="Times New Roman" w:cs="Open Sans"/>
        <w:b/>
        <w:sz w:val="36"/>
        <w:lang w:eastAsia="en-AU"/>
      </w:rPr>
    </w:pPr>
    <w:r>
      <w:rPr>
        <w:rFonts w:eastAsia="Times New Roman" w:cs="Open Sans"/>
        <w:b/>
        <w:sz w:val="36"/>
        <w:lang w:eastAsia="en-AU"/>
      </w:rPr>
      <w:t>Investment Advice</w:t>
    </w:r>
  </w:p>
  <w:p w14:paraId="524292AC" w14:textId="77777777" w:rsidR="000B47C7" w:rsidRDefault="000B47C7" w:rsidP="00A71514">
    <w:pPr>
      <w:pStyle w:val="Header"/>
      <w:rPr>
        <w:rFonts w:eastAsia="Times New Roman" w:cs="Open Sans"/>
        <w:b/>
        <w:i/>
        <w:lang w:eastAsia="en-AU"/>
      </w:rPr>
    </w:pPr>
  </w:p>
  <w:p w14:paraId="5F01C200" w14:textId="77777777" w:rsidR="000B47C7" w:rsidRPr="00C12368" w:rsidRDefault="000B47C7" w:rsidP="00A71514">
    <w:pPr>
      <w:pStyle w:val="Header"/>
      <w:rPr>
        <w:rFonts w:eastAsia="Times New Roman" w:cs="Open Sans"/>
        <w:b/>
        <w:i/>
        <w:lang w:eastAsia="en-AU"/>
      </w:rPr>
    </w:pPr>
    <w:r w:rsidRPr="001A7853">
      <w:rPr>
        <w:rFonts w:eastAsia="Times New Roman" w:cs="Open Sans"/>
        <w:b/>
        <w:i/>
        <w:lang w:eastAsia="en-AU"/>
      </w:rPr>
      <w:t>InterPrac Business Princip</w:t>
    </w:r>
    <w:r>
      <w:rPr>
        <w:rFonts w:eastAsia="Times New Roman" w:cs="Open Sans"/>
        <w:b/>
        <w:i/>
        <w:lang w:eastAsia="en-AU"/>
      </w:rPr>
      <w:t>le</w:t>
    </w:r>
  </w:p>
  <w:tbl>
    <w:tblPr>
      <w:tblStyle w:val="TableGrid"/>
      <w:tblW w:w="0" w:type="auto"/>
      <w:tblInd w:w="-5" w:type="dxa"/>
      <w:tblBorders>
        <w:top w:val="dotted" w:sz="4" w:space="0" w:color="333333"/>
        <w:left w:val="dotted" w:sz="4" w:space="0" w:color="333333"/>
        <w:bottom w:val="dotted" w:sz="4" w:space="0" w:color="333333"/>
        <w:right w:val="dotted" w:sz="4" w:space="0" w:color="333333"/>
        <w:insideH w:val="dotted" w:sz="4" w:space="0" w:color="333333"/>
        <w:insideV w:val="dotted" w:sz="4" w:space="0" w:color="333333"/>
      </w:tblBorders>
      <w:tblLook w:val="04A0" w:firstRow="1" w:lastRow="0" w:firstColumn="1" w:lastColumn="0" w:noHBand="0" w:noVBand="1"/>
    </w:tblPr>
    <w:tblGrid>
      <w:gridCol w:w="1597"/>
      <w:gridCol w:w="5700"/>
    </w:tblGrid>
    <w:tr w:rsidR="000B47C7" w:rsidRPr="00A7170C" w14:paraId="56E2674B" w14:textId="77777777" w:rsidTr="000B47C7">
      <w:trPr>
        <w:trHeight w:val="252"/>
      </w:trPr>
      <w:tc>
        <w:tcPr>
          <w:tcW w:w="1597" w:type="dxa"/>
          <w:vAlign w:val="center"/>
        </w:tcPr>
        <w:p w14:paraId="617C5AF5" w14:textId="77777777" w:rsidR="000B47C7" w:rsidRPr="008627B5" w:rsidRDefault="000B47C7" w:rsidP="00A71514">
          <w:pPr>
            <w:pStyle w:val="Header"/>
            <w:rPr>
              <w:rFonts w:cs="Open Sans"/>
              <w:sz w:val="16"/>
              <w:szCs w:val="20"/>
            </w:rPr>
          </w:pPr>
          <w:r w:rsidRPr="008627B5">
            <w:rPr>
              <w:rFonts w:cs="Open Sans"/>
              <w:sz w:val="16"/>
              <w:szCs w:val="20"/>
            </w:rPr>
            <w:t>Date</w:t>
          </w:r>
        </w:p>
      </w:tc>
      <w:tc>
        <w:tcPr>
          <w:tcW w:w="5700" w:type="dxa"/>
          <w:vAlign w:val="center"/>
        </w:tcPr>
        <w:p w14:paraId="7ABA447D" w14:textId="0D05134B" w:rsidR="000B47C7" w:rsidRPr="008627B5" w:rsidRDefault="00DE6DC2" w:rsidP="00A71514">
          <w:pPr>
            <w:pStyle w:val="Header"/>
            <w:rPr>
              <w:rFonts w:cs="Open Sans"/>
              <w:sz w:val="16"/>
              <w:szCs w:val="20"/>
            </w:rPr>
          </w:pPr>
          <w:r>
            <w:rPr>
              <w:rFonts w:cs="Open Sans"/>
              <w:sz w:val="16"/>
              <w:szCs w:val="20"/>
            </w:rPr>
            <w:t>30</w:t>
          </w:r>
          <w:r w:rsidR="000B47C7" w:rsidRPr="00BC7834">
            <w:rPr>
              <w:rFonts w:cs="Open Sans"/>
              <w:sz w:val="16"/>
              <w:szCs w:val="20"/>
              <w:vertAlign w:val="superscript"/>
            </w:rPr>
            <w:t>th</w:t>
          </w:r>
          <w:r w:rsidR="000B47C7">
            <w:rPr>
              <w:rFonts w:cs="Open Sans"/>
              <w:sz w:val="16"/>
              <w:szCs w:val="20"/>
            </w:rPr>
            <w:t xml:space="preserve"> </w:t>
          </w:r>
          <w:r w:rsidR="006C060B">
            <w:rPr>
              <w:rFonts w:cs="Open Sans"/>
              <w:sz w:val="16"/>
              <w:szCs w:val="20"/>
            </w:rPr>
            <w:t>Ju</w:t>
          </w:r>
          <w:r w:rsidR="003F24FB">
            <w:rPr>
              <w:rFonts w:cs="Open Sans"/>
              <w:sz w:val="16"/>
              <w:szCs w:val="20"/>
            </w:rPr>
            <w:t>ly</w:t>
          </w:r>
          <w:r w:rsidR="000B47C7">
            <w:rPr>
              <w:rFonts w:cs="Open Sans"/>
              <w:sz w:val="16"/>
              <w:szCs w:val="20"/>
            </w:rPr>
            <w:t xml:space="preserve"> 20</w:t>
          </w:r>
          <w:r w:rsidR="006C060B">
            <w:rPr>
              <w:rFonts w:cs="Open Sans"/>
              <w:sz w:val="16"/>
              <w:szCs w:val="20"/>
            </w:rPr>
            <w:t>20</w:t>
          </w:r>
        </w:p>
      </w:tc>
    </w:tr>
    <w:tr w:rsidR="000B47C7" w:rsidRPr="00A7170C" w14:paraId="5C1C4B28" w14:textId="77777777" w:rsidTr="000B47C7">
      <w:trPr>
        <w:trHeight w:val="252"/>
      </w:trPr>
      <w:tc>
        <w:tcPr>
          <w:tcW w:w="1597" w:type="dxa"/>
          <w:vAlign w:val="center"/>
        </w:tcPr>
        <w:p w14:paraId="46A19A10" w14:textId="77777777" w:rsidR="000B47C7" w:rsidRPr="008627B5" w:rsidRDefault="000B47C7" w:rsidP="00A71514">
          <w:pPr>
            <w:pStyle w:val="Header"/>
            <w:rPr>
              <w:rFonts w:cs="Open Sans"/>
              <w:sz w:val="16"/>
              <w:szCs w:val="20"/>
            </w:rPr>
          </w:pPr>
          <w:r w:rsidRPr="008627B5">
            <w:rPr>
              <w:rFonts w:cs="Open Sans"/>
              <w:sz w:val="16"/>
              <w:szCs w:val="20"/>
            </w:rPr>
            <w:t>Version</w:t>
          </w:r>
        </w:p>
      </w:tc>
      <w:tc>
        <w:tcPr>
          <w:tcW w:w="5700" w:type="dxa"/>
          <w:vAlign w:val="center"/>
        </w:tcPr>
        <w:p w14:paraId="40A02E48" w14:textId="26D0D69F" w:rsidR="000B47C7" w:rsidRPr="008627B5" w:rsidRDefault="000B47C7" w:rsidP="00A71514">
          <w:pPr>
            <w:pStyle w:val="Header"/>
            <w:rPr>
              <w:rFonts w:cs="Open Sans"/>
              <w:sz w:val="16"/>
              <w:szCs w:val="20"/>
            </w:rPr>
          </w:pPr>
          <w:r w:rsidRPr="008627B5">
            <w:rPr>
              <w:rFonts w:cs="Open Sans"/>
              <w:sz w:val="16"/>
              <w:szCs w:val="20"/>
            </w:rPr>
            <w:t>1.</w:t>
          </w:r>
          <w:r w:rsidR="00DE6DC2">
            <w:rPr>
              <w:rFonts w:cs="Open Sans"/>
              <w:sz w:val="16"/>
              <w:szCs w:val="20"/>
            </w:rPr>
            <w:t>2</w:t>
          </w:r>
        </w:p>
      </w:tc>
    </w:tr>
    <w:tr w:rsidR="000B47C7" w:rsidRPr="00A7170C" w14:paraId="42A8CDF8" w14:textId="77777777" w:rsidTr="000B47C7">
      <w:trPr>
        <w:trHeight w:val="252"/>
      </w:trPr>
      <w:tc>
        <w:tcPr>
          <w:tcW w:w="1597" w:type="dxa"/>
          <w:vAlign w:val="center"/>
        </w:tcPr>
        <w:p w14:paraId="447C36EA" w14:textId="77777777" w:rsidR="000B47C7" w:rsidRPr="008627B5" w:rsidRDefault="000B47C7" w:rsidP="00A71514">
          <w:pPr>
            <w:pStyle w:val="Header"/>
            <w:rPr>
              <w:rFonts w:cs="Open Sans"/>
              <w:sz w:val="16"/>
              <w:szCs w:val="20"/>
            </w:rPr>
          </w:pPr>
          <w:r w:rsidRPr="008627B5">
            <w:rPr>
              <w:rFonts w:cs="Open Sans"/>
              <w:sz w:val="16"/>
              <w:szCs w:val="20"/>
            </w:rPr>
            <w:t>Description</w:t>
          </w:r>
        </w:p>
      </w:tc>
      <w:tc>
        <w:tcPr>
          <w:tcW w:w="5700" w:type="dxa"/>
          <w:vAlign w:val="center"/>
        </w:tcPr>
        <w:p w14:paraId="5D312D6E" w14:textId="391FD64B" w:rsidR="000B47C7" w:rsidRPr="002449A5" w:rsidRDefault="00271D40" w:rsidP="002449A5">
          <w:pPr>
            <w:pStyle w:val="Header"/>
            <w:rPr>
              <w:rFonts w:cs="Open Sans"/>
              <w:sz w:val="16"/>
              <w:szCs w:val="20"/>
            </w:rPr>
          </w:pPr>
          <w:r w:rsidRPr="002449A5">
            <w:rPr>
              <w:rFonts w:cs="Open Sans"/>
              <w:sz w:val="16"/>
              <w:szCs w:val="20"/>
            </w:rPr>
            <w:t>Research, Asset Allocation, RPAR, Platforms, Hedge Funds, Unlisted Property, Structured Products, Hybrids ETF’s LIC’s Managed Funds and Listed Shares. Direct property</w:t>
          </w:r>
        </w:p>
      </w:tc>
    </w:tr>
    <w:tr w:rsidR="000B47C7" w:rsidRPr="00A7170C" w14:paraId="27DD7891" w14:textId="77777777" w:rsidTr="000B47C7">
      <w:trPr>
        <w:trHeight w:val="252"/>
      </w:trPr>
      <w:tc>
        <w:tcPr>
          <w:tcW w:w="1597" w:type="dxa"/>
          <w:vAlign w:val="center"/>
        </w:tcPr>
        <w:p w14:paraId="60F28A58" w14:textId="77777777" w:rsidR="000B47C7" w:rsidRPr="008627B5" w:rsidRDefault="000B47C7" w:rsidP="00A71514">
          <w:pPr>
            <w:pStyle w:val="Header"/>
            <w:rPr>
              <w:rFonts w:cs="Open Sans"/>
              <w:sz w:val="16"/>
              <w:szCs w:val="20"/>
            </w:rPr>
          </w:pPr>
          <w:r w:rsidRPr="008627B5">
            <w:rPr>
              <w:rFonts w:cs="Open Sans"/>
              <w:sz w:val="16"/>
              <w:szCs w:val="20"/>
            </w:rPr>
            <w:t>Author</w:t>
          </w:r>
        </w:p>
      </w:tc>
      <w:tc>
        <w:tcPr>
          <w:tcW w:w="5700" w:type="dxa"/>
          <w:vAlign w:val="center"/>
        </w:tcPr>
        <w:p w14:paraId="770221F4" w14:textId="7A539F32" w:rsidR="000B47C7" w:rsidRPr="008627B5" w:rsidRDefault="00710A62" w:rsidP="002449A5">
          <w:pPr>
            <w:pStyle w:val="Header"/>
            <w:rPr>
              <w:rFonts w:cs="Open Sans"/>
              <w:sz w:val="16"/>
              <w:szCs w:val="20"/>
            </w:rPr>
          </w:pPr>
          <w:r>
            <w:rPr>
              <w:rFonts w:cs="Open Sans"/>
              <w:sz w:val="16"/>
              <w:szCs w:val="20"/>
            </w:rPr>
            <w:t>Compliance Team</w:t>
          </w:r>
        </w:p>
      </w:tc>
    </w:tr>
  </w:tbl>
  <w:p w14:paraId="76670DF1" w14:textId="77777777" w:rsidR="000B47C7" w:rsidRDefault="000B47C7" w:rsidP="00A71514">
    <w:pPr>
      <w:pStyle w:val="Header"/>
      <w:rPr>
        <w:sz w:val="28"/>
        <w:szCs w:val="28"/>
      </w:rPr>
    </w:pPr>
  </w:p>
  <w:p w14:paraId="7EDB1803" w14:textId="77777777" w:rsidR="000B47C7" w:rsidRDefault="000B4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4473" w14:textId="77777777" w:rsidR="000B47C7" w:rsidRDefault="000B47C7">
    <w:pPr>
      <w:pStyle w:val="Header"/>
      <w:rPr>
        <w:sz w:val="28"/>
        <w:szCs w:val="28"/>
      </w:rPr>
    </w:pPr>
  </w:p>
  <w:p w14:paraId="5D18DA8C" w14:textId="77777777" w:rsidR="000B47C7" w:rsidRDefault="000B47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D01C3"/>
    <w:multiLevelType w:val="hybridMultilevel"/>
    <w:tmpl w:val="7A0E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F2969"/>
    <w:multiLevelType w:val="hybridMultilevel"/>
    <w:tmpl w:val="92FC5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5270B0"/>
    <w:multiLevelType w:val="hybridMultilevel"/>
    <w:tmpl w:val="4918B1A8"/>
    <w:lvl w:ilvl="0" w:tplc="FE9C4F9A">
      <w:start w:val="2"/>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56520"/>
    <w:multiLevelType w:val="hybridMultilevel"/>
    <w:tmpl w:val="E084C59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4E3F4A"/>
    <w:multiLevelType w:val="hybridMultilevel"/>
    <w:tmpl w:val="9B9A0188"/>
    <w:lvl w:ilvl="0" w:tplc="B8D40F2A">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C97C0E"/>
    <w:multiLevelType w:val="hybridMultilevel"/>
    <w:tmpl w:val="D56E822C"/>
    <w:lvl w:ilvl="0" w:tplc="C7CC585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1E174F"/>
    <w:multiLevelType w:val="hybridMultilevel"/>
    <w:tmpl w:val="354CE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8166C"/>
    <w:multiLevelType w:val="hybridMultilevel"/>
    <w:tmpl w:val="F33E290E"/>
    <w:lvl w:ilvl="0" w:tplc="FE9431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AD54155"/>
    <w:multiLevelType w:val="hybridMultilevel"/>
    <w:tmpl w:val="4E66052A"/>
    <w:lvl w:ilvl="0" w:tplc="CBEEFCAE">
      <w:start w:val="4"/>
      <w:numFmt w:val="bullet"/>
      <w:lvlText w:val="-"/>
      <w:lvlJc w:val="left"/>
      <w:pPr>
        <w:ind w:left="720" w:hanging="360"/>
      </w:pPr>
      <w:rPr>
        <w:rFonts w:ascii="Open Sans" w:eastAsiaTheme="minorHAnsi"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810D36"/>
    <w:multiLevelType w:val="hybridMultilevel"/>
    <w:tmpl w:val="C14E89A6"/>
    <w:lvl w:ilvl="0" w:tplc="77FA277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B120F"/>
    <w:multiLevelType w:val="multilevel"/>
    <w:tmpl w:val="8F4CE5A4"/>
    <w:lvl w:ilvl="0">
      <w:start w:val="3"/>
      <w:numFmt w:val="decimal"/>
      <w:lvlText w:val="%1"/>
      <w:lvlJc w:val="left"/>
      <w:pPr>
        <w:ind w:left="360" w:hanging="360"/>
      </w:pPr>
      <w:rPr>
        <w:rFonts w:hint="default"/>
      </w:rPr>
    </w:lvl>
    <w:lvl w:ilvl="1">
      <w:start w:val="1"/>
      <w:numFmt w:val="decimal"/>
      <w:lvlText w:val="%1.%2"/>
      <w:lvlJc w:val="left"/>
      <w:pPr>
        <w:ind w:left="551" w:hanging="360"/>
      </w:pPr>
      <w:rPr>
        <w:rFonts w:hint="default"/>
      </w:rPr>
    </w:lvl>
    <w:lvl w:ilvl="2">
      <w:start w:val="1"/>
      <w:numFmt w:val="bullet"/>
      <w:lvlText w:val=""/>
      <w:lvlJc w:val="left"/>
      <w:pPr>
        <w:ind w:left="1102" w:hanging="720"/>
      </w:pPr>
      <w:rPr>
        <w:rFonts w:ascii="Symbol" w:hAnsi="Symbol" w:hint="default"/>
      </w:rPr>
    </w:lvl>
    <w:lvl w:ilvl="3">
      <w:start w:val="1"/>
      <w:numFmt w:val="decimal"/>
      <w:lvlText w:val="%1.%2.%3.%4"/>
      <w:lvlJc w:val="left"/>
      <w:pPr>
        <w:ind w:left="1293" w:hanging="720"/>
      </w:pPr>
      <w:rPr>
        <w:rFonts w:hint="default"/>
      </w:rPr>
    </w:lvl>
    <w:lvl w:ilvl="4">
      <w:start w:val="1"/>
      <w:numFmt w:val="decimal"/>
      <w:lvlText w:val="%1.%2.%3.%4.%5"/>
      <w:lvlJc w:val="left"/>
      <w:pPr>
        <w:ind w:left="1844" w:hanging="108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3328" w:hanging="1800"/>
      </w:pPr>
      <w:rPr>
        <w:rFonts w:hint="default"/>
      </w:rPr>
    </w:lvl>
  </w:abstractNum>
  <w:abstractNum w:abstractNumId="11" w15:restartNumberingAfterBreak="0">
    <w:nsid w:val="41755F9E"/>
    <w:multiLevelType w:val="multilevel"/>
    <w:tmpl w:val="EAF673FC"/>
    <w:lvl w:ilvl="0">
      <w:start w:val="3"/>
      <w:numFmt w:val="decimal"/>
      <w:lvlText w:val="%1"/>
      <w:lvlJc w:val="left"/>
      <w:pPr>
        <w:ind w:left="360" w:hanging="360"/>
      </w:pPr>
      <w:rPr>
        <w:rFonts w:hint="default"/>
      </w:rPr>
    </w:lvl>
    <w:lvl w:ilvl="1">
      <w:start w:val="1"/>
      <w:numFmt w:val="decimal"/>
      <w:lvlText w:val="%1.%2"/>
      <w:lvlJc w:val="left"/>
      <w:pPr>
        <w:ind w:left="551" w:hanging="360"/>
      </w:pPr>
      <w:rPr>
        <w:rFonts w:hint="default"/>
      </w:rPr>
    </w:lvl>
    <w:lvl w:ilvl="2">
      <w:start w:val="1"/>
      <w:numFmt w:val="bullet"/>
      <w:lvlText w:val=""/>
      <w:lvlJc w:val="left"/>
      <w:pPr>
        <w:ind w:left="1102" w:hanging="720"/>
      </w:pPr>
      <w:rPr>
        <w:rFonts w:ascii="Symbol" w:hAnsi="Symbol" w:hint="default"/>
      </w:rPr>
    </w:lvl>
    <w:lvl w:ilvl="3">
      <w:start w:val="1"/>
      <w:numFmt w:val="bullet"/>
      <w:lvlText w:val="o"/>
      <w:lvlJc w:val="left"/>
      <w:pPr>
        <w:ind w:left="1293" w:hanging="720"/>
      </w:pPr>
      <w:rPr>
        <w:rFonts w:ascii="Courier New" w:hAnsi="Courier New" w:cs="Courier New" w:hint="default"/>
      </w:rPr>
    </w:lvl>
    <w:lvl w:ilvl="4">
      <w:start w:val="1"/>
      <w:numFmt w:val="decimal"/>
      <w:lvlText w:val="%1.%2.%3.%4.%5"/>
      <w:lvlJc w:val="left"/>
      <w:pPr>
        <w:ind w:left="1844" w:hanging="108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3328" w:hanging="1800"/>
      </w:pPr>
      <w:rPr>
        <w:rFonts w:hint="default"/>
      </w:rPr>
    </w:lvl>
  </w:abstractNum>
  <w:abstractNum w:abstractNumId="12" w15:restartNumberingAfterBreak="0">
    <w:nsid w:val="47CD4C81"/>
    <w:multiLevelType w:val="hybridMultilevel"/>
    <w:tmpl w:val="92FC5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263A76"/>
    <w:multiLevelType w:val="hybridMultilevel"/>
    <w:tmpl w:val="38849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003CF2"/>
    <w:multiLevelType w:val="hybridMultilevel"/>
    <w:tmpl w:val="7F1825DE"/>
    <w:lvl w:ilvl="0" w:tplc="BFDA9AEA">
      <w:start w:val="8"/>
      <w:numFmt w:val="bullet"/>
      <w:lvlText w:val="-"/>
      <w:lvlJc w:val="left"/>
      <w:pPr>
        <w:ind w:left="720" w:hanging="36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CD016A"/>
    <w:multiLevelType w:val="hybridMultilevel"/>
    <w:tmpl w:val="749E5E70"/>
    <w:lvl w:ilvl="0" w:tplc="FDD694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2B36EB0"/>
    <w:multiLevelType w:val="hybridMultilevel"/>
    <w:tmpl w:val="27C4FCB2"/>
    <w:lvl w:ilvl="0" w:tplc="0DBADE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A4047B"/>
    <w:multiLevelType w:val="hybridMultilevel"/>
    <w:tmpl w:val="1E121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2138AB"/>
    <w:multiLevelType w:val="multilevel"/>
    <w:tmpl w:val="8F4CE5A4"/>
    <w:lvl w:ilvl="0">
      <w:start w:val="3"/>
      <w:numFmt w:val="decimal"/>
      <w:lvlText w:val="%1"/>
      <w:lvlJc w:val="left"/>
      <w:pPr>
        <w:ind w:left="360" w:hanging="360"/>
      </w:pPr>
      <w:rPr>
        <w:rFonts w:hint="default"/>
      </w:rPr>
    </w:lvl>
    <w:lvl w:ilvl="1">
      <w:start w:val="1"/>
      <w:numFmt w:val="decimal"/>
      <w:lvlText w:val="%1.%2"/>
      <w:lvlJc w:val="left"/>
      <w:pPr>
        <w:ind w:left="551" w:hanging="360"/>
      </w:pPr>
      <w:rPr>
        <w:rFonts w:hint="default"/>
      </w:rPr>
    </w:lvl>
    <w:lvl w:ilvl="2">
      <w:start w:val="1"/>
      <w:numFmt w:val="bullet"/>
      <w:lvlText w:val=""/>
      <w:lvlJc w:val="left"/>
      <w:pPr>
        <w:ind w:left="1102" w:hanging="720"/>
      </w:pPr>
      <w:rPr>
        <w:rFonts w:ascii="Symbol" w:hAnsi="Symbol" w:hint="default"/>
      </w:rPr>
    </w:lvl>
    <w:lvl w:ilvl="3">
      <w:start w:val="1"/>
      <w:numFmt w:val="decimal"/>
      <w:lvlText w:val="%1.%2.%3.%4"/>
      <w:lvlJc w:val="left"/>
      <w:pPr>
        <w:ind w:left="1293" w:hanging="720"/>
      </w:pPr>
      <w:rPr>
        <w:rFonts w:hint="default"/>
      </w:rPr>
    </w:lvl>
    <w:lvl w:ilvl="4">
      <w:start w:val="1"/>
      <w:numFmt w:val="decimal"/>
      <w:lvlText w:val="%1.%2.%3.%4.%5"/>
      <w:lvlJc w:val="left"/>
      <w:pPr>
        <w:ind w:left="1844" w:hanging="1080"/>
      </w:pPr>
      <w:rPr>
        <w:rFonts w:hint="default"/>
      </w:rPr>
    </w:lvl>
    <w:lvl w:ilvl="5">
      <w:start w:val="1"/>
      <w:numFmt w:val="decimal"/>
      <w:lvlText w:val="%1.%2.%3.%4.%5.%6"/>
      <w:lvlJc w:val="left"/>
      <w:pPr>
        <w:ind w:left="2035" w:hanging="108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2777" w:hanging="1440"/>
      </w:pPr>
      <w:rPr>
        <w:rFonts w:hint="default"/>
      </w:rPr>
    </w:lvl>
    <w:lvl w:ilvl="8">
      <w:start w:val="1"/>
      <w:numFmt w:val="decimal"/>
      <w:lvlText w:val="%1.%2.%3.%4.%5.%6.%7.%8.%9"/>
      <w:lvlJc w:val="left"/>
      <w:pPr>
        <w:ind w:left="3328" w:hanging="1800"/>
      </w:pPr>
      <w:rPr>
        <w:rFonts w:hint="default"/>
      </w:rPr>
    </w:lvl>
  </w:abstractNum>
  <w:abstractNum w:abstractNumId="19" w15:restartNumberingAfterBreak="0">
    <w:nsid w:val="67E474FE"/>
    <w:multiLevelType w:val="hybridMultilevel"/>
    <w:tmpl w:val="275E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845B65"/>
    <w:multiLevelType w:val="hybridMultilevel"/>
    <w:tmpl w:val="D6006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CE60C97"/>
    <w:multiLevelType w:val="hybridMultilevel"/>
    <w:tmpl w:val="3B00CCD2"/>
    <w:lvl w:ilvl="0" w:tplc="75C2325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8F4C4C"/>
    <w:multiLevelType w:val="hybridMultilevel"/>
    <w:tmpl w:val="8C6C76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8C1CF5"/>
    <w:multiLevelType w:val="hybridMultilevel"/>
    <w:tmpl w:val="58DA367C"/>
    <w:lvl w:ilvl="0" w:tplc="5D423130">
      <w:numFmt w:val="bullet"/>
      <w:lvlText w:val="-"/>
      <w:lvlJc w:val="left"/>
      <w:pPr>
        <w:ind w:left="720" w:hanging="360"/>
      </w:pPr>
      <w:rPr>
        <w:rFonts w:ascii="Open Sans" w:eastAsiaTheme="minorHAnsi" w:hAnsi="Open Sans" w:cs="Open Sa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A72E51"/>
    <w:multiLevelType w:val="hybridMultilevel"/>
    <w:tmpl w:val="92E4C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761950"/>
    <w:multiLevelType w:val="hybridMultilevel"/>
    <w:tmpl w:val="18D29B9E"/>
    <w:lvl w:ilvl="0" w:tplc="1F126C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D9B6893"/>
    <w:multiLevelType w:val="multilevel"/>
    <w:tmpl w:val="5200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3"/>
  </w:num>
  <w:num w:numId="4">
    <w:abstractNumId w:val="22"/>
  </w:num>
  <w:num w:numId="5">
    <w:abstractNumId w:val="26"/>
  </w:num>
  <w:num w:numId="6">
    <w:abstractNumId w:val="9"/>
  </w:num>
  <w:num w:numId="7">
    <w:abstractNumId w:val="19"/>
  </w:num>
  <w:num w:numId="8">
    <w:abstractNumId w:val="18"/>
  </w:num>
  <w:num w:numId="9">
    <w:abstractNumId w:val="10"/>
  </w:num>
  <w:num w:numId="10">
    <w:abstractNumId w:val="11"/>
  </w:num>
  <w:num w:numId="11">
    <w:abstractNumId w:val="6"/>
  </w:num>
  <w:num w:numId="12">
    <w:abstractNumId w:val="12"/>
  </w:num>
  <w:num w:numId="13">
    <w:abstractNumId w:val="1"/>
  </w:num>
  <w:num w:numId="14">
    <w:abstractNumId w:val="14"/>
  </w:num>
  <w:num w:numId="15">
    <w:abstractNumId w:val="8"/>
  </w:num>
  <w:num w:numId="16">
    <w:abstractNumId w:val="23"/>
  </w:num>
  <w:num w:numId="17">
    <w:abstractNumId w:val="24"/>
  </w:num>
  <w:num w:numId="18">
    <w:abstractNumId w:val="7"/>
  </w:num>
  <w:num w:numId="19">
    <w:abstractNumId w:val="25"/>
  </w:num>
  <w:num w:numId="20">
    <w:abstractNumId w:val="15"/>
  </w:num>
  <w:num w:numId="21">
    <w:abstractNumId w:val="2"/>
  </w:num>
  <w:num w:numId="22">
    <w:abstractNumId w:val="17"/>
  </w:num>
  <w:num w:numId="23">
    <w:abstractNumId w:val="16"/>
  </w:num>
  <w:num w:numId="24">
    <w:abstractNumId w:val="21"/>
  </w:num>
  <w:num w:numId="25">
    <w:abstractNumId w:val="5"/>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53"/>
    <w:rsid w:val="000014B5"/>
    <w:rsid w:val="00001D0C"/>
    <w:rsid w:val="00001E47"/>
    <w:rsid w:val="0000601B"/>
    <w:rsid w:val="0002422E"/>
    <w:rsid w:val="0002490D"/>
    <w:rsid w:val="00024D60"/>
    <w:rsid w:val="000331AD"/>
    <w:rsid w:val="00042CD0"/>
    <w:rsid w:val="00052166"/>
    <w:rsid w:val="000531C1"/>
    <w:rsid w:val="0006488B"/>
    <w:rsid w:val="00064A44"/>
    <w:rsid w:val="00066AD3"/>
    <w:rsid w:val="000725F3"/>
    <w:rsid w:val="00076DFA"/>
    <w:rsid w:val="000848E5"/>
    <w:rsid w:val="00086C85"/>
    <w:rsid w:val="00090220"/>
    <w:rsid w:val="00090F48"/>
    <w:rsid w:val="0009184A"/>
    <w:rsid w:val="00092CE3"/>
    <w:rsid w:val="00095AB0"/>
    <w:rsid w:val="000A1036"/>
    <w:rsid w:val="000B47C7"/>
    <w:rsid w:val="000B51E7"/>
    <w:rsid w:val="000B5FF5"/>
    <w:rsid w:val="000C0BE0"/>
    <w:rsid w:val="000D1C91"/>
    <w:rsid w:val="000D2348"/>
    <w:rsid w:val="000E62FD"/>
    <w:rsid w:val="000E7EC3"/>
    <w:rsid w:val="000F3994"/>
    <w:rsid w:val="000F39E8"/>
    <w:rsid w:val="00102CE9"/>
    <w:rsid w:val="0011632F"/>
    <w:rsid w:val="00120805"/>
    <w:rsid w:val="00121865"/>
    <w:rsid w:val="00121AD2"/>
    <w:rsid w:val="00122A90"/>
    <w:rsid w:val="001252ED"/>
    <w:rsid w:val="00130229"/>
    <w:rsid w:val="00132110"/>
    <w:rsid w:val="00140A71"/>
    <w:rsid w:val="001410A2"/>
    <w:rsid w:val="00153E14"/>
    <w:rsid w:val="00157490"/>
    <w:rsid w:val="0016037F"/>
    <w:rsid w:val="00160AD1"/>
    <w:rsid w:val="00166DA6"/>
    <w:rsid w:val="00167008"/>
    <w:rsid w:val="001675D9"/>
    <w:rsid w:val="001709FA"/>
    <w:rsid w:val="00192289"/>
    <w:rsid w:val="001A08E8"/>
    <w:rsid w:val="001A16BA"/>
    <w:rsid w:val="001A1735"/>
    <w:rsid w:val="001A4DAF"/>
    <w:rsid w:val="001A7853"/>
    <w:rsid w:val="001B59BF"/>
    <w:rsid w:val="001C06A8"/>
    <w:rsid w:val="001C21D8"/>
    <w:rsid w:val="001C2A88"/>
    <w:rsid w:val="001C7715"/>
    <w:rsid w:val="001E0BDC"/>
    <w:rsid w:val="001E101A"/>
    <w:rsid w:val="001E64E7"/>
    <w:rsid w:val="001F3774"/>
    <w:rsid w:val="00201185"/>
    <w:rsid w:val="00204B5C"/>
    <w:rsid w:val="00211165"/>
    <w:rsid w:val="00213B76"/>
    <w:rsid w:val="00220290"/>
    <w:rsid w:val="00220A70"/>
    <w:rsid w:val="00227990"/>
    <w:rsid w:val="00227F1E"/>
    <w:rsid w:val="00236097"/>
    <w:rsid w:val="00240461"/>
    <w:rsid w:val="002449A5"/>
    <w:rsid w:val="00253BD4"/>
    <w:rsid w:val="00254327"/>
    <w:rsid w:val="002564E4"/>
    <w:rsid w:val="00260737"/>
    <w:rsid w:val="0026534E"/>
    <w:rsid w:val="00270A94"/>
    <w:rsid w:val="00271D40"/>
    <w:rsid w:val="002778FA"/>
    <w:rsid w:val="00282E6C"/>
    <w:rsid w:val="00291F1D"/>
    <w:rsid w:val="002951ED"/>
    <w:rsid w:val="00296470"/>
    <w:rsid w:val="00296C12"/>
    <w:rsid w:val="002A1509"/>
    <w:rsid w:val="002B428C"/>
    <w:rsid w:val="002C4139"/>
    <w:rsid w:val="002E30D5"/>
    <w:rsid w:val="002E419B"/>
    <w:rsid w:val="002F0A1C"/>
    <w:rsid w:val="002F1BC4"/>
    <w:rsid w:val="00304EBD"/>
    <w:rsid w:val="00304FF8"/>
    <w:rsid w:val="003115F0"/>
    <w:rsid w:val="00311B8D"/>
    <w:rsid w:val="00326BCD"/>
    <w:rsid w:val="00327BF5"/>
    <w:rsid w:val="003343AA"/>
    <w:rsid w:val="00334A2C"/>
    <w:rsid w:val="00335082"/>
    <w:rsid w:val="003400E2"/>
    <w:rsid w:val="00354E87"/>
    <w:rsid w:val="00361C09"/>
    <w:rsid w:val="00362D07"/>
    <w:rsid w:val="00365798"/>
    <w:rsid w:val="003700AE"/>
    <w:rsid w:val="0037117F"/>
    <w:rsid w:val="00373AF3"/>
    <w:rsid w:val="003765D8"/>
    <w:rsid w:val="00380A12"/>
    <w:rsid w:val="00382532"/>
    <w:rsid w:val="0039455A"/>
    <w:rsid w:val="003965F0"/>
    <w:rsid w:val="003A1CED"/>
    <w:rsid w:val="003B4894"/>
    <w:rsid w:val="003C2131"/>
    <w:rsid w:val="003D0798"/>
    <w:rsid w:val="003E03E3"/>
    <w:rsid w:val="003F122A"/>
    <w:rsid w:val="003F24FB"/>
    <w:rsid w:val="004047C0"/>
    <w:rsid w:val="0041140F"/>
    <w:rsid w:val="00415DA4"/>
    <w:rsid w:val="004175A8"/>
    <w:rsid w:val="00426782"/>
    <w:rsid w:val="00437D0D"/>
    <w:rsid w:val="00451BF0"/>
    <w:rsid w:val="00453D21"/>
    <w:rsid w:val="004602D8"/>
    <w:rsid w:val="00470759"/>
    <w:rsid w:val="004804B6"/>
    <w:rsid w:val="00482199"/>
    <w:rsid w:val="00483117"/>
    <w:rsid w:val="00483D32"/>
    <w:rsid w:val="00485E4E"/>
    <w:rsid w:val="00491AAC"/>
    <w:rsid w:val="00494BD5"/>
    <w:rsid w:val="004956F0"/>
    <w:rsid w:val="004A0F13"/>
    <w:rsid w:val="004A2B05"/>
    <w:rsid w:val="004B0CD4"/>
    <w:rsid w:val="004B0E35"/>
    <w:rsid w:val="004B3C4F"/>
    <w:rsid w:val="004B7451"/>
    <w:rsid w:val="004C42F0"/>
    <w:rsid w:val="004C5478"/>
    <w:rsid w:val="004C6A42"/>
    <w:rsid w:val="004E1E68"/>
    <w:rsid w:val="004E38D8"/>
    <w:rsid w:val="004E7851"/>
    <w:rsid w:val="004F351B"/>
    <w:rsid w:val="00502247"/>
    <w:rsid w:val="00507AAA"/>
    <w:rsid w:val="00521B07"/>
    <w:rsid w:val="005302C5"/>
    <w:rsid w:val="005326BC"/>
    <w:rsid w:val="00537D04"/>
    <w:rsid w:val="0054398F"/>
    <w:rsid w:val="00546105"/>
    <w:rsid w:val="00560653"/>
    <w:rsid w:val="0056278B"/>
    <w:rsid w:val="00590C63"/>
    <w:rsid w:val="00591C84"/>
    <w:rsid w:val="0059636A"/>
    <w:rsid w:val="005A28BF"/>
    <w:rsid w:val="005B1F6B"/>
    <w:rsid w:val="005B32AB"/>
    <w:rsid w:val="005B49B9"/>
    <w:rsid w:val="005B54DA"/>
    <w:rsid w:val="005C25E2"/>
    <w:rsid w:val="005C38D1"/>
    <w:rsid w:val="005C3BC2"/>
    <w:rsid w:val="005C761D"/>
    <w:rsid w:val="005D1854"/>
    <w:rsid w:val="005E56F6"/>
    <w:rsid w:val="005F430A"/>
    <w:rsid w:val="005F47CA"/>
    <w:rsid w:val="006013AD"/>
    <w:rsid w:val="00606FFC"/>
    <w:rsid w:val="00610619"/>
    <w:rsid w:val="00611005"/>
    <w:rsid w:val="00617432"/>
    <w:rsid w:val="00626C97"/>
    <w:rsid w:val="00630974"/>
    <w:rsid w:val="006458D8"/>
    <w:rsid w:val="006549F0"/>
    <w:rsid w:val="006734C8"/>
    <w:rsid w:val="00691B8D"/>
    <w:rsid w:val="006964E2"/>
    <w:rsid w:val="006B17C2"/>
    <w:rsid w:val="006B77E7"/>
    <w:rsid w:val="006C060B"/>
    <w:rsid w:val="006C06A8"/>
    <w:rsid w:val="006C1F57"/>
    <w:rsid w:val="006C66B1"/>
    <w:rsid w:val="006D0DBD"/>
    <w:rsid w:val="006D3CEC"/>
    <w:rsid w:val="006D50DC"/>
    <w:rsid w:val="006D611F"/>
    <w:rsid w:val="006E1504"/>
    <w:rsid w:val="006E360A"/>
    <w:rsid w:val="006E3666"/>
    <w:rsid w:val="006E3F97"/>
    <w:rsid w:val="006E652C"/>
    <w:rsid w:val="006F2357"/>
    <w:rsid w:val="006F7414"/>
    <w:rsid w:val="00700520"/>
    <w:rsid w:val="0070515B"/>
    <w:rsid w:val="00706BC8"/>
    <w:rsid w:val="00710A62"/>
    <w:rsid w:val="007125D2"/>
    <w:rsid w:val="00715CE7"/>
    <w:rsid w:val="00736794"/>
    <w:rsid w:val="00736963"/>
    <w:rsid w:val="00740390"/>
    <w:rsid w:val="00740FD7"/>
    <w:rsid w:val="00743127"/>
    <w:rsid w:val="007469BA"/>
    <w:rsid w:val="00761FB5"/>
    <w:rsid w:val="00762E7A"/>
    <w:rsid w:val="007646DB"/>
    <w:rsid w:val="00767F46"/>
    <w:rsid w:val="00775D76"/>
    <w:rsid w:val="00785F36"/>
    <w:rsid w:val="007919E4"/>
    <w:rsid w:val="00792809"/>
    <w:rsid w:val="007946C6"/>
    <w:rsid w:val="0079689C"/>
    <w:rsid w:val="007A0E44"/>
    <w:rsid w:val="007A1910"/>
    <w:rsid w:val="007B1476"/>
    <w:rsid w:val="007B2B7F"/>
    <w:rsid w:val="007B5FD8"/>
    <w:rsid w:val="007C7169"/>
    <w:rsid w:val="007C7F64"/>
    <w:rsid w:val="007E100A"/>
    <w:rsid w:val="007F0ADF"/>
    <w:rsid w:val="007F7F08"/>
    <w:rsid w:val="00800650"/>
    <w:rsid w:val="008103C8"/>
    <w:rsid w:val="00816D5B"/>
    <w:rsid w:val="0082554A"/>
    <w:rsid w:val="008271A8"/>
    <w:rsid w:val="0083216F"/>
    <w:rsid w:val="00840FC5"/>
    <w:rsid w:val="0084120F"/>
    <w:rsid w:val="00843DE4"/>
    <w:rsid w:val="00850734"/>
    <w:rsid w:val="008542B7"/>
    <w:rsid w:val="008627B5"/>
    <w:rsid w:val="0086657C"/>
    <w:rsid w:val="00871E43"/>
    <w:rsid w:val="00873D77"/>
    <w:rsid w:val="008749A1"/>
    <w:rsid w:val="00877163"/>
    <w:rsid w:val="008841D0"/>
    <w:rsid w:val="008856AE"/>
    <w:rsid w:val="00890B48"/>
    <w:rsid w:val="00891BCF"/>
    <w:rsid w:val="00896F78"/>
    <w:rsid w:val="008A7541"/>
    <w:rsid w:val="008D15A5"/>
    <w:rsid w:val="008D275C"/>
    <w:rsid w:val="008D724F"/>
    <w:rsid w:val="008E4C19"/>
    <w:rsid w:val="008F0895"/>
    <w:rsid w:val="008F1B43"/>
    <w:rsid w:val="008F28D7"/>
    <w:rsid w:val="00911CEE"/>
    <w:rsid w:val="0091460E"/>
    <w:rsid w:val="00923ACF"/>
    <w:rsid w:val="009241D4"/>
    <w:rsid w:val="00936B9E"/>
    <w:rsid w:val="009403DC"/>
    <w:rsid w:val="009436D2"/>
    <w:rsid w:val="0094783A"/>
    <w:rsid w:val="00947AB5"/>
    <w:rsid w:val="00963C73"/>
    <w:rsid w:val="009660E3"/>
    <w:rsid w:val="00974AC0"/>
    <w:rsid w:val="00984998"/>
    <w:rsid w:val="0099447E"/>
    <w:rsid w:val="0099496C"/>
    <w:rsid w:val="00994ED0"/>
    <w:rsid w:val="009A5B5A"/>
    <w:rsid w:val="009B39F2"/>
    <w:rsid w:val="009B7F70"/>
    <w:rsid w:val="009C0A49"/>
    <w:rsid w:val="009C1076"/>
    <w:rsid w:val="009C1A34"/>
    <w:rsid w:val="009C4A74"/>
    <w:rsid w:val="009C5544"/>
    <w:rsid w:val="009C6A4F"/>
    <w:rsid w:val="009D10BF"/>
    <w:rsid w:val="009D2AB2"/>
    <w:rsid w:val="009E1DC3"/>
    <w:rsid w:val="009E6C1A"/>
    <w:rsid w:val="009E798A"/>
    <w:rsid w:val="00A14919"/>
    <w:rsid w:val="00A14AE0"/>
    <w:rsid w:val="00A15C9F"/>
    <w:rsid w:val="00A16D02"/>
    <w:rsid w:val="00A20097"/>
    <w:rsid w:val="00A20347"/>
    <w:rsid w:val="00A360FB"/>
    <w:rsid w:val="00A427BC"/>
    <w:rsid w:val="00A42FF8"/>
    <w:rsid w:val="00A45BDB"/>
    <w:rsid w:val="00A4740A"/>
    <w:rsid w:val="00A5405D"/>
    <w:rsid w:val="00A56A98"/>
    <w:rsid w:val="00A62135"/>
    <w:rsid w:val="00A6468C"/>
    <w:rsid w:val="00A679C2"/>
    <w:rsid w:val="00A70379"/>
    <w:rsid w:val="00A71514"/>
    <w:rsid w:val="00A74A4B"/>
    <w:rsid w:val="00A75CD7"/>
    <w:rsid w:val="00A80207"/>
    <w:rsid w:val="00A8466F"/>
    <w:rsid w:val="00A97E5F"/>
    <w:rsid w:val="00AA6F1F"/>
    <w:rsid w:val="00AB24B6"/>
    <w:rsid w:val="00AB50A9"/>
    <w:rsid w:val="00AC6807"/>
    <w:rsid w:val="00AD1A85"/>
    <w:rsid w:val="00AD4A8A"/>
    <w:rsid w:val="00AD4AC0"/>
    <w:rsid w:val="00AD4E52"/>
    <w:rsid w:val="00AE335B"/>
    <w:rsid w:val="00AE49E6"/>
    <w:rsid w:val="00AF1635"/>
    <w:rsid w:val="00AF74CA"/>
    <w:rsid w:val="00B03B74"/>
    <w:rsid w:val="00B03BFE"/>
    <w:rsid w:val="00B1579C"/>
    <w:rsid w:val="00B212BC"/>
    <w:rsid w:val="00B24B83"/>
    <w:rsid w:val="00B34383"/>
    <w:rsid w:val="00B46889"/>
    <w:rsid w:val="00B469EB"/>
    <w:rsid w:val="00B515C5"/>
    <w:rsid w:val="00B52BA0"/>
    <w:rsid w:val="00B6744D"/>
    <w:rsid w:val="00B70617"/>
    <w:rsid w:val="00B8025B"/>
    <w:rsid w:val="00B84525"/>
    <w:rsid w:val="00B877A0"/>
    <w:rsid w:val="00B91429"/>
    <w:rsid w:val="00B95753"/>
    <w:rsid w:val="00BA0406"/>
    <w:rsid w:val="00BA590F"/>
    <w:rsid w:val="00BB35C3"/>
    <w:rsid w:val="00BB65DF"/>
    <w:rsid w:val="00BC2E0A"/>
    <w:rsid w:val="00BC7834"/>
    <w:rsid w:val="00BD44F1"/>
    <w:rsid w:val="00C0798E"/>
    <w:rsid w:val="00C10F72"/>
    <w:rsid w:val="00C118E3"/>
    <w:rsid w:val="00C12368"/>
    <w:rsid w:val="00C1520C"/>
    <w:rsid w:val="00C17AC8"/>
    <w:rsid w:val="00C2473B"/>
    <w:rsid w:val="00C25B95"/>
    <w:rsid w:val="00C30376"/>
    <w:rsid w:val="00C30CD6"/>
    <w:rsid w:val="00C439C5"/>
    <w:rsid w:val="00C52520"/>
    <w:rsid w:val="00C55785"/>
    <w:rsid w:val="00C57702"/>
    <w:rsid w:val="00C645D9"/>
    <w:rsid w:val="00C65961"/>
    <w:rsid w:val="00C70B9C"/>
    <w:rsid w:val="00C754E1"/>
    <w:rsid w:val="00C8407A"/>
    <w:rsid w:val="00C8641A"/>
    <w:rsid w:val="00C8686E"/>
    <w:rsid w:val="00C946B7"/>
    <w:rsid w:val="00C97977"/>
    <w:rsid w:val="00CA21C1"/>
    <w:rsid w:val="00CB6F34"/>
    <w:rsid w:val="00CC1972"/>
    <w:rsid w:val="00CD060B"/>
    <w:rsid w:val="00CD2576"/>
    <w:rsid w:val="00CF0E38"/>
    <w:rsid w:val="00CF4010"/>
    <w:rsid w:val="00D02064"/>
    <w:rsid w:val="00D0604B"/>
    <w:rsid w:val="00D14E6C"/>
    <w:rsid w:val="00D159E5"/>
    <w:rsid w:val="00D15F16"/>
    <w:rsid w:val="00D1630B"/>
    <w:rsid w:val="00D16BD0"/>
    <w:rsid w:val="00D22922"/>
    <w:rsid w:val="00D6653F"/>
    <w:rsid w:val="00D73980"/>
    <w:rsid w:val="00D76E3C"/>
    <w:rsid w:val="00D800BB"/>
    <w:rsid w:val="00DA0179"/>
    <w:rsid w:val="00DB5149"/>
    <w:rsid w:val="00DC44A0"/>
    <w:rsid w:val="00DC44AB"/>
    <w:rsid w:val="00DC632A"/>
    <w:rsid w:val="00DD1A4F"/>
    <w:rsid w:val="00DD70F6"/>
    <w:rsid w:val="00DE6DC2"/>
    <w:rsid w:val="00DE7C01"/>
    <w:rsid w:val="00DF009D"/>
    <w:rsid w:val="00DF6236"/>
    <w:rsid w:val="00E05C6C"/>
    <w:rsid w:val="00E0622C"/>
    <w:rsid w:val="00E071CB"/>
    <w:rsid w:val="00E131F0"/>
    <w:rsid w:val="00E14409"/>
    <w:rsid w:val="00E14965"/>
    <w:rsid w:val="00E14A39"/>
    <w:rsid w:val="00E16DBC"/>
    <w:rsid w:val="00E172BF"/>
    <w:rsid w:val="00E27C22"/>
    <w:rsid w:val="00E31E6C"/>
    <w:rsid w:val="00E35195"/>
    <w:rsid w:val="00E41393"/>
    <w:rsid w:val="00E52858"/>
    <w:rsid w:val="00E60417"/>
    <w:rsid w:val="00E63C0B"/>
    <w:rsid w:val="00E66B80"/>
    <w:rsid w:val="00E7006E"/>
    <w:rsid w:val="00E83985"/>
    <w:rsid w:val="00E85273"/>
    <w:rsid w:val="00E870E1"/>
    <w:rsid w:val="00E9019F"/>
    <w:rsid w:val="00E93537"/>
    <w:rsid w:val="00E955BD"/>
    <w:rsid w:val="00E97E3D"/>
    <w:rsid w:val="00EA7FE4"/>
    <w:rsid w:val="00EB159B"/>
    <w:rsid w:val="00EB24F4"/>
    <w:rsid w:val="00EB76A4"/>
    <w:rsid w:val="00EB7E79"/>
    <w:rsid w:val="00EC11B1"/>
    <w:rsid w:val="00EC31AF"/>
    <w:rsid w:val="00EC5E13"/>
    <w:rsid w:val="00ED4D44"/>
    <w:rsid w:val="00ED7934"/>
    <w:rsid w:val="00EE3036"/>
    <w:rsid w:val="00EE7FD0"/>
    <w:rsid w:val="00F0442A"/>
    <w:rsid w:val="00F05597"/>
    <w:rsid w:val="00F131E2"/>
    <w:rsid w:val="00F20158"/>
    <w:rsid w:val="00F264D7"/>
    <w:rsid w:val="00F36602"/>
    <w:rsid w:val="00F44D0C"/>
    <w:rsid w:val="00F54BD7"/>
    <w:rsid w:val="00F5727E"/>
    <w:rsid w:val="00F57805"/>
    <w:rsid w:val="00F60886"/>
    <w:rsid w:val="00F64206"/>
    <w:rsid w:val="00F80A03"/>
    <w:rsid w:val="00F9230A"/>
    <w:rsid w:val="00F92535"/>
    <w:rsid w:val="00FA2C28"/>
    <w:rsid w:val="00FA4D08"/>
    <w:rsid w:val="00FB02A3"/>
    <w:rsid w:val="00FB4990"/>
    <w:rsid w:val="00FB4FB5"/>
    <w:rsid w:val="00FB718E"/>
    <w:rsid w:val="00FC11A4"/>
    <w:rsid w:val="00FC1219"/>
    <w:rsid w:val="00FC5C7F"/>
    <w:rsid w:val="00FD019C"/>
    <w:rsid w:val="00FD0270"/>
    <w:rsid w:val="00FD5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4538C4"/>
  <w15:chartTrackingRefBased/>
  <w15:docId w15:val="{9730B135-6B53-4591-8E85-8A6B7F9C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C"/>
    <w:rPr>
      <w:rFonts w:ascii="Open Sans" w:hAnsi="Open Sans"/>
      <w:color w:val="333333"/>
      <w:sz w:val="20"/>
    </w:rPr>
  </w:style>
  <w:style w:type="paragraph" w:styleId="Heading1">
    <w:name w:val="heading 1"/>
    <w:basedOn w:val="Normal"/>
    <w:next w:val="Normal"/>
    <w:link w:val="Heading1Char"/>
    <w:uiPriority w:val="9"/>
    <w:qFormat/>
    <w:rsid w:val="00453D21"/>
    <w:pPr>
      <w:keepNext/>
      <w:keepLines/>
      <w:spacing w:before="240" w:after="0"/>
      <w:outlineLvl w:val="0"/>
    </w:pPr>
    <w:rPr>
      <w:rFonts w:asciiTheme="majorHAnsi" w:eastAsiaTheme="majorEastAsia" w:hAnsiTheme="majorHAnsi" w:cstheme="majorBidi"/>
      <w:b/>
      <w:color w:val="74B3DE"/>
      <w:sz w:val="32"/>
      <w:szCs w:val="32"/>
    </w:rPr>
  </w:style>
  <w:style w:type="paragraph" w:styleId="Heading2">
    <w:name w:val="heading 2"/>
    <w:basedOn w:val="Normal"/>
    <w:next w:val="Normal"/>
    <w:link w:val="Heading2Char"/>
    <w:uiPriority w:val="9"/>
    <w:unhideWhenUsed/>
    <w:qFormat/>
    <w:rsid w:val="00192289"/>
    <w:pPr>
      <w:keepNext/>
      <w:keepLines/>
      <w:spacing w:before="40" w:after="0"/>
      <w:outlineLvl w:val="1"/>
    </w:pPr>
    <w:rPr>
      <w:rFonts w:asciiTheme="majorHAnsi" w:eastAsiaTheme="majorEastAsia" w:hAnsiTheme="majorHAnsi" w:cstheme="majorBidi"/>
      <w:b/>
      <w:color w:val="35557D"/>
      <w:sz w:val="24"/>
      <w:szCs w:val="26"/>
    </w:rPr>
  </w:style>
  <w:style w:type="paragraph" w:styleId="Heading3">
    <w:name w:val="heading 3"/>
    <w:basedOn w:val="Normal"/>
    <w:next w:val="Normal"/>
    <w:link w:val="Heading3Char"/>
    <w:uiPriority w:val="9"/>
    <w:semiHidden/>
    <w:unhideWhenUsed/>
    <w:qFormat/>
    <w:rsid w:val="00FD019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437D0D"/>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sz w:val="22"/>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853"/>
  </w:style>
  <w:style w:type="paragraph" w:styleId="Footer">
    <w:name w:val="footer"/>
    <w:basedOn w:val="Normal"/>
    <w:link w:val="FooterChar"/>
    <w:uiPriority w:val="99"/>
    <w:unhideWhenUsed/>
    <w:rsid w:val="001A7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853"/>
  </w:style>
  <w:style w:type="table" w:styleId="TableGrid">
    <w:name w:val="Table Grid"/>
    <w:basedOn w:val="TableNormal"/>
    <w:uiPriority w:val="39"/>
    <w:rsid w:val="001A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8627B5"/>
    <w:pPr>
      <w:autoSpaceDE w:val="0"/>
      <w:autoSpaceDN w:val="0"/>
      <w:adjustRightInd w:val="0"/>
      <w:spacing w:after="0" w:line="241" w:lineRule="atLeast"/>
    </w:pPr>
    <w:rPr>
      <w:rFonts w:ascii="Raleway" w:hAnsi="Raleway"/>
      <w:sz w:val="24"/>
      <w:szCs w:val="24"/>
    </w:rPr>
  </w:style>
  <w:style w:type="character" w:customStyle="1" w:styleId="A3">
    <w:name w:val="A3"/>
    <w:uiPriority w:val="99"/>
    <w:rsid w:val="008627B5"/>
    <w:rPr>
      <w:rFonts w:cs="Raleway"/>
      <w:color w:val="000000"/>
      <w:sz w:val="20"/>
      <w:szCs w:val="20"/>
    </w:rPr>
  </w:style>
  <w:style w:type="paragraph" w:customStyle="1" w:styleId="Pa7">
    <w:name w:val="Pa7"/>
    <w:basedOn w:val="Normal"/>
    <w:next w:val="Normal"/>
    <w:uiPriority w:val="99"/>
    <w:rsid w:val="008627B5"/>
    <w:pPr>
      <w:autoSpaceDE w:val="0"/>
      <w:autoSpaceDN w:val="0"/>
      <w:adjustRightInd w:val="0"/>
      <w:spacing w:after="0" w:line="241" w:lineRule="atLeast"/>
    </w:pPr>
    <w:rPr>
      <w:rFonts w:ascii="Raleway" w:hAnsi="Raleway"/>
      <w:sz w:val="24"/>
      <w:szCs w:val="24"/>
    </w:rPr>
  </w:style>
  <w:style w:type="paragraph" w:styleId="ListParagraph">
    <w:name w:val="List Paragraph"/>
    <w:basedOn w:val="Normal"/>
    <w:uiPriority w:val="34"/>
    <w:qFormat/>
    <w:rsid w:val="008627B5"/>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453D21"/>
    <w:rPr>
      <w:rFonts w:asciiTheme="majorHAnsi" w:eastAsiaTheme="majorEastAsia" w:hAnsiTheme="majorHAnsi" w:cstheme="majorBidi"/>
      <w:b/>
      <w:color w:val="74B3DE"/>
      <w:sz w:val="32"/>
      <w:szCs w:val="32"/>
    </w:rPr>
  </w:style>
  <w:style w:type="character" w:customStyle="1" w:styleId="Heading2Char">
    <w:name w:val="Heading 2 Char"/>
    <w:basedOn w:val="DefaultParagraphFont"/>
    <w:link w:val="Heading2"/>
    <w:uiPriority w:val="9"/>
    <w:rsid w:val="00192289"/>
    <w:rPr>
      <w:rFonts w:asciiTheme="majorHAnsi" w:eastAsiaTheme="majorEastAsia" w:hAnsiTheme="majorHAnsi" w:cstheme="majorBidi"/>
      <w:b/>
      <w:color w:val="35557D"/>
      <w:sz w:val="24"/>
      <w:szCs w:val="26"/>
    </w:rPr>
  </w:style>
  <w:style w:type="character" w:customStyle="1" w:styleId="Heading3Char">
    <w:name w:val="Heading 3 Char"/>
    <w:basedOn w:val="DefaultParagraphFont"/>
    <w:link w:val="Heading3"/>
    <w:uiPriority w:val="9"/>
    <w:semiHidden/>
    <w:rsid w:val="00FD019C"/>
    <w:rPr>
      <w:rFonts w:ascii="Open Sans" w:eastAsiaTheme="majorEastAsia" w:hAnsi="Open Sans" w:cstheme="majorBidi"/>
      <w:b/>
      <w:color w:val="333333"/>
      <w:sz w:val="20"/>
      <w:szCs w:val="24"/>
    </w:rPr>
  </w:style>
  <w:style w:type="character" w:styleId="PlaceholderText">
    <w:name w:val="Placeholder Text"/>
    <w:basedOn w:val="DefaultParagraphFont"/>
    <w:uiPriority w:val="99"/>
    <w:semiHidden/>
    <w:rsid w:val="002C4139"/>
    <w:rPr>
      <w:color w:val="808080"/>
    </w:rPr>
  </w:style>
  <w:style w:type="paragraph" w:styleId="NoSpacing">
    <w:name w:val="No Spacing"/>
    <w:uiPriority w:val="1"/>
    <w:qFormat/>
    <w:rsid w:val="004B0CD4"/>
    <w:pPr>
      <w:spacing w:after="0" w:line="240" w:lineRule="auto"/>
    </w:pPr>
  </w:style>
  <w:style w:type="character" w:customStyle="1" w:styleId="Heading4Char">
    <w:name w:val="Heading 4 Char"/>
    <w:basedOn w:val="DefaultParagraphFont"/>
    <w:link w:val="Heading4"/>
    <w:uiPriority w:val="9"/>
    <w:semiHidden/>
    <w:rsid w:val="00437D0D"/>
    <w:rPr>
      <w:rFonts w:asciiTheme="majorHAnsi" w:eastAsiaTheme="majorEastAsia" w:hAnsiTheme="majorHAnsi" w:cstheme="majorBidi"/>
      <w:i/>
      <w:iCs/>
      <w:color w:val="2F5496" w:themeColor="accent1" w:themeShade="BF"/>
      <w:lang w:eastAsia="en-AU" w:bidi="en-AU"/>
    </w:rPr>
  </w:style>
  <w:style w:type="paragraph" w:styleId="BodyText">
    <w:name w:val="Body Text"/>
    <w:basedOn w:val="Normal"/>
    <w:link w:val="BodyTextChar"/>
    <w:uiPriority w:val="1"/>
    <w:qFormat/>
    <w:rsid w:val="00437D0D"/>
    <w:pPr>
      <w:widowControl w:val="0"/>
      <w:autoSpaceDE w:val="0"/>
      <w:autoSpaceDN w:val="0"/>
      <w:spacing w:after="0" w:line="240" w:lineRule="auto"/>
      <w:ind w:left="192"/>
    </w:pPr>
    <w:rPr>
      <w:rFonts w:ascii="Calibri" w:eastAsia="Calibri" w:hAnsi="Calibri" w:cs="Calibri"/>
      <w:color w:val="auto"/>
      <w:sz w:val="22"/>
      <w:lang w:eastAsia="en-AU" w:bidi="en-AU"/>
    </w:rPr>
  </w:style>
  <w:style w:type="character" w:customStyle="1" w:styleId="BodyTextChar">
    <w:name w:val="Body Text Char"/>
    <w:basedOn w:val="DefaultParagraphFont"/>
    <w:link w:val="BodyText"/>
    <w:uiPriority w:val="1"/>
    <w:rsid w:val="00437D0D"/>
    <w:rPr>
      <w:rFonts w:ascii="Calibri" w:eastAsia="Calibri" w:hAnsi="Calibri" w:cs="Calibri"/>
      <w:lang w:eastAsia="en-AU" w:bidi="en-AU"/>
    </w:rPr>
  </w:style>
  <w:style w:type="character" w:styleId="Hyperlink">
    <w:name w:val="Hyperlink"/>
    <w:basedOn w:val="DefaultParagraphFont"/>
    <w:uiPriority w:val="99"/>
    <w:unhideWhenUsed/>
    <w:rsid w:val="00437D0D"/>
    <w:rPr>
      <w:color w:val="0563C1" w:themeColor="hyperlink"/>
      <w:u w:val="single"/>
    </w:rPr>
  </w:style>
  <w:style w:type="character" w:styleId="UnresolvedMention">
    <w:name w:val="Unresolved Mention"/>
    <w:basedOn w:val="DefaultParagraphFont"/>
    <w:uiPriority w:val="99"/>
    <w:semiHidden/>
    <w:unhideWhenUsed/>
    <w:rsid w:val="00EE3036"/>
    <w:rPr>
      <w:color w:val="605E5C"/>
      <w:shd w:val="clear" w:color="auto" w:fill="E1DFDD"/>
    </w:rPr>
  </w:style>
  <w:style w:type="paragraph" w:styleId="TOCHeading">
    <w:name w:val="TOC Heading"/>
    <w:basedOn w:val="Heading1"/>
    <w:next w:val="Normal"/>
    <w:uiPriority w:val="39"/>
    <w:unhideWhenUsed/>
    <w:qFormat/>
    <w:rsid w:val="00E85273"/>
    <w:pPr>
      <w:outlineLvl w:val="9"/>
    </w:pPr>
    <w:rPr>
      <w:b w:val="0"/>
      <w:color w:val="2F5496" w:themeColor="accent1" w:themeShade="BF"/>
      <w:lang w:val="en-US"/>
    </w:rPr>
  </w:style>
  <w:style w:type="paragraph" w:styleId="TOC1">
    <w:name w:val="toc 1"/>
    <w:basedOn w:val="Normal"/>
    <w:next w:val="Normal"/>
    <w:autoRedefine/>
    <w:uiPriority w:val="39"/>
    <w:unhideWhenUsed/>
    <w:rsid w:val="00E85273"/>
    <w:pPr>
      <w:spacing w:after="100"/>
    </w:pPr>
  </w:style>
  <w:style w:type="paragraph" w:styleId="TOC2">
    <w:name w:val="toc 2"/>
    <w:basedOn w:val="Normal"/>
    <w:next w:val="Normal"/>
    <w:autoRedefine/>
    <w:uiPriority w:val="39"/>
    <w:unhideWhenUsed/>
    <w:rsid w:val="00E85273"/>
    <w:pPr>
      <w:spacing w:after="100"/>
      <w:ind w:left="200"/>
    </w:pPr>
  </w:style>
  <w:style w:type="character" w:styleId="FollowedHyperlink">
    <w:name w:val="FollowedHyperlink"/>
    <w:basedOn w:val="DefaultParagraphFont"/>
    <w:uiPriority w:val="99"/>
    <w:semiHidden/>
    <w:unhideWhenUsed/>
    <w:rsid w:val="00736963"/>
    <w:rPr>
      <w:color w:val="954F72" w:themeColor="followedHyperlink"/>
      <w:u w:val="single"/>
    </w:rPr>
  </w:style>
  <w:style w:type="character" w:styleId="CommentReference">
    <w:name w:val="annotation reference"/>
    <w:basedOn w:val="DefaultParagraphFont"/>
    <w:uiPriority w:val="99"/>
    <w:semiHidden/>
    <w:unhideWhenUsed/>
    <w:rsid w:val="00E35195"/>
    <w:rPr>
      <w:sz w:val="16"/>
      <w:szCs w:val="16"/>
    </w:rPr>
  </w:style>
  <w:style w:type="paragraph" w:styleId="CommentText">
    <w:name w:val="annotation text"/>
    <w:basedOn w:val="Normal"/>
    <w:link w:val="CommentTextChar"/>
    <w:uiPriority w:val="99"/>
    <w:semiHidden/>
    <w:unhideWhenUsed/>
    <w:rsid w:val="00E35195"/>
    <w:pPr>
      <w:spacing w:line="240" w:lineRule="auto"/>
    </w:pPr>
    <w:rPr>
      <w:szCs w:val="20"/>
    </w:rPr>
  </w:style>
  <w:style w:type="character" w:customStyle="1" w:styleId="CommentTextChar">
    <w:name w:val="Comment Text Char"/>
    <w:basedOn w:val="DefaultParagraphFont"/>
    <w:link w:val="CommentText"/>
    <w:uiPriority w:val="99"/>
    <w:semiHidden/>
    <w:rsid w:val="00E35195"/>
    <w:rPr>
      <w:rFonts w:ascii="Open Sans" w:hAnsi="Open Sans"/>
      <w:color w:val="333333"/>
      <w:sz w:val="20"/>
      <w:szCs w:val="20"/>
    </w:rPr>
  </w:style>
  <w:style w:type="paragraph" w:styleId="CommentSubject">
    <w:name w:val="annotation subject"/>
    <w:basedOn w:val="CommentText"/>
    <w:next w:val="CommentText"/>
    <w:link w:val="CommentSubjectChar"/>
    <w:uiPriority w:val="99"/>
    <w:semiHidden/>
    <w:unhideWhenUsed/>
    <w:rsid w:val="00E35195"/>
    <w:rPr>
      <w:b/>
      <w:bCs/>
    </w:rPr>
  </w:style>
  <w:style w:type="character" w:customStyle="1" w:styleId="CommentSubjectChar">
    <w:name w:val="Comment Subject Char"/>
    <w:basedOn w:val="CommentTextChar"/>
    <w:link w:val="CommentSubject"/>
    <w:uiPriority w:val="99"/>
    <w:semiHidden/>
    <w:rsid w:val="00E35195"/>
    <w:rPr>
      <w:rFonts w:ascii="Open Sans" w:hAnsi="Open Sans"/>
      <w:b/>
      <w:bCs/>
      <w:color w:val="333333"/>
      <w:sz w:val="20"/>
      <w:szCs w:val="20"/>
    </w:rPr>
  </w:style>
  <w:style w:type="paragraph" w:styleId="BalloonText">
    <w:name w:val="Balloon Text"/>
    <w:basedOn w:val="Normal"/>
    <w:link w:val="BalloonTextChar"/>
    <w:uiPriority w:val="99"/>
    <w:semiHidden/>
    <w:unhideWhenUsed/>
    <w:rsid w:val="00E35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95"/>
    <w:rPr>
      <w:rFonts w:ascii="Segoe UI" w:hAnsi="Segoe UI" w:cs="Segoe UI"/>
      <w:color w:val="333333"/>
      <w:sz w:val="18"/>
      <w:szCs w:val="18"/>
    </w:rPr>
  </w:style>
  <w:style w:type="paragraph" w:customStyle="1" w:styleId="Table2-Left">
    <w:name w:val="Table 2 - Left"/>
    <w:basedOn w:val="Normal"/>
    <w:autoRedefine/>
    <w:qFormat/>
    <w:rsid w:val="00DB5149"/>
    <w:pPr>
      <w:spacing w:before="40" w:after="40" w:line="240" w:lineRule="auto"/>
    </w:pPr>
    <w:rPr>
      <w:rFonts w:ascii="Calibri" w:eastAsia="SimSun" w:hAnsi="Calibri" w:cs="Times New Roman"/>
      <w:b/>
      <w:color w:val="auto"/>
      <w:szCs w:val="20"/>
      <w:lang w:eastAsia="en-AU"/>
    </w:rPr>
  </w:style>
  <w:style w:type="character" w:customStyle="1" w:styleId="Table3-LeftChar">
    <w:name w:val="Table 3 - Left Char"/>
    <w:link w:val="Table3-Left"/>
    <w:locked/>
    <w:rsid w:val="00DB5149"/>
    <w:rPr>
      <w:rFonts w:ascii="Arial Narrow" w:hAnsi="Arial Narrow"/>
      <w:lang w:val="x-none" w:eastAsia="x-none"/>
    </w:rPr>
  </w:style>
  <w:style w:type="paragraph" w:customStyle="1" w:styleId="Table3-Left">
    <w:name w:val="Table 3 - Left"/>
    <w:basedOn w:val="Normal"/>
    <w:link w:val="Table3-LeftChar"/>
    <w:autoRedefine/>
    <w:rsid w:val="00DB5149"/>
    <w:pPr>
      <w:spacing w:before="40" w:after="40" w:line="240" w:lineRule="auto"/>
    </w:pPr>
    <w:rPr>
      <w:rFonts w:ascii="Arial Narrow" w:hAnsi="Arial Narrow"/>
      <w:color w:val="auto"/>
      <w:sz w:val="22"/>
      <w:lang w:val="x-none" w:eastAsia="x-none"/>
    </w:rPr>
  </w:style>
  <w:style w:type="paragraph" w:customStyle="1" w:styleId="Table2-Centre">
    <w:name w:val="Table 2 - Centre"/>
    <w:basedOn w:val="Normal"/>
    <w:autoRedefine/>
    <w:qFormat/>
    <w:rsid w:val="00DB5149"/>
    <w:pPr>
      <w:spacing w:before="40" w:after="40" w:line="240" w:lineRule="auto"/>
      <w:jc w:val="center"/>
    </w:pPr>
    <w:rPr>
      <w:rFonts w:ascii="Arial Narrow" w:eastAsia="SimSun" w:hAnsi="Arial Narrow" w:cs="Times New Roman"/>
      <w:b/>
      <w:color w:val="auto"/>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188082">
      <w:bodyDiv w:val="1"/>
      <w:marLeft w:val="0"/>
      <w:marRight w:val="0"/>
      <w:marTop w:val="0"/>
      <w:marBottom w:val="0"/>
      <w:divBdr>
        <w:top w:val="none" w:sz="0" w:space="0" w:color="auto"/>
        <w:left w:val="none" w:sz="0" w:space="0" w:color="auto"/>
        <w:bottom w:val="none" w:sz="0" w:space="0" w:color="auto"/>
        <w:right w:val="none" w:sz="0" w:space="0" w:color="auto"/>
      </w:divBdr>
    </w:div>
    <w:div w:id="1387029807">
      <w:bodyDiv w:val="1"/>
      <w:marLeft w:val="0"/>
      <w:marRight w:val="0"/>
      <w:marTop w:val="0"/>
      <w:marBottom w:val="0"/>
      <w:divBdr>
        <w:top w:val="none" w:sz="0" w:space="0" w:color="auto"/>
        <w:left w:val="none" w:sz="0" w:space="0" w:color="auto"/>
        <w:bottom w:val="none" w:sz="0" w:space="0" w:color="auto"/>
        <w:right w:val="none" w:sz="0" w:space="0" w:color="auto"/>
      </w:divBdr>
    </w:div>
    <w:div w:id="1612787590">
      <w:bodyDiv w:val="1"/>
      <w:marLeft w:val="0"/>
      <w:marRight w:val="0"/>
      <w:marTop w:val="0"/>
      <w:marBottom w:val="0"/>
      <w:divBdr>
        <w:top w:val="none" w:sz="0" w:space="0" w:color="auto"/>
        <w:left w:val="none" w:sz="0" w:space="0" w:color="auto"/>
        <w:bottom w:val="none" w:sz="0" w:space="0" w:color="auto"/>
        <w:right w:val="none" w:sz="0" w:space="0" w:color="auto"/>
      </w:divBdr>
    </w:div>
    <w:div w:id="18548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E848-84A9-453A-B58E-F0FEBD0D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INVESTMENT ADVICE</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ADVICE</dc:title>
  <dc:subject>Business Principle</dc:subject>
  <dc:creator>Tadeya Pacnik</dc:creator>
  <cp:keywords/>
  <dc:description/>
  <cp:lastModifiedBy>Shane Miller</cp:lastModifiedBy>
  <cp:revision>18</cp:revision>
  <cp:lastPrinted>2019-01-16T01:42:00Z</cp:lastPrinted>
  <dcterms:created xsi:type="dcterms:W3CDTF">2020-07-28T03:25:00Z</dcterms:created>
  <dcterms:modified xsi:type="dcterms:W3CDTF">2020-07-29T22:40:00Z</dcterms:modified>
</cp:coreProperties>
</file>