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color w:val="auto"/>
          <w:sz w:val="22"/>
          <w:szCs w:val="22"/>
          <w:lang w:val="en-AU"/>
        </w:rPr>
        <w:id w:val="668757775"/>
        <w:docPartObj>
          <w:docPartGallery w:val="Table of Contents"/>
          <w:docPartUnique/>
        </w:docPartObj>
      </w:sdtPr>
      <w:sdtEndPr>
        <w:rPr>
          <w:b/>
          <w:bCs/>
          <w:noProof/>
        </w:rPr>
      </w:sdtEndPr>
      <w:sdtContent>
        <w:p w14:paraId="21A2E616" w14:textId="77777777" w:rsidR="00814DC4" w:rsidRPr="00C03E42" w:rsidRDefault="00814DC4" w:rsidP="00EE43D9">
          <w:pPr>
            <w:pStyle w:val="TOCHeading"/>
            <w:spacing w:before="0"/>
            <w:rPr>
              <w:sz w:val="20"/>
              <w:szCs w:val="20"/>
            </w:rPr>
          </w:pPr>
          <w:r w:rsidRPr="00947BC6">
            <w:t>Contents</w:t>
          </w:r>
        </w:p>
        <w:p w14:paraId="60135ED9" w14:textId="42218372" w:rsidR="00C03E42" w:rsidRPr="00C03E42" w:rsidRDefault="00814DC4">
          <w:pPr>
            <w:pStyle w:val="TOC1"/>
            <w:tabs>
              <w:tab w:val="right" w:leader="dot" w:pos="9016"/>
            </w:tabs>
            <w:rPr>
              <w:rFonts w:asciiTheme="minorHAnsi" w:eastAsiaTheme="minorEastAsia" w:hAnsiTheme="minorHAnsi" w:cstheme="minorBidi"/>
              <w:noProof/>
              <w:sz w:val="20"/>
              <w:szCs w:val="20"/>
              <w:lang w:eastAsia="en-AU"/>
            </w:rPr>
          </w:pPr>
          <w:r w:rsidRPr="00C03E42">
            <w:rPr>
              <w:sz w:val="20"/>
              <w:szCs w:val="20"/>
            </w:rPr>
            <w:fldChar w:fldCharType="begin"/>
          </w:r>
          <w:r w:rsidRPr="00C03E42">
            <w:rPr>
              <w:sz w:val="20"/>
              <w:szCs w:val="20"/>
            </w:rPr>
            <w:instrText xml:space="preserve"> TOC \o "1-3" \h \z \u </w:instrText>
          </w:r>
          <w:r w:rsidRPr="00C03E42">
            <w:rPr>
              <w:sz w:val="20"/>
              <w:szCs w:val="20"/>
            </w:rPr>
            <w:fldChar w:fldCharType="separate"/>
          </w:r>
          <w:hyperlink w:anchor="_Toc36642353" w:history="1">
            <w:r w:rsidR="00C03E42" w:rsidRPr="00C03E42">
              <w:rPr>
                <w:rStyle w:val="Hyperlink"/>
                <w:rFonts w:eastAsia="Times New Roman"/>
                <w:b/>
                <w:noProof/>
                <w:sz w:val="20"/>
                <w:szCs w:val="20"/>
              </w:rPr>
              <w:t>SOA – Demonstrating Best Interest using the IFP Template</w:t>
            </w:r>
            <w:r w:rsidR="00C03E42" w:rsidRPr="00C03E42">
              <w:rPr>
                <w:noProof/>
                <w:webHidden/>
                <w:sz w:val="20"/>
                <w:szCs w:val="20"/>
              </w:rPr>
              <w:tab/>
            </w:r>
            <w:r w:rsidR="00C03E42" w:rsidRPr="00C03E42">
              <w:rPr>
                <w:noProof/>
                <w:webHidden/>
                <w:sz w:val="20"/>
                <w:szCs w:val="20"/>
              </w:rPr>
              <w:fldChar w:fldCharType="begin"/>
            </w:r>
            <w:r w:rsidR="00C03E42" w:rsidRPr="00C03E42">
              <w:rPr>
                <w:noProof/>
                <w:webHidden/>
                <w:sz w:val="20"/>
                <w:szCs w:val="20"/>
              </w:rPr>
              <w:instrText xml:space="preserve"> PAGEREF _Toc36642353 \h </w:instrText>
            </w:r>
            <w:r w:rsidR="00C03E42" w:rsidRPr="00C03E42">
              <w:rPr>
                <w:noProof/>
                <w:webHidden/>
                <w:sz w:val="20"/>
                <w:szCs w:val="20"/>
              </w:rPr>
            </w:r>
            <w:r w:rsidR="00C03E42" w:rsidRPr="00C03E42">
              <w:rPr>
                <w:noProof/>
                <w:webHidden/>
                <w:sz w:val="20"/>
                <w:szCs w:val="20"/>
              </w:rPr>
              <w:fldChar w:fldCharType="separate"/>
            </w:r>
            <w:r w:rsidR="00C03E42" w:rsidRPr="00C03E42">
              <w:rPr>
                <w:noProof/>
                <w:webHidden/>
                <w:sz w:val="20"/>
                <w:szCs w:val="20"/>
              </w:rPr>
              <w:t>2</w:t>
            </w:r>
            <w:r w:rsidR="00C03E42" w:rsidRPr="00C03E42">
              <w:rPr>
                <w:noProof/>
                <w:webHidden/>
                <w:sz w:val="20"/>
                <w:szCs w:val="20"/>
              </w:rPr>
              <w:fldChar w:fldCharType="end"/>
            </w:r>
          </w:hyperlink>
        </w:p>
        <w:p w14:paraId="622A96A7" w14:textId="67A240A2"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4" w:history="1">
            <w:r w:rsidRPr="00C03E42">
              <w:rPr>
                <w:rStyle w:val="Hyperlink"/>
                <w:rFonts w:eastAsia="Times New Roman"/>
                <w:b/>
                <w:noProof/>
                <w:sz w:val="20"/>
                <w:szCs w:val="20"/>
              </w:rPr>
              <w:t>Cover Letter</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_Toc36642354 \h </w:instrText>
            </w:r>
            <w:r w:rsidRPr="00C03E42">
              <w:rPr>
                <w:noProof/>
                <w:webHidden/>
                <w:sz w:val="20"/>
                <w:szCs w:val="20"/>
              </w:rPr>
            </w:r>
            <w:r w:rsidRPr="00C03E42">
              <w:rPr>
                <w:noProof/>
                <w:webHidden/>
                <w:sz w:val="20"/>
                <w:szCs w:val="20"/>
              </w:rPr>
              <w:fldChar w:fldCharType="separate"/>
            </w:r>
            <w:r w:rsidRPr="00C03E42">
              <w:rPr>
                <w:noProof/>
                <w:webHidden/>
                <w:sz w:val="20"/>
                <w:szCs w:val="20"/>
              </w:rPr>
              <w:t>3</w:t>
            </w:r>
            <w:r w:rsidRPr="00C03E42">
              <w:rPr>
                <w:noProof/>
                <w:webHidden/>
                <w:sz w:val="20"/>
                <w:szCs w:val="20"/>
              </w:rPr>
              <w:fldChar w:fldCharType="end"/>
            </w:r>
          </w:hyperlink>
        </w:p>
        <w:p w14:paraId="16E26D1F" w14:textId="2AAB5E06"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5" w:history="1">
            <w:r w:rsidRPr="00C03E42">
              <w:rPr>
                <w:rStyle w:val="Hyperlink"/>
                <w:rFonts w:eastAsia="Times New Roman"/>
                <w:b/>
                <w:noProof/>
                <w:sz w:val="20"/>
                <w:szCs w:val="20"/>
              </w:rPr>
              <w:t>Cover Page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_Toc36642355 \h </w:instrText>
            </w:r>
            <w:r w:rsidRPr="00C03E42">
              <w:rPr>
                <w:noProof/>
                <w:webHidden/>
                <w:sz w:val="20"/>
                <w:szCs w:val="20"/>
              </w:rPr>
            </w:r>
            <w:r w:rsidRPr="00C03E42">
              <w:rPr>
                <w:noProof/>
                <w:webHidden/>
                <w:sz w:val="20"/>
                <w:szCs w:val="20"/>
              </w:rPr>
              <w:fldChar w:fldCharType="separate"/>
            </w:r>
            <w:r w:rsidRPr="00C03E42">
              <w:rPr>
                <w:noProof/>
                <w:webHidden/>
                <w:sz w:val="20"/>
                <w:szCs w:val="20"/>
              </w:rPr>
              <w:t>3</w:t>
            </w:r>
            <w:r w:rsidRPr="00C03E42">
              <w:rPr>
                <w:noProof/>
                <w:webHidden/>
                <w:sz w:val="20"/>
                <w:szCs w:val="20"/>
              </w:rPr>
              <w:fldChar w:fldCharType="end"/>
            </w:r>
          </w:hyperlink>
        </w:p>
        <w:p w14:paraId="0780F9AF" w14:textId="79195F59"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6" w:history="1">
            <w:r w:rsidRPr="00C03E42">
              <w:rPr>
                <w:rStyle w:val="Hyperlink"/>
                <w:rFonts w:eastAsia="Times New Roman"/>
                <w:b/>
                <w:noProof/>
                <w:sz w:val="20"/>
                <w:szCs w:val="20"/>
              </w:rPr>
              <w:t>Table of Contents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_Toc36642356 \h </w:instrText>
            </w:r>
            <w:r w:rsidRPr="00C03E42">
              <w:rPr>
                <w:noProof/>
                <w:webHidden/>
                <w:sz w:val="20"/>
                <w:szCs w:val="20"/>
              </w:rPr>
            </w:r>
            <w:r w:rsidRPr="00C03E42">
              <w:rPr>
                <w:noProof/>
                <w:webHidden/>
                <w:sz w:val="20"/>
                <w:szCs w:val="20"/>
              </w:rPr>
              <w:fldChar w:fldCharType="separate"/>
            </w:r>
            <w:r w:rsidRPr="00C03E42">
              <w:rPr>
                <w:noProof/>
                <w:webHidden/>
                <w:sz w:val="20"/>
                <w:szCs w:val="20"/>
              </w:rPr>
              <w:t>3</w:t>
            </w:r>
            <w:r w:rsidRPr="00C03E42">
              <w:rPr>
                <w:noProof/>
                <w:webHidden/>
                <w:sz w:val="20"/>
                <w:szCs w:val="20"/>
              </w:rPr>
              <w:fldChar w:fldCharType="end"/>
            </w:r>
          </w:hyperlink>
        </w:p>
        <w:p w14:paraId="79F7639F" w14:textId="4E16E418"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7" w:history="1">
            <w:r w:rsidRPr="00C03E42">
              <w:rPr>
                <w:rStyle w:val="Hyperlink"/>
                <w:rFonts w:eastAsia="Times New Roman"/>
                <w:b/>
                <w:noProof/>
                <w:sz w:val="20"/>
                <w:szCs w:val="20"/>
              </w:rPr>
              <w:t>The Scope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_Toc36642357 \h </w:instrText>
            </w:r>
            <w:r w:rsidRPr="00C03E42">
              <w:rPr>
                <w:noProof/>
                <w:webHidden/>
                <w:sz w:val="20"/>
                <w:szCs w:val="20"/>
              </w:rPr>
            </w:r>
            <w:r w:rsidRPr="00C03E42">
              <w:rPr>
                <w:noProof/>
                <w:webHidden/>
                <w:sz w:val="20"/>
                <w:szCs w:val="20"/>
              </w:rPr>
              <w:fldChar w:fldCharType="separate"/>
            </w:r>
            <w:r w:rsidRPr="00C03E42">
              <w:rPr>
                <w:noProof/>
                <w:webHidden/>
                <w:sz w:val="20"/>
                <w:szCs w:val="20"/>
              </w:rPr>
              <w:t>4</w:t>
            </w:r>
            <w:r w:rsidRPr="00C03E42">
              <w:rPr>
                <w:noProof/>
                <w:webHidden/>
                <w:sz w:val="20"/>
                <w:szCs w:val="20"/>
              </w:rPr>
              <w:fldChar w:fldCharType="end"/>
            </w:r>
          </w:hyperlink>
        </w:p>
        <w:p w14:paraId="22B5BBAE" w14:textId="0D9DDFE1"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8" w:history="1">
            <w:r w:rsidRPr="00C03E42">
              <w:rPr>
                <w:rStyle w:val="Hyperlink"/>
                <w:rFonts w:eastAsia="Times New Roman"/>
                <w:b/>
                <w:noProof/>
                <w:sz w:val="20"/>
                <w:szCs w:val="20"/>
              </w:rPr>
              <w:t>Our Standard Disclaimer</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_Toc36642358 \h </w:instrText>
            </w:r>
            <w:r w:rsidRPr="00C03E42">
              <w:rPr>
                <w:noProof/>
                <w:webHidden/>
                <w:sz w:val="20"/>
                <w:szCs w:val="20"/>
              </w:rPr>
            </w:r>
            <w:r w:rsidRPr="00C03E42">
              <w:rPr>
                <w:noProof/>
                <w:webHidden/>
                <w:sz w:val="20"/>
                <w:szCs w:val="20"/>
              </w:rPr>
              <w:fldChar w:fldCharType="separate"/>
            </w:r>
            <w:r w:rsidRPr="00C03E42">
              <w:rPr>
                <w:noProof/>
                <w:webHidden/>
                <w:sz w:val="20"/>
                <w:szCs w:val="20"/>
              </w:rPr>
              <w:t>4</w:t>
            </w:r>
            <w:r w:rsidRPr="00C03E42">
              <w:rPr>
                <w:noProof/>
                <w:webHidden/>
                <w:sz w:val="20"/>
                <w:szCs w:val="20"/>
              </w:rPr>
              <w:fldChar w:fldCharType="end"/>
            </w:r>
          </w:hyperlink>
        </w:p>
        <w:p w14:paraId="30EDD1DC" w14:textId="51D4A68C"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59" w:history="1">
            <w:r w:rsidRPr="00C03E42">
              <w:rPr>
                <w:rStyle w:val="Hyperlink"/>
                <w:rFonts w:eastAsia="Times New Roman"/>
                <w:b/>
                <w:noProof/>
                <w:sz w:val="20"/>
                <w:szCs w:val="20"/>
              </w:rPr>
              <w:t>Reasonable Basis _ What has Changed</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_Toc36642359 \h </w:instrText>
            </w:r>
            <w:r w:rsidRPr="00C03E42">
              <w:rPr>
                <w:noProof/>
                <w:webHidden/>
                <w:sz w:val="20"/>
                <w:szCs w:val="20"/>
              </w:rPr>
            </w:r>
            <w:r w:rsidRPr="00C03E42">
              <w:rPr>
                <w:noProof/>
                <w:webHidden/>
                <w:sz w:val="20"/>
                <w:szCs w:val="20"/>
              </w:rPr>
              <w:fldChar w:fldCharType="separate"/>
            </w:r>
            <w:r w:rsidRPr="00C03E42">
              <w:rPr>
                <w:noProof/>
                <w:webHidden/>
                <w:sz w:val="20"/>
                <w:szCs w:val="20"/>
              </w:rPr>
              <w:t>5</w:t>
            </w:r>
            <w:r w:rsidRPr="00C03E42">
              <w:rPr>
                <w:noProof/>
                <w:webHidden/>
                <w:sz w:val="20"/>
                <w:szCs w:val="20"/>
              </w:rPr>
              <w:fldChar w:fldCharType="end"/>
            </w:r>
          </w:hyperlink>
        </w:p>
        <w:p w14:paraId="2E98C1FC" w14:textId="7CC1A827"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0" w:history="1">
            <w:r w:rsidRPr="00C03E42">
              <w:rPr>
                <w:rStyle w:val="Hyperlink"/>
                <w:rFonts w:eastAsia="Times New Roman"/>
                <w:b/>
                <w:noProof/>
                <w:sz w:val="20"/>
                <w:szCs w:val="20"/>
              </w:rPr>
              <w:t>Appropriate Advice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_Toc36642360 \h </w:instrText>
            </w:r>
            <w:r w:rsidRPr="00C03E42">
              <w:rPr>
                <w:noProof/>
                <w:webHidden/>
                <w:sz w:val="20"/>
                <w:szCs w:val="20"/>
              </w:rPr>
            </w:r>
            <w:r w:rsidRPr="00C03E42">
              <w:rPr>
                <w:noProof/>
                <w:webHidden/>
                <w:sz w:val="20"/>
                <w:szCs w:val="20"/>
              </w:rPr>
              <w:fldChar w:fldCharType="separate"/>
            </w:r>
            <w:r w:rsidRPr="00C03E42">
              <w:rPr>
                <w:noProof/>
                <w:webHidden/>
                <w:sz w:val="20"/>
                <w:szCs w:val="20"/>
              </w:rPr>
              <w:t>5</w:t>
            </w:r>
            <w:r w:rsidRPr="00C03E42">
              <w:rPr>
                <w:noProof/>
                <w:webHidden/>
                <w:sz w:val="20"/>
                <w:szCs w:val="20"/>
              </w:rPr>
              <w:fldChar w:fldCharType="end"/>
            </w:r>
          </w:hyperlink>
        </w:p>
        <w:p w14:paraId="3556AAF4" w14:textId="28136181"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1" w:history="1">
            <w:r w:rsidRPr="00C03E42">
              <w:rPr>
                <w:rStyle w:val="Hyperlink"/>
                <w:rFonts w:eastAsia="Times New Roman"/>
                <w:b/>
                <w:noProof/>
                <w:sz w:val="20"/>
                <w:szCs w:val="20"/>
              </w:rPr>
              <w:t>FASEA Code of Ethics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_Toc36642361 \h </w:instrText>
            </w:r>
            <w:r w:rsidRPr="00C03E42">
              <w:rPr>
                <w:noProof/>
                <w:webHidden/>
                <w:sz w:val="20"/>
                <w:szCs w:val="20"/>
              </w:rPr>
            </w:r>
            <w:r w:rsidRPr="00C03E42">
              <w:rPr>
                <w:noProof/>
                <w:webHidden/>
                <w:sz w:val="20"/>
                <w:szCs w:val="20"/>
              </w:rPr>
              <w:fldChar w:fldCharType="separate"/>
            </w:r>
            <w:r w:rsidRPr="00C03E42">
              <w:rPr>
                <w:noProof/>
                <w:webHidden/>
                <w:sz w:val="20"/>
                <w:szCs w:val="20"/>
              </w:rPr>
              <w:t>5</w:t>
            </w:r>
            <w:r w:rsidRPr="00C03E42">
              <w:rPr>
                <w:noProof/>
                <w:webHidden/>
                <w:sz w:val="20"/>
                <w:szCs w:val="20"/>
              </w:rPr>
              <w:fldChar w:fldCharType="end"/>
            </w:r>
          </w:hyperlink>
        </w:p>
        <w:p w14:paraId="58E91447" w14:textId="163DC794"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2" w:history="1">
            <w:r w:rsidRPr="00C03E42">
              <w:rPr>
                <w:rStyle w:val="Hyperlink"/>
                <w:rFonts w:eastAsia="Times New Roman"/>
                <w:b/>
                <w:noProof/>
                <w:sz w:val="20"/>
                <w:szCs w:val="20"/>
              </w:rPr>
              <w:t>Financial Objectives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_Toc36642362 \h </w:instrText>
            </w:r>
            <w:r w:rsidRPr="00C03E42">
              <w:rPr>
                <w:noProof/>
                <w:webHidden/>
                <w:sz w:val="20"/>
                <w:szCs w:val="20"/>
              </w:rPr>
            </w:r>
            <w:r w:rsidRPr="00C03E42">
              <w:rPr>
                <w:noProof/>
                <w:webHidden/>
                <w:sz w:val="20"/>
                <w:szCs w:val="20"/>
              </w:rPr>
              <w:fldChar w:fldCharType="separate"/>
            </w:r>
            <w:r w:rsidRPr="00C03E42">
              <w:rPr>
                <w:noProof/>
                <w:webHidden/>
                <w:sz w:val="20"/>
                <w:szCs w:val="20"/>
              </w:rPr>
              <w:t>5</w:t>
            </w:r>
            <w:r w:rsidRPr="00C03E42">
              <w:rPr>
                <w:noProof/>
                <w:webHidden/>
                <w:sz w:val="20"/>
                <w:szCs w:val="20"/>
              </w:rPr>
              <w:fldChar w:fldCharType="end"/>
            </w:r>
          </w:hyperlink>
        </w:p>
        <w:p w14:paraId="00BBC622" w14:textId="7B731B80"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3" w:history="1">
            <w:r w:rsidRPr="00C03E42">
              <w:rPr>
                <w:rStyle w:val="Hyperlink"/>
                <w:rFonts w:eastAsia="Times New Roman"/>
                <w:b/>
                <w:noProof/>
                <w:sz w:val="20"/>
                <w:szCs w:val="20"/>
              </w:rPr>
              <w:t>Relevant Personal Information</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_Toc36642363 \h </w:instrText>
            </w:r>
            <w:r w:rsidRPr="00C03E42">
              <w:rPr>
                <w:noProof/>
                <w:webHidden/>
                <w:sz w:val="20"/>
                <w:szCs w:val="20"/>
              </w:rPr>
            </w:r>
            <w:r w:rsidRPr="00C03E42">
              <w:rPr>
                <w:noProof/>
                <w:webHidden/>
                <w:sz w:val="20"/>
                <w:szCs w:val="20"/>
              </w:rPr>
              <w:fldChar w:fldCharType="separate"/>
            </w:r>
            <w:r w:rsidRPr="00C03E42">
              <w:rPr>
                <w:noProof/>
                <w:webHidden/>
                <w:sz w:val="20"/>
                <w:szCs w:val="20"/>
              </w:rPr>
              <w:t>6</w:t>
            </w:r>
            <w:r w:rsidRPr="00C03E42">
              <w:rPr>
                <w:noProof/>
                <w:webHidden/>
                <w:sz w:val="20"/>
                <w:szCs w:val="20"/>
              </w:rPr>
              <w:fldChar w:fldCharType="end"/>
            </w:r>
          </w:hyperlink>
        </w:p>
        <w:p w14:paraId="3EACADC4" w14:textId="2A7E02CA"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4" w:history="1">
            <w:r w:rsidRPr="00C03E42">
              <w:rPr>
                <w:rStyle w:val="Hyperlink"/>
                <w:rFonts w:eastAsia="Times New Roman"/>
                <w:b/>
                <w:noProof/>
                <w:sz w:val="20"/>
                <w:szCs w:val="20"/>
              </w:rPr>
              <w:t>Adding “Background Information”</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_Toc36642364 \h </w:instrText>
            </w:r>
            <w:r w:rsidRPr="00C03E42">
              <w:rPr>
                <w:noProof/>
                <w:webHidden/>
                <w:sz w:val="20"/>
                <w:szCs w:val="20"/>
              </w:rPr>
            </w:r>
            <w:r w:rsidRPr="00C03E42">
              <w:rPr>
                <w:noProof/>
                <w:webHidden/>
                <w:sz w:val="20"/>
                <w:szCs w:val="20"/>
              </w:rPr>
              <w:fldChar w:fldCharType="separate"/>
            </w:r>
            <w:r w:rsidRPr="00C03E42">
              <w:rPr>
                <w:noProof/>
                <w:webHidden/>
                <w:sz w:val="20"/>
                <w:szCs w:val="20"/>
              </w:rPr>
              <w:t>6</w:t>
            </w:r>
            <w:r w:rsidRPr="00C03E42">
              <w:rPr>
                <w:noProof/>
                <w:webHidden/>
                <w:sz w:val="20"/>
                <w:szCs w:val="20"/>
              </w:rPr>
              <w:fldChar w:fldCharType="end"/>
            </w:r>
          </w:hyperlink>
        </w:p>
        <w:p w14:paraId="01930084" w14:textId="4818A530"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5" w:history="1">
            <w:r w:rsidRPr="00C03E42">
              <w:rPr>
                <w:rStyle w:val="Hyperlink"/>
                <w:rFonts w:eastAsia="Times New Roman"/>
                <w:b/>
                <w:noProof/>
                <w:sz w:val="20"/>
                <w:szCs w:val="20"/>
              </w:rPr>
              <w:t>Risk Profile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_Toc36642365 \h </w:instrText>
            </w:r>
            <w:r w:rsidRPr="00C03E42">
              <w:rPr>
                <w:noProof/>
                <w:webHidden/>
                <w:sz w:val="20"/>
                <w:szCs w:val="20"/>
              </w:rPr>
            </w:r>
            <w:r w:rsidRPr="00C03E42">
              <w:rPr>
                <w:noProof/>
                <w:webHidden/>
                <w:sz w:val="20"/>
                <w:szCs w:val="20"/>
              </w:rPr>
              <w:fldChar w:fldCharType="separate"/>
            </w:r>
            <w:r w:rsidRPr="00C03E42">
              <w:rPr>
                <w:noProof/>
                <w:webHidden/>
                <w:sz w:val="20"/>
                <w:szCs w:val="20"/>
              </w:rPr>
              <w:t>7</w:t>
            </w:r>
            <w:r w:rsidRPr="00C03E42">
              <w:rPr>
                <w:noProof/>
                <w:webHidden/>
                <w:sz w:val="20"/>
                <w:szCs w:val="20"/>
              </w:rPr>
              <w:fldChar w:fldCharType="end"/>
            </w:r>
          </w:hyperlink>
        </w:p>
        <w:p w14:paraId="7F876B64" w14:textId="0283F345"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6" w:history="1">
            <w:r w:rsidRPr="00C03E42">
              <w:rPr>
                <w:rStyle w:val="Hyperlink"/>
                <w:rFonts w:eastAsia="Times New Roman"/>
                <w:b/>
                <w:noProof/>
                <w:sz w:val="20"/>
                <w:szCs w:val="20"/>
              </w:rPr>
              <w:t>Strategy Recommendations (Tabular Format)</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_Toc36642366 \h </w:instrText>
            </w:r>
            <w:r w:rsidRPr="00C03E42">
              <w:rPr>
                <w:noProof/>
                <w:webHidden/>
                <w:sz w:val="20"/>
                <w:szCs w:val="20"/>
              </w:rPr>
            </w:r>
            <w:r w:rsidRPr="00C03E42">
              <w:rPr>
                <w:noProof/>
                <w:webHidden/>
                <w:sz w:val="20"/>
                <w:szCs w:val="20"/>
              </w:rPr>
              <w:fldChar w:fldCharType="separate"/>
            </w:r>
            <w:r w:rsidRPr="00C03E42">
              <w:rPr>
                <w:noProof/>
                <w:webHidden/>
                <w:sz w:val="20"/>
                <w:szCs w:val="20"/>
              </w:rPr>
              <w:t>7</w:t>
            </w:r>
            <w:r w:rsidRPr="00C03E42">
              <w:rPr>
                <w:noProof/>
                <w:webHidden/>
                <w:sz w:val="20"/>
                <w:szCs w:val="20"/>
              </w:rPr>
              <w:fldChar w:fldCharType="end"/>
            </w:r>
          </w:hyperlink>
        </w:p>
        <w:p w14:paraId="092FD850" w14:textId="70E70892"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7" w:history="1">
            <w:r w:rsidRPr="00C03E42">
              <w:rPr>
                <w:rStyle w:val="Hyperlink"/>
                <w:rFonts w:eastAsia="Times New Roman"/>
                <w:b/>
                <w:noProof/>
                <w:sz w:val="20"/>
                <w:szCs w:val="20"/>
              </w:rPr>
              <w:t>Uncritical Reliance Upon Generic Texts or templated footnotes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_Toc36642367 \h </w:instrText>
            </w:r>
            <w:r w:rsidRPr="00C03E42">
              <w:rPr>
                <w:noProof/>
                <w:webHidden/>
                <w:sz w:val="20"/>
                <w:szCs w:val="20"/>
              </w:rPr>
            </w:r>
            <w:r w:rsidRPr="00C03E42">
              <w:rPr>
                <w:noProof/>
                <w:webHidden/>
                <w:sz w:val="20"/>
                <w:szCs w:val="20"/>
              </w:rPr>
              <w:fldChar w:fldCharType="separate"/>
            </w:r>
            <w:r w:rsidRPr="00C03E42">
              <w:rPr>
                <w:noProof/>
                <w:webHidden/>
                <w:sz w:val="20"/>
                <w:szCs w:val="20"/>
              </w:rPr>
              <w:t>8</w:t>
            </w:r>
            <w:r w:rsidRPr="00C03E42">
              <w:rPr>
                <w:noProof/>
                <w:webHidden/>
                <w:sz w:val="20"/>
                <w:szCs w:val="20"/>
              </w:rPr>
              <w:fldChar w:fldCharType="end"/>
            </w:r>
          </w:hyperlink>
        </w:p>
        <w:p w14:paraId="0B8A332E" w14:textId="412FA670"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68" w:history="1">
            <w:r w:rsidRPr="00C03E42">
              <w:rPr>
                <w:rStyle w:val="Hyperlink"/>
                <w:rFonts w:eastAsia="Times New Roman"/>
                <w:b/>
                <w:noProof/>
                <w:sz w:val="20"/>
                <w:szCs w:val="20"/>
              </w:rPr>
              <w:t>Other Sections in the SoA that Demonstrate Best Interest</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_Toc36642368 \h </w:instrText>
            </w:r>
            <w:r w:rsidRPr="00C03E42">
              <w:rPr>
                <w:noProof/>
                <w:webHidden/>
                <w:sz w:val="20"/>
                <w:szCs w:val="20"/>
              </w:rPr>
            </w:r>
            <w:r w:rsidRPr="00C03E42">
              <w:rPr>
                <w:noProof/>
                <w:webHidden/>
                <w:sz w:val="20"/>
                <w:szCs w:val="20"/>
              </w:rPr>
              <w:fldChar w:fldCharType="separate"/>
            </w:r>
            <w:r w:rsidRPr="00C03E42">
              <w:rPr>
                <w:noProof/>
                <w:webHidden/>
                <w:sz w:val="20"/>
                <w:szCs w:val="20"/>
              </w:rPr>
              <w:t>8</w:t>
            </w:r>
            <w:r w:rsidRPr="00C03E42">
              <w:rPr>
                <w:noProof/>
                <w:webHidden/>
                <w:sz w:val="20"/>
                <w:szCs w:val="20"/>
              </w:rPr>
              <w:fldChar w:fldCharType="end"/>
            </w:r>
          </w:hyperlink>
        </w:p>
        <w:p w14:paraId="4FDA3571" w14:textId="2F04B59E"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69" w:history="1">
            <w:r w:rsidRPr="00C03E42">
              <w:rPr>
                <w:rStyle w:val="Hyperlink"/>
                <w:noProof/>
                <w:sz w:val="20"/>
                <w:szCs w:val="20"/>
              </w:rPr>
              <w:t>Replacement Product Table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_Toc36642369 \h </w:instrText>
            </w:r>
            <w:r w:rsidRPr="00C03E42">
              <w:rPr>
                <w:noProof/>
                <w:webHidden/>
                <w:sz w:val="20"/>
                <w:szCs w:val="20"/>
              </w:rPr>
            </w:r>
            <w:r w:rsidRPr="00C03E42">
              <w:rPr>
                <w:noProof/>
                <w:webHidden/>
                <w:sz w:val="20"/>
                <w:szCs w:val="20"/>
              </w:rPr>
              <w:fldChar w:fldCharType="separate"/>
            </w:r>
            <w:r w:rsidRPr="00C03E42">
              <w:rPr>
                <w:noProof/>
                <w:webHidden/>
                <w:sz w:val="20"/>
                <w:szCs w:val="20"/>
              </w:rPr>
              <w:t>8</w:t>
            </w:r>
            <w:r w:rsidRPr="00C03E42">
              <w:rPr>
                <w:noProof/>
                <w:webHidden/>
                <w:sz w:val="20"/>
                <w:szCs w:val="20"/>
              </w:rPr>
              <w:fldChar w:fldCharType="end"/>
            </w:r>
          </w:hyperlink>
        </w:p>
        <w:p w14:paraId="0140FFB4" w14:textId="3CB57548"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0" w:history="1">
            <w:r w:rsidRPr="00C03E42">
              <w:rPr>
                <w:rStyle w:val="Hyperlink"/>
                <w:noProof/>
                <w:sz w:val="20"/>
                <w:szCs w:val="20"/>
              </w:rPr>
              <w:t>Benefits Gained</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_Toc36642370 \h </w:instrText>
            </w:r>
            <w:r w:rsidRPr="00C03E42">
              <w:rPr>
                <w:noProof/>
                <w:webHidden/>
                <w:sz w:val="20"/>
                <w:szCs w:val="20"/>
              </w:rPr>
            </w:r>
            <w:r w:rsidRPr="00C03E42">
              <w:rPr>
                <w:noProof/>
                <w:webHidden/>
                <w:sz w:val="20"/>
                <w:szCs w:val="20"/>
              </w:rPr>
              <w:fldChar w:fldCharType="separate"/>
            </w:r>
            <w:r w:rsidRPr="00C03E42">
              <w:rPr>
                <w:noProof/>
                <w:webHidden/>
                <w:sz w:val="20"/>
                <w:szCs w:val="20"/>
              </w:rPr>
              <w:t>8</w:t>
            </w:r>
            <w:r w:rsidRPr="00C03E42">
              <w:rPr>
                <w:noProof/>
                <w:webHidden/>
                <w:sz w:val="20"/>
                <w:szCs w:val="20"/>
              </w:rPr>
              <w:fldChar w:fldCharType="end"/>
            </w:r>
          </w:hyperlink>
        </w:p>
        <w:p w14:paraId="359E5317" w14:textId="21A7AAB5"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1" w:history="1">
            <w:r w:rsidRPr="00C03E42">
              <w:rPr>
                <w:rStyle w:val="Hyperlink"/>
                <w:noProof/>
                <w:sz w:val="20"/>
                <w:szCs w:val="20"/>
              </w:rPr>
              <w:t>Benefits Lost</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_Toc36642371 \h </w:instrText>
            </w:r>
            <w:r w:rsidRPr="00C03E42">
              <w:rPr>
                <w:noProof/>
                <w:webHidden/>
                <w:sz w:val="20"/>
                <w:szCs w:val="20"/>
              </w:rPr>
            </w:r>
            <w:r w:rsidRPr="00C03E42">
              <w:rPr>
                <w:noProof/>
                <w:webHidden/>
                <w:sz w:val="20"/>
                <w:szCs w:val="20"/>
              </w:rPr>
              <w:fldChar w:fldCharType="separate"/>
            </w:r>
            <w:r w:rsidRPr="00C03E42">
              <w:rPr>
                <w:noProof/>
                <w:webHidden/>
                <w:sz w:val="20"/>
                <w:szCs w:val="20"/>
              </w:rPr>
              <w:t>9</w:t>
            </w:r>
            <w:r w:rsidRPr="00C03E42">
              <w:rPr>
                <w:noProof/>
                <w:webHidden/>
                <w:sz w:val="20"/>
                <w:szCs w:val="20"/>
              </w:rPr>
              <w:fldChar w:fldCharType="end"/>
            </w:r>
          </w:hyperlink>
        </w:p>
        <w:p w14:paraId="15E663C3" w14:textId="72F88E24"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2" w:history="1">
            <w:r w:rsidRPr="00C03E42">
              <w:rPr>
                <w:rStyle w:val="Hyperlink"/>
                <w:noProof/>
                <w:sz w:val="20"/>
                <w:szCs w:val="20"/>
              </w:rPr>
              <w:t>Reason For Recommended Product Solution</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_Toc36642372 \h </w:instrText>
            </w:r>
            <w:r w:rsidRPr="00C03E42">
              <w:rPr>
                <w:noProof/>
                <w:webHidden/>
                <w:sz w:val="20"/>
                <w:szCs w:val="20"/>
              </w:rPr>
            </w:r>
            <w:r w:rsidRPr="00C03E42">
              <w:rPr>
                <w:noProof/>
                <w:webHidden/>
                <w:sz w:val="20"/>
                <w:szCs w:val="20"/>
              </w:rPr>
              <w:fldChar w:fldCharType="separate"/>
            </w:r>
            <w:r w:rsidRPr="00C03E42">
              <w:rPr>
                <w:noProof/>
                <w:webHidden/>
                <w:sz w:val="20"/>
                <w:szCs w:val="20"/>
              </w:rPr>
              <w:t>9</w:t>
            </w:r>
            <w:r w:rsidRPr="00C03E42">
              <w:rPr>
                <w:noProof/>
                <w:webHidden/>
                <w:sz w:val="20"/>
                <w:szCs w:val="20"/>
              </w:rPr>
              <w:fldChar w:fldCharType="end"/>
            </w:r>
          </w:hyperlink>
        </w:p>
        <w:p w14:paraId="428DFCF1" w14:textId="5779D7DD"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3" w:history="1">
            <w:r w:rsidRPr="00C03E42">
              <w:rPr>
                <w:rStyle w:val="Hyperlink"/>
                <w:noProof/>
                <w:sz w:val="20"/>
                <w:szCs w:val="20"/>
              </w:rPr>
              <w:t>Other Potential Lost Benefits or Significant Consequences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_Toc36642373 \h </w:instrText>
            </w:r>
            <w:r w:rsidRPr="00C03E42">
              <w:rPr>
                <w:noProof/>
                <w:webHidden/>
                <w:sz w:val="20"/>
                <w:szCs w:val="20"/>
              </w:rPr>
            </w:r>
            <w:r w:rsidRPr="00C03E42">
              <w:rPr>
                <w:noProof/>
                <w:webHidden/>
                <w:sz w:val="20"/>
                <w:szCs w:val="20"/>
              </w:rPr>
              <w:fldChar w:fldCharType="separate"/>
            </w:r>
            <w:r w:rsidRPr="00C03E42">
              <w:rPr>
                <w:noProof/>
                <w:webHidden/>
                <w:sz w:val="20"/>
                <w:szCs w:val="20"/>
              </w:rPr>
              <w:t>9</w:t>
            </w:r>
            <w:r w:rsidRPr="00C03E42">
              <w:rPr>
                <w:noProof/>
                <w:webHidden/>
                <w:sz w:val="20"/>
                <w:szCs w:val="20"/>
              </w:rPr>
              <w:fldChar w:fldCharType="end"/>
            </w:r>
          </w:hyperlink>
        </w:p>
        <w:p w14:paraId="5C2D7FDE" w14:textId="78C4FE10"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4" w:history="1">
            <w:r w:rsidRPr="00C03E42">
              <w:rPr>
                <w:rStyle w:val="Hyperlink"/>
                <w:noProof/>
                <w:sz w:val="20"/>
                <w:szCs w:val="20"/>
              </w:rPr>
              <w:t>Risks associated with Change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_Toc36642374 \h </w:instrText>
            </w:r>
            <w:r w:rsidRPr="00C03E42">
              <w:rPr>
                <w:noProof/>
                <w:webHidden/>
                <w:sz w:val="20"/>
                <w:szCs w:val="20"/>
              </w:rPr>
            </w:r>
            <w:r w:rsidRPr="00C03E42">
              <w:rPr>
                <w:noProof/>
                <w:webHidden/>
                <w:sz w:val="20"/>
                <w:szCs w:val="20"/>
              </w:rPr>
              <w:fldChar w:fldCharType="separate"/>
            </w:r>
            <w:r w:rsidRPr="00C03E42">
              <w:rPr>
                <w:noProof/>
                <w:webHidden/>
                <w:sz w:val="20"/>
                <w:szCs w:val="20"/>
              </w:rPr>
              <w:t>9</w:t>
            </w:r>
            <w:r w:rsidRPr="00C03E42">
              <w:rPr>
                <w:noProof/>
                <w:webHidden/>
                <w:sz w:val="20"/>
                <w:szCs w:val="20"/>
              </w:rPr>
              <w:fldChar w:fldCharType="end"/>
            </w:r>
          </w:hyperlink>
        </w:p>
        <w:p w14:paraId="588F4B14" w14:textId="42433E98" w:rsidR="00C03E42" w:rsidRPr="00C03E42" w:rsidRDefault="00C03E42">
          <w:pPr>
            <w:pStyle w:val="TOC3"/>
            <w:tabs>
              <w:tab w:val="right" w:leader="dot" w:pos="9016"/>
            </w:tabs>
            <w:rPr>
              <w:rFonts w:asciiTheme="minorHAnsi" w:eastAsiaTheme="minorEastAsia" w:hAnsiTheme="minorHAnsi" w:cstheme="minorBidi"/>
              <w:noProof/>
              <w:sz w:val="20"/>
              <w:szCs w:val="20"/>
              <w:lang w:eastAsia="en-AU"/>
            </w:rPr>
          </w:pPr>
          <w:hyperlink w:anchor="_Toc36642375" w:history="1">
            <w:r w:rsidRPr="00C03E42">
              <w:rPr>
                <w:rStyle w:val="Hyperlink"/>
                <w:noProof/>
                <w:sz w:val="20"/>
                <w:szCs w:val="20"/>
              </w:rPr>
              <w:t>Other Strategies Considered</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_Toc36642375 \h </w:instrText>
            </w:r>
            <w:r w:rsidRPr="00C03E42">
              <w:rPr>
                <w:noProof/>
                <w:webHidden/>
                <w:sz w:val="20"/>
                <w:szCs w:val="20"/>
              </w:rPr>
            </w:r>
            <w:r w:rsidRPr="00C03E42">
              <w:rPr>
                <w:noProof/>
                <w:webHidden/>
                <w:sz w:val="20"/>
                <w:szCs w:val="20"/>
              </w:rPr>
              <w:fldChar w:fldCharType="separate"/>
            </w:r>
            <w:r w:rsidRPr="00C03E42">
              <w:rPr>
                <w:noProof/>
                <w:webHidden/>
                <w:sz w:val="20"/>
                <w:szCs w:val="20"/>
              </w:rPr>
              <w:t>10</w:t>
            </w:r>
            <w:r w:rsidRPr="00C03E42">
              <w:rPr>
                <w:noProof/>
                <w:webHidden/>
                <w:sz w:val="20"/>
                <w:szCs w:val="20"/>
              </w:rPr>
              <w:fldChar w:fldCharType="end"/>
            </w:r>
          </w:hyperlink>
        </w:p>
        <w:p w14:paraId="0C401988" w14:textId="76FCE571"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76" w:history="1">
            <w:r w:rsidRPr="00C03E42">
              <w:rPr>
                <w:rStyle w:val="Hyperlink"/>
                <w:rFonts w:eastAsia="Times New Roman"/>
                <w:b/>
                <w:noProof/>
                <w:sz w:val="20"/>
                <w:szCs w:val="20"/>
              </w:rPr>
              <w:t>Ongoing Service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_Toc36642376 \h </w:instrText>
            </w:r>
            <w:r w:rsidRPr="00C03E42">
              <w:rPr>
                <w:noProof/>
                <w:webHidden/>
                <w:sz w:val="20"/>
                <w:szCs w:val="20"/>
              </w:rPr>
            </w:r>
            <w:r w:rsidRPr="00C03E42">
              <w:rPr>
                <w:noProof/>
                <w:webHidden/>
                <w:sz w:val="20"/>
                <w:szCs w:val="20"/>
              </w:rPr>
              <w:fldChar w:fldCharType="separate"/>
            </w:r>
            <w:r w:rsidRPr="00C03E42">
              <w:rPr>
                <w:noProof/>
                <w:webHidden/>
                <w:sz w:val="20"/>
                <w:szCs w:val="20"/>
              </w:rPr>
              <w:t>10</w:t>
            </w:r>
            <w:r w:rsidRPr="00C03E42">
              <w:rPr>
                <w:noProof/>
                <w:webHidden/>
                <w:sz w:val="20"/>
                <w:szCs w:val="20"/>
              </w:rPr>
              <w:fldChar w:fldCharType="end"/>
            </w:r>
          </w:hyperlink>
        </w:p>
        <w:p w14:paraId="12203307" w14:textId="1368C309"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77" w:history="1">
            <w:r w:rsidRPr="00C03E42">
              <w:rPr>
                <w:rStyle w:val="Hyperlink"/>
                <w:rFonts w:eastAsia="Times New Roman"/>
                <w:b/>
                <w:noProof/>
                <w:sz w:val="20"/>
                <w:szCs w:val="20"/>
              </w:rPr>
              <w:t>Fees and Best Interest</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_Toc36642377 \h </w:instrText>
            </w:r>
            <w:r w:rsidRPr="00C03E42">
              <w:rPr>
                <w:noProof/>
                <w:webHidden/>
                <w:sz w:val="20"/>
                <w:szCs w:val="20"/>
              </w:rPr>
            </w:r>
            <w:r w:rsidRPr="00C03E42">
              <w:rPr>
                <w:noProof/>
                <w:webHidden/>
                <w:sz w:val="20"/>
                <w:szCs w:val="20"/>
              </w:rPr>
              <w:fldChar w:fldCharType="separate"/>
            </w:r>
            <w:r w:rsidRPr="00C03E42">
              <w:rPr>
                <w:noProof/>
                <w:webHidden/>
                <w:sz w:val="20"/>
                <w:szCs w:val="20"/>
              </w:rPr>
              <w:t>11</w:t>
            </w:r>
            <w:r w:rsidRPr="00C03E42">
              <w:rPr>
                <w:noProof/>
                <w:webHidden/>
                <w:sz w:val="20"/>
                <w:szCs w:val="20"/>
              </w:rPr>
              <w:fldChar w:fldCharType="end"/>
            </w:r>
          </w:hyperlink>
        </w:p>
        <w:p w14:paraId="785244FE" w14:textId="5C26586E"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78" w:history="1">
            <w:r w:rsidRPr="00C03E42">
              <w:rPr>
                <w:rStyle w:val="Hyperlink"/>
                <w:rFonts w:eastAsia="Times New Roman"/>
                <w:b/>
                <w:noProof/>
                <w:sz w:val="20"/>
                <w:szCs w:val="20"/>
              </w:rPr>
              <w:t>Potential Conflicts of Interest</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_Toc36642378 \h </w:instrText>
            </w:r>
            <w:r w:rsidRPr="00C03E42">
              <w:rPr>
                <w:noProof/>
                <w:webHidden/>
                <w:sz w:val="20"/>
                <w:szCs w:val="20"/>
              </w:rPr>
            </w:r>
            <w:r w:rsidRPr="00C03E42">
              <w:rPr>
                <w:noProof/>
                <w:webHidden/>
                <w:sz w:val="20"/>
                <w:szCs w:val="20"/>
              </w:rPr>
              <w:fldChar w:fldCharType="separate"/>
            </w:r>
            <w:r w:rsidRPr="00C03E42">
              <w:rPr>
                <w:noProof/>
                <w:webHidden/>
                <w:sz w:val="20"/>
                <w:szCs w:val="20"/>
              </w:rPr>
              <w:t>12</w:t>
            </w:r>
            <w:r w:rsidRPr="00C03E42">
              <w:rPr>
                <w:noProof/>
                <w:webHidden/>
                <w:sz w:val="20"/>
                <w:szCs w:val="20"/>
              </w:rPr>
              <w:fldChar w:fldCharType="end"/>
            </w:r>
          </w:hyperlink>
        </w:p>
        <w:p w14:paraId="072DBFFC" w14:textId="10C9B006"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79" w:history="1">
            <w:r w:rsidRPr="00C03E42">
              <w:rPr>
                <w:rStyle w:val="Hyperlink"/>
                <w:rFonts w:eastAsia="Times New Roman"/>
                <w:b/>
                <w:noProof/>
                <w:sz w:val="20"/>
                <w:szCs w:val="20"/>
              </w:rPr>
              <w:t>Appendix</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_Toc36642379 \h </w:instrText>
            </w:r>
            <w:r w:rsidRPr="00C03E42">
              <w:rPr>
                <w:noProof/>
                <w:webHidden/>
                <w:sz w:val="20"/>
                <w:szCs w:val="20"/>
              </w:rPr>
            </w:r>
            <w:r w:rsidRPr="00C03E42">
              <w:rPr>
                <w:noProof/>
                <w:webHidden/>
                <w:sz w:val="20"/>
                <w:szCs w:val="20"/>
              </w:rPr>
              <w:fldChar w:fldCharType="separate"/>
            </w:r>
            <w:r w:rsidRPr="00C03E42">
              <w:rPr>
                <w:noProof/>
                <w:webHidden/>
                <w:sz w:val="20"/>
                <w:szCs w:val="20"/>
              </w:rPr>
              <w:t>12</w:t>
            </w:r>
            <w:r w:rsidRPr="00C03E42">
              <w:rPr>
                <w:noProof/>
                <w:webHidden/>
                <w:sz w:val="20"/>
                <w:szCs w:val="20"/>
              </w:rPr>
              <w:fldChar w:fldCharType="end"/>
            </w:r>
          </w:hyperlink>
        </w:p>
        <w:p w14:paraId="012AD5D5" w14:textId="0281B28C"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0" w:history="1">
            <w:r w:rsidRPr="00C03E42">
              <w:rPr>
                <w:rStyle w:val="Hyperlink"/>
                <w:rFonts w:eastAsia="Times New Roman"/>
                <w:b/>
                <w:noProof/>
                <w:sz w:val="20"/>
                <w:szCs w:val="20"/>
              </w:rPr>
              <w:t>Finalising the SoA</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_Toc36642380 \h </w:instrText>
            </w:r>
            <w:r w:rsidRPr="00C03E42">
              <w:rPr>
                <w:noProof/>
                <w:webHidden/>
                <w:sz w:val="20"/>
                <w:szCs w:val="20"/>
              </w:rPr>
            </w:r>
            <w:r w:rsidRPr="00C03E42">
              <w:rPr>
                <w:noProof/>
                <w:webHidden/>
                <w:sz w:val="20"/>
                <w:szCs w:val="20"/>
              </w:rPr>
              <w:fldChar w:fldCharType="separate"/>
            </w:r>
            <w:r w:rsidRPr="00C03E42">
              <w:rPr>
                <w:noProof/>
                <w:webHidden/>
                <w:sz w:val="20"/>
                <w:szCs w:val="20"/>
              </w:rPr>
              <w:t>12</w:t>
            </w:r>
            <w:r w:rsidRPr="00C03E42">
              <w:rPr>
                <w:noProof/>
                <w:webHidden/>
                <w:sz w:val="20"/>
                <w:szCs w:val="20"/>
              </w:rPr>
              <w:fldChar w:fldCharType="end"/>
            </w:r>
          </w:hyperlink>
        </w:p>
        <w:p w14:paraId="6359F118" w14:textId="37ACDC02" w:rsidR="00C03E42" w:rsidRPr="00C03E42" w:rsidRDefault="00C03E42">
          <w:pPr>
            <w:pStyle w:val="TOC1"/>
            <w:tabs>
              <w:tab w:val="right" w:leader="dot" w:pos="9016"/>
            </w:tabs>
            <w:rPr>
              <w:rFonts w:asciiTheme="minorHAnsi" w:eastAsiaTheme="minorEastAsia" w:hAnsiTheme="minorHAnsi" w:cstheme="minorBidi"/>
              <w:noProof/>
              <w:sz w:val="20"/>
              <w:szCs w:val="20"/>
              <w:lang w:eastAsia="en-AU"/>
            </w:rPr>
          </w:pPr>
          <w:hyperlink w:anchor="_Toc36642381" w:history="1">
            <w:r w:rsidRPr="00C03E42">
              <w:rPr>
                <w:rStyle w:val="Hyperlink"/>
                <w:rFonts w:eastAsia="Times New Roman"/>
                <w:b/>
                <w:noProof/>
                <w:sz w:val="20"/>
                <w:szCs w:val="20"/>
              </w:rPr>
              <w:t>MISCELLANEOUS, FAQs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_Toc36642381 \h </w:instrText>
            </w:r>
            <w:r w:rsidRPr="00C03E42">
              <w:rPr>
                <w:noProof/>
                <w:webHidden/>
                <w:sz w:val="20"/>
                <w:szCs w:val="20"/>
              </w:rPr>
            </w:r>
            <w:r w:rsidRPr="00C03E42">
              <w:rPr>
                <w:noProof/>
                <w:webHidden/>
                <w:sz w:val="20"/>
                <w:szCs w:val="20"/>
              </w:rPr>
              <w:fldChar w:fldCharType="separate"/>
            </w:r>
            <w:r w:rsidRPr="00C03E42">
              <w:rPr>
                <w:noProof/>
                <w:webHidden/>
                <w:sz w:val="20"/>
                <w:szCs w:val="20"/>
              </w:rPr>
              <w:t>13</w:t>
            </w:r>
            <w:r w:rsidRPr="00C03E42">
              <w:rPr>
                <w:noProof/>
                <w:webHidden/>
                <w:sz w:val="20"/>
                <w:szCs w:val="20"/>
              </w:rPr>
              <w:fldChar w:fldCharType="end"/>
            </w:r>
          </w:hyperlink>
        </w:p>
        <w:p w14:paraId="0C82FFB6" w14:textId="72DF9FF9"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2" w:history="1">
            <w:r w:rsidRPr="00C03E42">
              <w:rPr>
                <w:rStyle w:val="Hyperlink"/>
                <w:rFonts w:eastAsia="Times New Roman"/>
                <w:b/>
                <w:noProof/>
                <w:sz w:val="20"/>
                <w:szCs w:val="20"/>
              </w:rPr>
              <w:t>File Notes</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_Toc36642382 \h </w:instrText>
            </w:r>
            <w:r w:rsidRPr="00C03E42">
              <w:rPr>
                <w:noProof/>
                <w:webHidden/>
                <w:sz w:val="20"/>
                <w:szCs w:val="20"/>
              </w:rPr>
            </w:r>
            <w:r w:rsidRPr="00C03E42">
              <w:rPr>
                <w:noProof/>
                <w:webHidden/>
                <w:sz w:val="20"/>
                <w:szCs w:val="20"/>
              </w:rPr>
              <w:fldChar w:fldCharType="separate"/>
            </w:r>
            <w:r w:rsidRPr="00C03E42">
              <w:rPr>
                <w:noProof/>
                <w:webHidden/>
                <w:sz w:val="20"/>
                <w:szCs w:val="20"/>
              </w:rPr>
              <w:t>13</w:t>
            </w:r>
            <w:r w:rsidRPr="00C03E42">
              <w:rPr>
                <w:noProof/>
                <w:webHidden/>
                <w:sz w:val="20"/>
                <w:szCs w:val="20"/>
              </w:rPr>
              <w:fldChar w:fldCharType="end"/>
            </w:r>
          </w:hyperlink>
        </w:p>
        <w:p w14:paraId="1898ADD4" w14:textId="75C58B47"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3" w:history="1">
            <w:r w:rsidRPr="00C03E42">
              <w:rPr>
                <w:rStyle w:val="Hyperlink"/>
                <w:rFonts w:eastAsia="Times New Roman"/>
                <w:b/>
                <w:noProof/>
                <w:sz w:val="20"/>
                <w:szCs w:val="20"/>
              </w:rPr>
              <w:t>Financial Services Guide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_Toc36642383 \h </w:instrText>
            </w:r>
            <w:r w:rsidRPr="00C03E42">
              <w:rPr>
                <w:noProof/>
                <w:webHidden/>
                <w:sz w:val="20"/>
                <w:szCs w:val="20"/>
              </w:rPr>
            </w:r>
            <w:r w:rsidRPr="00C03E42">
              <w:rPr>
                <w:noProof/>
                <w:webHidden/>
                <w:sz w:val="20"/>
                <w:szCs w:val="20"/>
              </w:rPr>
              <w:fldChar w:fldCharType="separate"/>
            </w:r>
            <w:r w:rsidRPr="00C03E42">
              <w:rPr>
                <w:noProof/>
                <w:webHidden/>
                <w:sz w:val="20"/>
                <w:szCs w:val="20"/>
              </w:rPr>
              <w:t>13</w:t>
            </w:r>
            <w:r w:rsidRPr="00C03E42">
              <w:rPr>
                <w:noProof/>
                <w:webHidden/>
                <w:sz w:val="20"/>
                <w:szCs w:val="20"/>
              </w:rPr>
              <w:fldChar w:fldCharType="end"/>
            </w:r>
          </w:hyperlink>
        </w:p>
        <w:p w14:paraId="34516726" w14:textId="43122F99"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4" w:history="1">
            <w:r w:rsidRPr="00C03E42">
              <w:rPr>
                <w:rStyle w:val="Hyperlink"/>
                <w:rFonts w:eastAsia="Times New Roman"/>
                <w:b/>
                <w:noProof/>
                <w:sz w:val="20"/>
                <w:szCs w:val="20"/>
              </w:rPr>
              <w:t>Record of Advice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_Toc36642384 \h </w:instrText>
            </w:r>
            <w:r w:rsidRPr="00C03E42">
              <w:rPr>
                <w:noProof/>
                <w:webHidden/>
                <w:sz w:val="20"/>
                <w:szCs w:val="20"/>
              </w:rPr>
            </w:r>
            <w:r w:rsidRPr="00C03E42">
              <w:rPr>
                <w:noProof/>
                <w:webHidden/>
                <w:sz w:val="20"/>
                <w:szCs w:val="20"/>
              </w:rPr>
              <w:fldChar w:fldCharType="separate"/>
            </w:r>
            <w:r w:rsidRPr="00C03E42">
              <w:rPr>
                <w:noProof/>
                <w:webHidden/>
                <w:sz w:val="20"/>
                <w:szCs w:val="20"/>
              </w:rPr>
              <w:t>14</w:t>
            </w:r>
            <w:r w:rsidRPr="00C03E42">
              <w:rPr>
                <w:noProof/>
                <w:webHidden/>
                <w:sz w:val="20"/>
                <w:szCs w:val="20"/>
              </w:rPr>
              <w:fldChar w:fldCharType="end"/>
            </w:r>
          </w:hyperlink>
        </w:p>
        <w:p w14:paraId="31EEDB12" w14:textId="79B8C460"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5" w:history="1">
            <w:r w:rsidRPr="00C03E42">
              <w:rPr>
                <w:rStyle w:val="Hyperlink"/>
                <w:rFonts w:eastAsia="Times New Roman"/>
                <w:b/>
                <w:noProof/>
                <w:sz w:val="20"/>
                <w:szCs w:val="20"/>
              </w:rPr>
              <w:t>Incorporation By Reference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_Toc36642385 \h </w:instrText>
            </w:r>
            <w:r w:rsidRPr="00C03E42">
              <w:rPr>
                <w:noProof/>
                <w:webHidden/>
                <w:sz w:val="20"/>
                <w:szCs w:val="20"/>
              </w:rPr>
            </w:r>
            <w:r w:rsidRPr="00C03E42">
              <w:rPr>
                <w:noProof/>
                <w:webHidden/>
                <w:sz w:val="20"/>
                <w:szCs w:val="20"/>
              </w:rPr>
              <w:fldChar w:fldCharType="separate"/>
            </w:r>
            <w:r w:rsidRPr="00C03E42">
              <w:rPr>
                <w:noProof/>
                <w:webHidden/>
                <w:sz w:val="20"/>
                <w:szCs w:val="20"/>
              </w:rPr>
              <w:t>14</w:t>
            </w:r>
            <w:r w:rsidRPr="00C03E42">
              <w:rPr>
                <w:noProof/>
                <w:webHidden/>
                <w:sz w:val="20"/>
                <w:szCs w:val="20"/>
              </w:rPr>
              <w:fldChar w:fldCharType="end"/>
            </w:r>
          </w:hyperlink>
        </w:p>
        <w:p w14:paraId="33571935" w14:textId="41E18262"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6" w:history="1">
            <w:r w:rsidRPr="00C03E42">
              <w:rPr>
                <w:rStyle w:val="Hyperlink"/>
                <w:rFonts w:eastAsia="Times New Roman"/>
                <w:b/>
                <w:noProof/>
                <w:sz w:val="20"/>
                <w:szCs w:val="20"/>
              </w:rPr>
              <w:t>Advice that is Not Appropriate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_Toc36642386 \h </w:instrText>
            </w:r>
            <w:r w:rsidRPr="00C03E42">
              <w:rPr>
                <w:noProof/>
                <w:webHidden/>
                <w:sz w:val="20"/>
                <w:szCs w:val="20"/>
              </w:rPr>
            </w:r>
            <w:r w:rsidRPr="00C03E42">
              <w:rPr>
                <w:noProof/>
                <w:webHidden/>
                <w:sz w:val="20"/>
                <w:szCs w:val="20"/>
              </w:rPr>
              <w:fldChar w:fldCharType="separate"/>
            </w:r>
            <w:r w:rsidRPr="00C03E42">
              <w:rPr>
                <w:noProof/>
                <w:webHidden/>
                <w:sz w:val="20"/>
                <w:szCs w:val="20"/>
              </w:rPr>
              <w:t>14</w:t>
            </w:r>
            <w:r w:rsidRPr="00C03E42">
              <w:rPr>
                <w:noProof/>
                <w:webHidden/>
                <w:sz w:val="20"/>
                <w:szCs w:val="20"/>
              </w:rPr>
              <w:fldChar w:fldCharType="end"/>
            </w:r>
          </w:hyperlink>
        </w:p>
        <w:p w14:paraId="2F6ECDA9" w14:textId="2EA472C7"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7" w:history="1">
            <w:r w:rsidRPr="00C03E42">
              <w:rPr>
                <w:rStyle w:val="Hyperlink"/>
                <w:rFonts w:eastAsia="Times New Roman"/>
                <w:b/>
                <w:noProof/>
                <w:sz w:val="20"/>
                <w:szCs w:val="20"/>
              </w:rPr>
              <w:t>Gearing / Margin Loan / LRBA</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_Toc36642387 \h </w:instrText>
            </w:r>
            <w:r w:rsidRPr="00C03E42">
              <w:rPr>
                <w:noProof/>
                <w:webHidden/>
                <w:sz w:val="20"/>
                <w:szCs w:val="20"/>
              </w:rPr>
            </w:r>
            <w:r w:rsidRPr="00C03E42">
              <w:rPr>
                <w:noProof/>
                <w:webHidden/>
                <w:sz w:val="20"/>
                <w:szCs w:val="20"/>
              </w:rPr>
              <w:fldChar w:fldCharType="separate"/>
            </w:r>
            <w:r w:rsidRPr="00C03E42">
              <w:rPr>
                <w:noProof/>
                <w:webHidden/>
                <w:sz w:val="20"/>
                <w:szCs w:val="20"/>
              </w:rPr>
              <w:t>15</w:t>
            </w:r>
            <w:r w:rsidRPr="00C03E42">
              <w:rPr>
                <w:noProof/>
                <w:webHidden/>
                <w:sz w:val="20"/>
                <w:szCs w:val="20"/>
              </w:rPr>
              <w:fldChar w:fldCharType="end"/>
            </w:r>
          </w:hyperlink>
        </w:p>
        <w:p w14:paraId="48D4AA34" w14:textId="30B70D6D"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8" w:history="1">
            <w:r w:rsidRPr="00C03E42">
              <w:rPr>
                <w:rStyle w:val="Hyperlink"/>
                <w:rFonts w:eastAsia="Times New Roman"/>
                <w:b/>
                <w:noProof/>
                <w:sz w:val="20"/>
                <w:szCs w:val="20"/>
              </w:rPr>
              <w:t>Implementation Only ‘advice’ (transaction service) (nil advice) (execution only)</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_Toc36642388 \h </w:instrText>
            </w:r>
            <w:r w:rsidRPr="00C03E42">
              <w:rPr>
                <w:noProof/>
                <w:webHidden/>
                <w:sz w:val="20"/>
                <w:szCs w:val="20"/>
              </w:rPr>
            </w:r>
            <w:r w:rsidRPr="00C03E42">
              <w:rPr>
                <w:noProof/>
                <w:webHidden/>
                <w:sz w:val="20"/>
                <w:szCs w:val="20"/>
              </w:rPr>
              <w:fldChar w:fldCharType="separate"/>
            </w:r>
            <w:r w:rsidRPr="00C03E42">
              <w:rPr>
                <w:noProof/>
                <w:webHidden/>
                <w:sz w:val="20"/>
                <w:szCs w:val="20"/>
              </w:rPr>
              <w:t>16</w:t>
            </w:r>
            <w:r w:rsidRPr="00C03E42">
              <w:rPr>
                <w:noProof/>
                <w:webHidden/>
                <w:sz w:val="20"/>
                <w:szCs w:val="20"/>
              </w:rPr>
              <w:fldChar w:fldCharType="end"/>
            </w:r>
          </w:hyperlink>
        </w:p>
        <w:p w14:paraId="2192769E" w14:textId="6AFA14D7"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89" w:history="1">
            <w:r w:rsidRPr="00C03E42">
              <w:rPr>
                <w:rStyle w:val="Hyperlink"/>
                <w:rFonts w:eastAsia="Times New Roman"/>
                <w:b/>
                <w:noProof/>
                <w:sz w:val="20"/>
                <w:szCs w:val="20"/>
              </w:rPr>
              <w:t>SMSF Advice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_Toc36642389 \h </w:instrText>
            </w:r>
            <w:r w:rsidRPr="00C03E42">
              <w:rPr>
                <w:noProof/>
                <w:webHidden/>
                <w:sz w:val="20"/>
                <w:szCs w:val="20"/>
              </w:rPr>
            </w:r>
            <w:r w:rsidRPr="00C03E42">
              <w:rPr>
                <w:noProof/>
                <w:webHidden/>
                <w:sz w:val="20"/>
                <w:szCs w:val="20"/>
              </w:rPr>
              <w:fldChar w:fldCharType="separate"/>
            </w:r>
            <w:r w:rsidRPr="00C03E42">
              <w:rPr>
                <w:noProof/>
                <w:webHidden/>
                <w:sz w:val="20"/>
                <w:szCs w:val="20"/>
              </w:rPr>
              <w:t>17</w:t>
            </w:r>
            <w:r w:rsidRPr="00C03E42">
              <w:rPr>
                <w:noProof/>
                <w:webHidden/>
                <w:sz w:val="20"/>
                <w:szCs w:val="20"/>
              </w:rPr>
              <w:fldChar w:fldCharType="end"/>
            </w:r>
          </w:hyperlink>
        </w:p>
        <w:p w14:paraId="0ADD4A31" w14:textId="4104FD38" w:rsidR="00C03E42" w:rsidRPr="00C03E42" w:rsidRDefault="00C03E42">
          <w:pPr>
            <w:pStyle w:val="TOC2"/>
            <w:tabs>
              <w:tab w:val="right" w:leader="dot" w:pos="9016"/>
            </w:tabs>
            <w:rPr>
              <w:rFonts w:asciiTheme="minorHAnsi" w:eastAsiaTheme="minorEastAsia" w:hAnsiTheme="minorHAnsi" w:cstheme="minorBidi"/>
              <w:noProof/>
              <w:sz w:val="20"/>
              <w:szCs w:val="20"/>
              <w:lang w:eastAsia="en-AU"/>
            </w:rPr>
          </w:pPr>
          <w:hyperlink w:anchor="_Toc36642390" w:history="1">
            <w:r w:rsidRPr="00C03E42">
              <w:rPr>
                <w:rStyle w:val="Hyperlink"/>
                <w:rFonts w:eastAsia="Times New Roman"/>
                <w:b/>
                <w:noProof/>
                <w:sz w:val="20"/>
                <w:szCs w:val="20"/>
              </w:rPr>
              <w:t>Transferring a Client from Another Licensee</w:t>
            </w:r>
            <w:r w:rsidRPr="00C03E42">
              <w:rPr>
                <w:noProof/>
                <w:webHidden/>
                <w:sz w:val="20"/>
                <w:szCs w:val="20"/>
              </w:rPr>
              <w:tab/>
            </w:r>
            <w:r w:rsidRPr="00C03E42">
              <w:rPr>
                <w:noProof/>
                <w:webHidden/>
                <w:sz w:val="20"/>
                <w:szCs w:val="20"/>
              </w:rPr>
              <w:fldChar w:fldCharType="begin"/>
            </w:r>
            <w:r w:rsidRPr="00C03E42">
              <w:rPr>
                <w:noProof/>
                <w:webHidden/>
                <w:sz w:val="20"/>
                <w:szCs w:val="20"/>
              </w:rPr>
              <w:instrText xml:space="preserve"> PAGEREF _Toc36642390 \h </w:instrText>
            </w:r>
            <w:r w:rsidRPr="00C03E42">
              <w:rPr>
                <w:noProof/>
                <w:webHidden/>
                <w:sz w:val="20"/>
                <w:szCs w:val="20"/>
              </w:rPr>
            </w:r>
            <w:r w:rsidRPr="00C03E42">
              <w:rPr>
                <w:noProof/>
                <w:webHidden/>
                <w:sz w:val="20"/>
                <w:szCs w:val="20"/>
              </w:rPr>
              <w:fldChar w:fldCharType="separate"/>
            </w:r>
            <w:r w:rsidRPr="00C03E42">
              <w:rPr>
                <w:noProof/>
                <w:webHidden/>
                <w:sz w:val="20"/>
                <w:szCs w:val="20"/>
              </w:rPr>
              <w:t>18</w:t>
            </w:r>
            <w:r w:rsidRPr="00C03E42">
              <w:rPr>
                <w:noProof/>
                <w:webHidden/>
                <w:sz w:val="20"/>
                <w:szCs w:val="20"/>
              </w:rPr>
              <w:fldChar w:fldCharType="end"/>
            </w:r>
          </w:hyperlink>
        </w:p>
        <w:p w14:paraId="3068A1AC" w14:textId="6673F584" w:rsidR="00814DC4" w:rsidRDefault="00814DC4">
          <w:r w:rsidRPr="00C03E42">
            <w:rPr>
              <w:bCs/>
              <w:noProof/>
              <w:sz w:val="20"/>
              <w:szCs w:val="20"/>
            </w:rPr>
            <w:fldChar w:fldCharType="end"/>
          </w:r>
        </w:p>
      </w:sdtContent>
    </w:sdt>
    <w:p w14:paraId="633EE078" w14:textId="6FCD0340" w:rsidR="00060F89" w:rsidRPr="009112FC" w:rsidRDefault="00B75024" w:rsidP="00FB2226">
      <w:pPr>
        <w:pStyle w:val="Heading1"/>
        <w:rPr>
          <w:rFonts w:eastAsia="Times New Roman"/>
          <w:b/>
          <w:sz w:val="36"/>
          <w:szCs w:val="36"/>
        </w:rPr>
      </w:pPr>
      <w:bookmarkStart w:id="0" w:name="_Toc36642353"/>
      <w:r w:rsidRPr="00B75024">
        <w:rPr>
          <w:noProof/>
          <w:sz w:val="20"/>
          <w:szCs w:val="20"/>
        </w:rPr>
        <w:lastRenderedPageBreak/>
        <mc:AlternateContent>
          <mc:Choice Requires="wps">
            <w:drawing>
              <wp:anchor distT="45720" distB="45720" distL="114300" distR="114300" simplePos="0" relativeHeight="251661312" behindDoc="0" locked="0" layoutInCell="1" allowOverlap="1" wp14:anchorId="71C6E664" wp14:editId="10D1A90E">
                <wp:simplePos x="0" y="0"/>
                <wp:positionH relativeFrom="column">
                  <wp:posOffset>-76200</wp:posOffset>
                </wp:positionH>
                <wp:positionV relativeFrom="paragraph">
                  <wp:posOffset>449580</wp:posOffset>
                </wp:positionV>
                <wp:extent cx="6027420" cy="4876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487680"/>
                        </a:xfrm>
                        <a:prstGeom prst="rect">
                          <a:avLst/>
                        </a:prstGeom>
                        <a:solidFill>
                          <a:srgbClr val="FFFFFF"/>
                        </a:solidFill>
                        <a:ln w="15875">
                          <a:solidFill>
                            <a:srgbClr val="000000"/>
                          </a:solidFill>
                          <a:miter lim="800000"/>
                          <a:headEnd/>
                          <a:tailEnd/>
                        </a:ln>
                      </wps:spPr>
                      <wps:txbx>
                        <w:txbxContent>
                          <w:p w14:paraId="303DECE2" w14:textId="76FF2C17" w:rsidR="005F440D" w:rsidRPr="005662CC" w:rsidRDefault="005F440D" w:rsidP="00B75024">
                            <w:pPr>
                              <w:jc w:val="center"/>
                              <w:rPr>
                                <w:rFonts w:eastAsia="Times New Roman"/>
                                <w:sz w:val="20"/>
                                <w:szCs w:val="20"/>
                              </w:rPr>
                            </w:pPr>
                            <w:r>
                              <w:rPr>
                                <w:rFonts w:eastAsia="Times New Roman"/>
                                <w:sz w:val="20"/>
                                <w:szCs w:val="20"/>
                              </w:rPr>
                              <w:t xml:space="preserve">The </w:t>
                            </w:r>
                            <w:r w:rsidRPr="005662CC">
                              <w:rPr>
                                <w:rFonts w:eastAsia="Times New Roman"/>
                                <w:sz w:val="20"/>
                                <w:szCs w:val="20"/>
                              </w:rPr>
                              <w:t xml:space="preserve">Demonstration of </w:t>
                            </w:r>
                            <w:r w:rsidRPr="005662CC">
                              <w:rPr>
                                <w:rFonts w:eastAsia="Times New Roman"/>
                                <w:b/>
                                <w:sz w:val="20"/>
                                <w:szCs w:val="20"/>
                              </w:rPr>
                              <w:t>Best Interest</w:t>
                            </w:r>
                            <w:r w:rsidRPr="005662CC">
                              <w:rPr>
                                <w:rFonts w:eastAsia="Times New Roman"/>
                                <w:sz w:val="20"/>
                                <w:szCs w:val="20"/>
                              </w:rPr>
                              <w:t xml:space="preserve"> requires </w:t>
                            </w:r>
                            <w:r>
                              <w:rPr>
                                <w:rFonts w:eastAsia="Times New Roman"/>
                                <w:sz w:val="20"/>
                                <w:szCs w:val="20"/>
                              </w:rPr>
                              <w:t xml:space="preserve">a </w:t>
                            </w:r>
                            <w:r w:rsidRPr="005662CC">
                              <w:rPr>
                                <w:rFonts w:eastAsia="Times New Roman"/>
                                <w:sz w:val="20"/>
                                <w:szCs w:val="20"/>
                              </w:rPr>
                              <w:t>‘clear &amp; concise’, logically systematic presentation.</w:t>
                            </w:r>
                          </w:p>
                          <w:p w14:paraId="52B562EE" w14:textId="0738E703" w:rsidR="005F440D" w:rsidRDefault="005F440D" w:rsidP="000A469A">
                            <w:pPr>
                              <w:spacing w:before="120"/>
                              <w:jc w:val="center"/>
                              <w:rPr>
                                <w:rFonts w:eastAsia="Times New Roman"/>
                                <w:sz w:val="20"/>
                                <w:szCs w:val="20"/>
                              </w:rPr>
                            </w:pPr>
                            <w:r w:rsidRPr="005662CC">
                              <w:rPr>
                                <w:rFonts w:eastAsia="Times New Roman"/>
                                <w:sz w:val="20"/>
                                <w:szCs w:val="20"/>
                              </w:rPr>
                              <w:t xml:space="preserve">The Advice must evidence that </w:t>
                            </w:r>
                            <w:r>
                              <w:rPr>
                                <w:rFonts w:eastAsia="Times New Roman"/>
                                <w:sz w:val="20"/>
                                <w:szCs w:val="20"/>
                              </w:rPr>
                              <w:t>R</w:t>
                            </w:r>
                            <w:r w:rsidRPr="005662CC">
                              <w:rPr>
                                <w:rFonts w:eastAsia="Times New Roman"/>
                                <w:sz w:val="20"/>
                                <w:szCs w:val="20"/>
                              </w:rPr>
                              <w:t xml:space="preserve">ecommendations address client </w:t>
                            </w:r>
                            <w:r>
                              <w:rPr>
                                <w:rFonts w:eastAsia="Times New Roman"/>
                                <w:sz w:val="20"/>
                                <w:szCs w:val="20"/>
                              </w:rPr>
                              <w:t>G</w:t>
                            </w:r>
                            <w:r w:rsidRPr="005662CC">
                              <w:rPr>
                                <w:rFonts w:eastAsia="Times New Roman"/>
                                <w:sz w:val="20"/>
                                <w:szCs w:val="20"/>
                              </w:rPr>
                              <w:t>oals/</w:t>
                            </w:r>
                            <w:r>
                              <w:rPr>
                                <w:rFonts w:eastAsia="Times New Roman"/>
                                <w:sz w:val="20"/>
                                <w:szCs w:val="20"/>
                              </w:rPr>
                              <w:t>O</w:t>
                            </w:r>
                            <w:r w:rsidRPr="005662CC">
                              <w:rPr>
                                <w:rFonts w:eastAsia="Times New Roman"/>
                                <w:sz w:val="20"/>
                                <w:szCs w:val="20"/>
                              </w:rPr>
                              <w:t>bjectives.</w:t>
                            </w:r>
                          </w:p>
                          <w:p w14:paraId="2D03165D" w14:textId="77777777" w:rsidR="005F440D" w:rsidRPr="005662CC" w:rsidRDefault="005F440D" w:rsidP="000A469A">
                            <w:pPr>
                              <w:spacing w:before="120"/>
                              <w:jc w:val="center"/>
                              <w:rPr>
                                <w:rFonts w:eastAsia="Times New Roman"/>
                                <w:sz w:val="20"/>
                                <w:szCs w:val="20"/>
                              </w:rPr>
                            </w:pPr>
                          </w:p>
                          <w:p w14:paraId="7902679E" w14:textId="160B192E" w:rsidR="005F440D" w:rsidRDefault="005F4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6E664" id="_x0000_t202" coordsize="21600,21600" o:spt="202" path="m,l,21600r21600,l21600,xe">
                <v:stroke joinstyle="miter"/>
                <v:path gradientshapeok="t" o:connecttype="rect"/>
              </v:shapetype>
              <v:shape id="Text Box 2" o:spid="_x0000_s1026" type="#_x0000_t202" style="position:absolute;margin-left:-6pt;margin-top:35.4pt;width:474.6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" strokeweight="1.25pt">
                <v:textbox>
                  <w:txbxContent>
                    <w:p w14:paraId="303DECE2" w14:textId="76FF2C17" w:rsidR="005F440D" w:rsidRPr="005662CC" w:rsidRDefault="005F440D" w:rsidP="00B75024">
                      <w:pPr>
                        <w:jc w:val="center"/>
                        <w:rPr>
                          <w:rFonts w:eastAsia="Times New Roman"/>
                          <w:sz w:val="20"/>
                          <w:szCs w:val="20"/>
                        </w:rPr>
                      </w:pPr>
                      <w:r>
                        <w:rPr>
                          <w:rFonts w:eastAsia="Times New Roman"/>
                          <w:sz w:val="20"/>
                          <w:szCs w:val="20"/>
                        </w:rPr>
                        <w:t xml:space="preserve">The </w:t>
                      </w:r>
                      <w:r w:rsidRPr="005662CC">
                        <w:rPr>
                          <w:rFonts w:eastAsia="Times New Roman"/>
                          <w:sz w:val="20"/>
                          <w:szCs w:val="20"/>
                        </w:rPr>
                        <w:t xml:space="preserve">Demonstration of </w:t>
                      </w:r>
                      <w:r w:rsidRPr="005662CC">
                        <w:rPr>
                          <w:rFonts w:eastAsia="Times New Roman"/>
                          <w:b/>
                          <w:sz w:val="20"/>
                          <w:szCs w:val="20"/>
                        </w:rPr>
                        <w:t>Best Interest</w:t>
                      </w:r>
                      <w:r w:rsidRPr="005662CC">
                        <w:rPr>
                          <w:rFonts w:eastAsia="Times New Roman"/>
                          <w:sz w:val="20"/>
                          <w:szCs w:val="20"/>
                        </w:rPr>
                        <w:t xml:space="preserve"> requires </w:t>
                      </w:r>
                      <w:r>
                        <w:rPr>
                          <w:rFonts w:eastAsia="Times New Roman"/>
                          <w:sz w:val="20"/>
                          <w:szCs w:val="20"/>
                        </w:rPr>
                        <w:t xml:space="preserve">a </w:t>
                      </w:r>
                      <w:r w:rsidRPr="005662CC">
                        <w:rPr>
                          <w:rFonts w:eastAsia="Times New Roman"/>
                          <w:sz w:val="20"/>
                          <w:szCs w:val="20"/>
                        </w:rPr>
                        <w:t>‘clear &amp; concise’, logically systematic presentation.</w:t>
                      </w:r>
                    </w:p>
                    <w:p w14:paraId="52B562EE" w14:textId="0738E703" w:rsidR="005F440D" w:rsidRDefault="005F440D" w:rsidP="000A469A">
                      <w:pPr>
                        <w:spacing w:before="120"/>
                        <w:jc w:val="center"/>
                        <w:rPr>
                          <w:rFonts w:eastAsia="Times New Roman"/>
                          <w:sz w:val="20"/>
                          <w:szCs w:val="20"/>
                        </w:rPr>
                      </w:pPr>
                      <w:r w:rsidRPr="005662CC">
                        <w:rPr>
                          <w:rFonts w:eastAsia="Times New Roman"/>
                          <w:sz w:val="20"/>
                          <w:szCs w:val="20"/>
                        </w:rPr>
                        <w:t xml:space="preserve">The Advice must evidence that </w:t>
                      </w:r>
                      <w:r>
                        <w:rPr>
                          <w:rFonts w:eastAsia="Times New Roman"/>
                          <w:sz w:val="20"/>
                          <w:szCs w:val="20"/>
                        </w:rPr>
                        <w:t>R</w:t>
                      </w:r>
                      <w:r w:rsidRPr="005662CC">
                        <w:rPr>
                          <w:rFonts w:eastAsia="Times New Roman"/>
                          <w:sz w:val="20"/>
                          <w:szCs w:val="20"/>
                        </w:rPr>
                        <w:t xml:space="preserve">ecommendations address client </w:t>
                      </w:r>
                      <w:r>
                        <w:rPr>
                          <w:rFonts w:eastAsia="Times New Roman"/>
                          <w:sz w:val="20"/>
                          <w:szCs w:val="20"/>
                        </w:rPr>
                        <w:t>G</w:t>
                      </w:r>
                      <w:r w:rsidRPr="005662CC">
                        <w:rPr>
                          <w:rFonts w:eastAsia="Times New Roman"/>
                          <w:sz w:val="20"/>
                          <w:szCs w:val="20"/>
                        </w:rPr>
                        <w:t>oals/</w:t>
                      </w:r>
                      <w:r>
                        <w:rPr>
                          <w:rFonts w:eastAsia="Times New Roman"/>
                          <w:sz w:val="20"/>
                          <w:szCs w:val="20"/>
                        </w:rPr>
                        <w:t>O</w:t>
                      </w:r>
                      <w:r w:rsidRPr="005662CC">
                        <w:rPr>
                          <w:rFonts w:eastAsia="Times New Roman"/>
                          <w:sz w:val="20"/>
                          <w:szCs w:val="20"/>
                        </w:rPr>
                        <w:t>bjectives.</w:t>
                      </w:r>
                    </w:p>
                    <w:p w14:paraId="2D03165D" w14:textId="77777777" w:rsidR="005F440D" w:rsidRPr="005662CC" w:rsidRDefault="005F440D" w:rsidP="000A469A">
                      <w:pPr>
                        <w:spacing w:before="120"/>
                        <w:jc w:val="center"/>
                        <w:rPr>
                          <w:rFonts w:eastAsia="Times New Roman"/>
                          <w:sz w:val="20"/>
                          <w:szCs w:val="20"/>
                        </w:rPr>
                      </w:pPr>
                    </w:p>
                    <w:p w14:paraId="7902679E" w14:textId="160B192E" w:rsidR="005F440D" w:rsidRDefault="005F440D"/>
                  </w:txbxContent>
                </v:textbox>
                <w10:wrap type="square"/>
              </v:shape>
            </w:pict>
          </mc:Fallback>
        </mc:AlternateContent>
      </w:r>
      <w:r w:rsidR="00060F89" w:rsidRPr="009112FC">
        <w:rPr>
          <w:rFonts w:eastAsia="Times New Roman"/>
          <w:b/>
          <w:sz w:val="36"/>
          <w:szCs w:val="36"/>
        </w:rPr>
        <w:t>SOA – Demonstrating Best Interest</w:t>
      </w:r>
      <w:r w:rsidR="009112FC" w:rsidRPr="009112FC">
        <w:rPr>
          <w:rFonts w:eastAsia="Times New Roman"/>
          <w:b/>
          <w:sz w:val="36"/>
          <w:szCs w:val="36"/>
        </w:rPr>
        <w:t xml:space="preserve"> using the IFP Template</w:t>
      </w:r>
      <w:bookmarkEnd w:id="0"/>
    </w:p>
    <w:p w14:paraId="6D23108D" w14:textId="77777777" w:rsidR="00B75024" w:rsidRDefault="00B75024" w:rsidP="00B75024">
      <w:pPr>
        <w:rPr>
          <w:sz w:val="20"/>
          <w:szCs w:val="20"/>
        </w:rPr>
      </w:pPr>
      <w:r w:rsidRPr="000A469A">
        <w:rPr>
          <w:sz w:val="20"/>
          <w:szCs w:val="20"/>
        </w:rPr>
        <w:t xml:space="preserve"> </w:t>
      </w:r>
    </w:p>
    <w:p w14:paraId="3149EA65" w14:textId="59AC6CB5" w:rsidR="00B75024" w:rsidRDefault="00FD0CC2" w:rsidP="00FD0CC2">
      <w:pPr>
        <w:jc w:val="center"/>
        <w:rPr>
          <w:sz w:val="20"/>
          <w:szCs w:val="20"/>
        </w:rPr>
      </w:pPr>
      <w:r>
        <w:rPr>
          <w:noProof/>
        </w:rPr>
        <w:drawing>
          <wp:inline distT="0" distB="0" distL="0" distR="0" wp14:anchorId="46D33FEF" wp14:editId="195EF2E4">
            <wp:extent cx="4504876" cy="460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0909" cy="472535"/>
                    </a:xfrm>
                    <a:prstGeom prst="rect">
                      <a:avLst/>
                    </a:prstGeom>
                  </pic:spPr>
                </pic:pic>
              </a:graphicData>
            </a:graphic>
          </wp:inline>
        </w:drawing>
      </w:r>
    </w:p>
    <w:p w14:paraId="1A7E0C0A" w14:textId="77777777" w:rsidR="0004080C" w:rsidRDefault="0004080C" w:rsidP="00B75024">
      <w:pPr>
        <w:rPr>
          <w:sz w:val="20"/>
          <w:szCs w:val="20"/>
        </w:rPr>
      </w:pPr>
    </w:p>
    <w:p w14:paraId="305091D2" w14:textId="7CEBD6A9" w:rsidR="00B75024" w:rsidRDefault="00B75024" w:rsidP="00B75024">
      <w:pPr>
        <w:rPr>
          <w:sz w:val="20"/>
          <w:szCs w:val="20"/>
        </w:rPr>
      </w:pPr>
      <w:r w:rsidRPr="000A469A">
        <w:rPr>
          <w:sz w:val="20"/>
          <w:szCs w:val="20"/>
        </w:rPr>
        <w:t xml:space="preserve">The </w:t>
      </w:r>
      <w:proofErr w:type="spellStart"/>
      <w:r w:rsidRPr="000A469A">
        <w:rPr>
          <w:sz w:val="20"/>
          <w:szCs w:val="20"/>
        </w:rPr>
        <w:t>InterPrac</w:t>
      </w:r>
      <w:proofErr w:type="spellEnd"/>
      <w:r w:rsidRPr="000A469A">
        <w:rPr>
          <w:sz w:val="20"/>
          <w:szCs w:val="20"/>
        </w:rPr>
        <w:t xml:space="preserve"> Word Statement of Advice (</w:t>
      </w:r>
      <w:proofErr w:type="spellStart"/>
      <w:r w:rsidRPr="000A469A">
        <w:rPr>
          <w:sz w:val="20"/>
          <w:szCs w:val="20"/>
        </w:rPr>
        <w:t>SoA</w:t>
      </w:r>
      <w:proofErr w:type="spellEnd"/>
      <w:r w:rsidRPr="000A469A">
        <w:rPr>
          <w:sz w:val="20"/>
          <w:szCs w:val="20"/>
        </w:rPr>
        <w:t xml:space="preserve">) has been designed to meet the clear and concise standards required under </w:t>
      </w:r>
      <w:proofErr w:type="spellStart"/>
      <w:r w:rsidRPr="000A469A">
        <w:rPr>
          <w:sz w:val="20"/>
          <w:szCs w:val="20"/>
        </w:rPr>
        <w:t>FoFA</w:t>
      </w:r>
      <w:proofErr w:type="spellEnd"/>
      <w:r>
        <w:rPr>
          <w:sz w:val="20"/>
          <w:szCs w:val="20"/>
        </w:rPr>
        <w:t>; especially the requirements of the Best Interest Duty.</w:t>
      </w:r>
    </w:p>
    <w:p w14:paraId="0ACD2447" w14:textId="12C33394" w:rsidR="00B75024" w:rsidRDefault="00B75024" w:rsidP="00B75024">
      <w:pPr>
        <w:rPr>
          <w:sz w:val="20"/>
          <w:szCs w:val="20"/>
        </w:rPr>
      </w:pPr>
      <w:r>
        <w:rPr>
          <w:sz w:val="20"/>
          <w:szCs w:val="20"/>
        </w:rPr>
        <w:t>It c</w:t>
      </w:r>
      <w:r w:rsidRPr="000A469A">
        <w:rPr>
          <w:sz w:val="20"/>
          <w:szCs w:val="20"/>
        </w:rPr>
        <w:t xml:space="preserve">an be used for both single and multiple recommendations. We also have a coded version for </w:t>
      </w:r>
      <w:proofErr w:type="spellStart"/>
      <w:r w:rsidRPr="000A469A">
        <w:rPr>
          <w:sz w:val="20"/>
          <w:szCs w:val="20"/>
        </w:rPr>
        <w:t>Xplan</w:t>
      </w:r>
      <w:proofErr w:type="spellEnd"/>
      <w:r w:rsidRPr="000A469A">
        <w:rPr>
          <w:sz w:val="20"/>
          <w:szCs w:val="20"/>
        </w:rPr>
        <w:t xml:space="preserve">, </w:t>
      </w:r>
      <w:proofErr w:type="spellStart"/>
      <w:r w:rsidRPr="000A469A">
        <w:rPr>
          <w:sz w:val="20"/>
          <w:szCs w:val="20"/>
        </w:rPr>
        <w:t>AdviserLogic</w:t>
      </w:r>
      <w:proofErr w:type="spellEnd"/>
      <w:r w:rsidRPr="000A469A">
        <w:rPr>
          <w:sz w:val="20"/>
          <w:szCs w:val="20"/>
        </w:rPr>
        <w:t xml:space="preserve"> and </w:t>
      </w:r>
      <w:proofErr w:type="spellStart"/>
      <w:r w:rsidRPr="000A469A">
        <w:rPr>
          <w:sz w:val="20"/>
          <w:szCs w:val="20"/>
        </w:rPr>
        <w:t>MidWinter</w:t>
      </w:r>
      <w:proofErr w:type="spellEnd"/>
      <w:r w:rsidRPr="000A469A">
        <w:rPr>
          <w:sz w:val="20"/>
          <w:szCs w:val="20"/>
        </w:rPr>
        <w:t xml:space="preserve">. </w:t>
      </w:r>
    </w:p>
    <w:p w14:paraId="1D25ED70" w14:textId="5B328B12" w:rsidR="00B75024" w:rsidRPr="000A469A" w:rsidRDefault="00B75024" w:rsidP="000A469A">
      <w:pPr>
        <w:rPr>
          <w:sz w:val="20"/>
          <w:szCs w:val="20"/>
        </w:rPr>
      </w:pPr>
    </w:p>
    <w:p w14:paraId="6FDD5DF3" w14:textId="74EFAC9F" w:rsidR="00060F89" w:rsidRPr="000A469A" w:rsidRDefault="00B75024" w:rsidP="00B75024">
      <w:pPr>
        <w:rPr>
          <w:sz w:val="20"/>
          <w:szCs w:val="20"/>
        </w:rPr>
      </w:pPr>
      <w:r w:rsidRPr="000A469A">
        <w:rPr>
          <w:sz w:val="20"/>
          <w:szCs w:val="20"/>
        </w:rPr>
        <w:t xml:space="preserve">The following information will provide guidance on how to use the </w:t>
      </w:r>
      <w:proofErr w:type="spellStart"/>
      <w:r w:rsidRPr="000A469A">
        <w:rPr>
          <w:sz w:val="20"/>
          <w:szCs w:val="20"/>
        </w:rPr>
        <w:t>InterPrac</w:t>
      </w:r>
      <w:proofErr w:type="spellEnd"/>
      <w:r w:rsidRPr="000A469A">
        <w:rPr>
          <w:sz w:val="20"/>
          <w:szCs w:val="20"/>
        </w:rPr>
        <w:t xml:space="preserve"> Word Statement of Advice including information that is required, what should be avoided and some Tips and Traps.</w:t>
      </w:r>
    </w:p>
    <w:p w14:paraId="29BE3A3D" w14:textId="7A7A288F" w:rsidR="00B75024" w:rsidRDefault="00B75024" w:rsidP="00B75024"/>
    <w:p w14:paraId="60CE448E" w14:textId="77777777" w:rsidR="00B75024" w:rsidRDefault="00B75024" w:rsidP="00B75024">
      <w:pPr>
        <w:pStyle w:val="Default"/>
      </w:pPr>
    </w:p>
    <w:p w14:paraId="6428DC8B" w14:textId="7E3204B9" w:rsidR="00B75024" w:rsidRPr="000A469A" w:rsidRDefault="00B75024" w:rsidP="00B75024">
      <w:pPr>
        <w:pStyle w:val="Default"/>
        <w:rPr>
          <w:b/>
          <w:sz w:val="22"/>
          <w:szCs w:val="22"/>
        </w:rPr>
      </w:pPr>
      <w:r w:rsidRPr="000A469A">
        <w:rPr>
          <w:b/>
          <w:sz w:val="22"/>
          <w:szCs w:val="22"/>
        </w:rPr>
        <w:t xml:space="preserve">The </w:t>
      </w:r>
      <w:proofErr w:type="spellStart"/>
      <w:r w:rsidRPr="000A469A">
        <w:rPr>
          <w:b/>
          <w:sz w:val="22"/>
          <w:szCs w:val="22"/>
        </w:rPr>
        <w:t>InterPrac</w:t>
      </w:r>
      <w:proofErr w:type="spellEnd"/>
      <w:r w:rsidRPr="000A469A">
        <w:rPr>
          <w:b/>
          <w:sz w:val="22"/>
          <w:szCs w:val="22"/>
        </w:rPr>
        <w:t xml:space="preserve"> </w:t>
      </w:r>
      <w:r w:rsidR="004F2C02">
        <w:rPr>
          <w:b/>
          <w:sz w:val="22"/>
          <w:szCs w:val="22"/>
        </w:rPr>
        <w:t xml:space="preserve">standard </w:t>
      </w:r>
      <w:r w:rsidRPr="000A469A">
        <w:rPr>
          <w:b/>
          <w:sz w:val="22"/>
          <w:szCs w:val="22"/>
        </w:rPr>
        <w:t xml:space="preserve">Statement of Advice comprises 3 templated sections: </w:t>
      </w:r>
    </w:p>
    <w:p w14:paraId="0EA19BFD" w14:textId="07075E97" w:rsidR="00B75024" w:rsidRDefault="00B75024" w:rsidP="000A469A">
      <w:pPr>
        <w:pStyle w:val="Default"/>
        <w:numPr>
          <w:ilvl w:val="0"/>
          <w:numId w:val="26"/>
        </w:numPr>
        <w:rPr>
          <w:sz w:val="22"/>
          <w:szCs w:val="22"/>
        </w:rPr>
      </w:pPr>
      <w:r>
        <w:rPr>
          <w:sz w:val="22"/>
          <w:szCs w:val="22"/>
        </w:rPr>
        <w:t xml:space="preserve">The standard </w:t>
      </w:r>
      <w:proofErr w:type="spellStart"/>
      <w:r>
        <w:rPr>
          <w:sz w:val="22"/>
          <w:szCs w:val="22"/>
        </w:rPr>
        <w:t>SoA</w:t>
      </w:r>
      <w:proofErr w:type="spellEnd"/>
      <w:r>
        <w:rPr>
          <w:sz w:val="22"/>
          <w:szCs w:val="22"/>
        </w:rPr>
        <w:t xml:space="preserve"> ‘shell’ or outline. </w:t>
      </w:r>
      <w:proofErr w:type="spellStart"/>
      <w:r>
        <w:rPr>
          <w:i/>
          <w:iCs/>
          <w:sz w:val="22"/>
          <w:szCs w:val="22"/>
        </w:rPr>
        <w:t>InterPrac</w:t>
      </w:r>
      <w:proofErr w:type="spellEnd"/>
      <w:r>
        <w:rPr>
          <w:i/>
          <w:iCs/>
          <w:sz w:val="22"/>
          <w:szCs w:val="22"/>
        </w:rPr>
        <w:t xml:space="preserve"> Statement of Advice (</w:t>
      </w:r>
      <w:proofErr w:type="spellStart"/>
      <w:r>
        <w:rPr>
          <w:i/>
          <w:iCs/>
          <w:sz w:val="22"/>
          <w:szCs w:val="22"/>
        </w:rPr>
        <w:t>SoA</w:t>
      </w:r>
      <w:proofErr w:type="spellEnd"/>
      <w:r>
        <w:rPr>
          <w:i/>
          <w:iCs/>
          <w:sz w:val="22"/>
          <w:szCs w:val="22"/>
        </w:rPr>
        <w:t>) - &lt;Date&gt; (word)</w:t>
      </w:r>
    </w:p>
    <w:p w14:paraId="68E9E411" w14:textId="77777777" w:rsidR="00B75024" w:rsidRDefault="00B75024" w:rsidP="00B75024">
      <w:pPr>
        <w:pStyle w:val="Default"/>
        <w:rPr>
          <w:sz w:val="22"/>
          <w:szCs w:val="22"/>
        </w:rPr>
      </w:pPr>
    </w:p>
    <w:p w14:paraId="6FDF51FD" w14:textId="30091EDB" w:rsidR="00B75024" w:rsidRDefault="00B75024" w:rsidP="00B75024">
      <w:pPr>
        <w:pStyle w:val="Default"/>
        <w:rPr>
          <w:sz w:val="22"/>
          <w:szCs w:val="22"/>
        </w:rPr>
      </w:pPr>
      <w:r>
        <w:rPr>
          <w:sz w:val="22"/>
          <w:szCs w:val="22"/>
        </w:rPr>
        <w:t xml:space="preserve">To be fully completed, it requires ‘cut-and-paste’ segments from the </w:t>
      </w:r>
      <w:r w:rsidRPr="000A469A">
        <w:rPr>
          <w:sz w:val="22"/>
          <w:szCs w:val="22"/>
          <w:u w:val="single"/>
        </w:rPr>
        <w:t xml:space="preserve">strategy </w:t>
      </w:r>
      <w:r>
        <w:rPr>
          <w:sz w:val="22"/>
          <w:szCs w:val="22"/>
        </w:rPr>
        <w:t xml:space="preserve">and </w:t>
      </w:r>
      <w:r w:rsidRPr="000A469A">
        <w:rPr>
          <w:sz w:val="22"/>
          <w:szCs w:val="22"/>
          <w:u w:val="single"/>
        </w:rPr>
        <w:t>appendix</w:t>
      </w:r>
      <w:r>
        <w:rPr>
          <w:sz w:val="22"/>
          <w:szCs w:val="22"/>
        </w:rPr>
        <w:t xml:space="preserve"> Libraries (below):</w:t>
      </w:r>
    </w:p>
    <w:p w14:paraId="68F175D2" w14:textId="77777777" w:rsidR="00B75024" w:rsidRDefault="00B75024" w:rsidP="00B75024">
      <w:pPr>
        <w:pStyle w:val="Default"/>
        <w:rPr>
          <w:sz w:val="22"/>
          <w:szCs w:val="22"/>
        </w:rPr>
      </w:pPr>
    </w:p>
    <w:p w14:paraId="4B6FB5F9" w14:textId="37E012F6" w:rsidR="00B75024" w:rsidRPr="000A469A" w:rsidRDefault="00B75024" w:rsidP="00B75024">
      <w:pPr>
        <w:pStyle w:val="Default"/>
        <w:numPr>
          <w:ilvl w:val="0"/>
          <w:numId w:val="26"/>
        </w:numPr>
        <w:spacing w:after="171"/>
        <w:rPr>
          <w:sz w:val="22"/>
          <w:szCs w:val="22"/>
        </w:rPr>
      </w:pPr>
      <w:r>
        <w:rPr>
          <w:sz w:val="22"/>
          <w:szCs w:val="22"/>
        </w:rPr>
        <w:t xml:space="preserve">A </w:t>
      </w:r>
      <w:r w:rsidR="007D6A15">
        <w:rPr>
          <w:sz w:val="22"/>
          <w:szCs w:val="22"/>
        </w:rPr>
        <w:t>s</w:t>
      </w:r>
      <w:r>
        <w:rPr>
          <w:sz w:val="22"/>
          <w:szCs w:val="22"/>
        </w:rPr>
        <w:t xml:space="preserve">trategy text Library </w:t>
      </w:r>
      <w:proofErr w:type="spellStart"/>
      <w:r>
        <w:rPr>
          <w:i/>
          <w:iCs/>
          <w:sz w:val="22"/>
          <w:szCs w:val="22"/>
        </w:rPr>
        <w:t>InterPrac</w:t>
      </w:r>
      <w:proofErr w:type="spellEnd"/>
      <w:r>
        <w:rPr>
          <w:i/>
          <w:iCs/>
          <w:sz w:val="22"/>
          <w:szCs w:val="22"/>
        </w:rPr>
        <w:t xml:space="preserve"> Statement of Advice (</w:t>
      </w:r>
      <w:proofErr w:type="spellStart"/>
      <w:r>
        <w:rPr>
          <w:i/>
          <w:iCs/>
          <w:sz w:val="22"/>
          <w:szCs w:val="22"/>
        </w:rPr>
        <w:t>SoA</w:t>
      </w:r>
      <w:proofErr w:type="spellEnd"/>
      <w:r>
        <w:rPr>
          <w:i/>
          <w:iCs/>
          <w:sz w:val="22"/>
          <w:szCs w:val="22"/>
        </w:rPr>
        <w:t xml:space="preserve">) Strategy Text – </w:t>
      </w:r>
      <w:r w:rsidR="00693B47">
        <w:rPr>
          <w:i/>
          <w:iCs/>
          <w:sz w:val="22"/>
          <w:szCs w:val="22"/>
        </w:rPr>
        <w:t>&lt;</w:t>
      </w:r>
      <w:r>
        <w:rPr>
          <w:i/>
          <w:iCs/>
          <w:sz w:val="22"/>
          <w:szCs w:val="22"/>
        </w:rPr>
        <w:t>Date&gt; (word)</w:t>
      </w:r>
    </w:p>
    <w:p w14:paraId="655953BD" w14:textId="4889A138" w:rsidR="00B75024" w:rsidRDefault="00B75024" w:rsidP="004454CD">
      <w:pPr>
        <w:pStyle w:val="Default"/>
        <w:spacing w:before="120"/>
        <w:ind w:left="720"/>
        <w:rPr>
          <w:sz w:val="22"/>
          <w:szCs w:val="22"/>
        </w:rPr>
      </w:pPr>
      <w:r>
        <w:rPr>
          <w:sz w:val="22"/>
          <w:szCs w:val="22"/>
        </w:rPr>
        <w:t>This is will continue to be updated and contains popular financial planning strategies</w:t>
      </w:r>
      <w:r w:rsidR="007D6A15">
        <w:rPr>
          <w:sz w:val="22"/>
          <w:szCs w:val="22"/>
        </w:rPr>
        <w:t>.</w:t>
      </w:r>
      <w:r>
        <w:rPr>
          <w:sz w:val="22"/>
          <w:szCs w:val="22"/>
        </w:rPr>
        <w:t xml:space="preserve"> </w:t>
      </w:r>
    </w:p>
    <w:p w14:paraId="62FACF43" w14:textId="77777777" w:rsidR="004454CD" w:rsidRDefault="004454CD" w:rsidP="000A469A">
      <w:pPr>
        <w:pStyle w:val="Default"/>
        <w:spacing w:before="120"/>
        <w:ind w:left="720"/>
        <w:rPr>
          <w:sz w:val="22"/>
          <w:szCs w:val="22"/>
        </w:rPr>
      </w:pPr>
    </w:p>
    <w:p w14:paraId="64CEB15F" w14:textId="77777777" w:rsidR="007D6A15" w:rsidRPr="000A469A" w:rsidRDefault="00B75024" w:rsidP="007D6A15">
      <w:pPr>
        <w:pStyle w:val="Default"/>
        <w:numPr>
          <w:ilvl w:val="0"/>
          <w:numId w:val="26"/>
        </w:numPr>
        <w:rPr>
          <w:sz w:val="22"/>
          <w:szCs w:val="22"/>
        </w:rPr>
      </w:pPr>
      <w:r>
        <w:rPr>
          <w:sz w:val="22"/>
          <w:szCs w:val="22"/>
        </w:rPr>
        <w:t xml:space="preserve">An </w:t>
      </w:r>
      <w:r w:rsidR="007D6A15">
        <w:rPr>
          <w:sz w:val="22"/>
          <w:szCs w:val="22"/>
        </w:rPr>
        <w:t>a</w:t>
      </w:r>
      <w:r>
        <w:rPr>
          <w:sz w:val="22"/>
          <w:szCs w:val="22"/>
        </w:rPr>
        <w:t xml:space="preserve">ppendix text Library </w:t>
      </w:r>
      <w:proofErr w:type="spellStart"/>
      <w:r>
        <w:rPr>
          <w:i/>
          <w:iCs/>
          <w:sz w:val="22"/>
          <w:szCs w:val="22"/>
        </w:rPr>
        <w:t>InterPrac</w:t>
      </w:r>
      <w:proofErr w:type="spellEnd"/>
      <w:r>
        <w:rPr>
          <w:i/>
          <w:iCs/>
          <w:sz w:val="22"/>
          <w:szCs w:val="22"/>
        </w:rPr>
        <w:t xml:space="preserve"> Statement of Advice (</w:t>
      </w:r>
      <w:proofErr w:type="spellStart"/>
      <w:r>
        <w:rPr>
          <w:i/>
          <w:iCs/>
          <w:sz w:val="22"/>
          <w:szCs w:val="22"/>
        </w:rPr>
        <w:t>SoA</w:t>
      </w:r>
      <w:proofErr w:type="spellEnd"/>
      <w:r>
        <w:rPr>
          <w:i/>
          <w:iCs/>
          <w:sz w:val="22"/>
          <w:szCs w:val="22"/>
        </w:rPr>
        <w:t>) Appendix</w:t>
      </w:r>
      <w:r w:rsidR="007D6A15">
        <w:rPr>
          <w:i/>
          <w:iCs/>
          <w:sz w:val="22"/>
          <w:szCs w:val="22"/>
        </w:rPr>
        <w:t xml:space="preserve"> - &lt;Date&gt; (word)</w:t>
      </w:r>
    </w:p>
    <w:p w14:paraId="2EEE6B2E" w14:textId="20A6B6CD" w:rsidR="00B75024" w:rsidRDefault="007D6A15" w:rsidP="000A469A">
      <w:pPr>
        <w:pStyle w:val="Default"/>
        <w:spacing w:before="120"/>
        <w:ind w:left="720"/>
        <w:rPr>
          <w:sz w:val="22"/>
          <w:szCs w:val="22"/>
        </w:rPr>
      </w:pPr>
      <w:r>
        <w:rPr>
          <w:sz w:val="22"/>
          <w:szCs w:val="22"/>
        </w:rPr>
        <w:t>This too</w:t>
      </w:r>
      <w:r w:rsidR="00B75024">
        <w:rPr>
          <w:sz w:val="22"/>
          <w:szCs w:val="22"/>
        </w:rPr>
        <w:t xml:space="preserve"> will continue to be updated and contains supporting technical information in support of the financial planning strategies, as required. </w:t>
      </w:r>
    </w:p>
    <w:p w14:paraId="3B72F5A1" w14:textId="77777777" w:rsidR="00B75024" w:rsidRDefault="00B75024" w:rsidP="00B75024"/>
    <w:p w14:paraId="56CC379B" w14:textId="77777777" w:rsidR="004F2C02" w:rsidRDefault="004F2C02" w:rsidP="00B75024"/>
    <w:p w14:paraId="37DECC8A" w14:textId="49AC9422" w:rsidR="00B75024" w:rsidRDefault="006A7982" w:rsidP="00B75024">
      <w:r>
        <w:t>Additionally,</w:t>
      </w:r>
      <w:r w:rsidR="00693B47">
        <w:t xml:space="preserve"> there are more ‘specialist’ templates:</w:t>
      </w:r>
    </w:p>
    <w:p w14:paraId="6CEB666A" w14:textId="0D0E6C30" w:rsidR="00693B47" w:rsidRDefault="00693B47" w:rsidP="00B75024"/>
    <w:p w14:paraId="7D59269B" w14:textId="52E8266D" w:rsidR="00693B47" w:rsidRDefault="00693B47" w:rsidP="00693B47">
      <w:pPr>
        <w:pStyle w:val="ListParagraph"/>
        <w:numPr>
          <w:ilvl w:val="0"/>
          <w:numId w:val="26"/>
        </w:numPr>
      </w:pPr>
      <w:proofErr w:type="spellStart"/>
      <w:r w:rsidRPr="000A469A">
        <w:rPr>
          <w:i/>
        </w:rPr>
        <w:t>InterPrac</w:t>
      </w:r>
      <w:proofErr w:type="spellEnd"/>
      <w:r w:rsidRPr="000A469A">
        <w:rPr>
          <w:i/>
        </w:rPr>
        <w:t xml:space="preserve"> Record of Advice</w:t>
      </w:r>
      <w:r>
        <w:rPr>
          <w:i/>
        </w:rPr>
        <w:t xml:space="preserve"> (ROA)</w:t>
      </w:r>
      <w:r w:rsidRPr="000A469A">
        <w:rPr>
          <w:i/>
        </w:rPr>
        <w:t xml:space="preserve"> </w:t>
      </w:r>
      <w:r w:rsidR="00F7536C">
        <w:rPr>
          <w:i/>
        </w:rPr>
        <w:t>-</w:t>
      </w:r>
      <w:r w:rsidRPr="000A469A">
        <w:rPr>
          <w:i/>
        </w:rPr>
        <w:t xml:space="preserve"> &lt;Date&gt;</w:t>
      </w:r>
      <w:r>
        <w:t xml:space="preserve"> (word)</w:t>
      </w:r>
    </w:p>
    <w:p w14:paraId="46CD9F03" w14:textId="1BE13BAB" w:rsidR="00693B47" w:rsidRPr="000A469A" w:rsidRDefault="00693B47" w:rsidP="00693B47">
      <w:pPr>
        <w:pStyle w:val="ListParagraph"/>
        <w:numPr>
          <w:ilvl w:val="0"/>
          <w:numId w:val="26"/>
        </w:numPr>
      </w:pPr>
      <w:proofErr w:type="spellStart"/>
      <w:r>
        <w:rPr>
          <w:i/>
        </w:rPr>
        <w:t>InterPrac</w:t>
      </w:r>
      <w:proofErr w:type="spellEnd"/>
      <w:r>
        <w:rPr>
          <w:i/>
        </w:rPr>
        <w:t xml:space="preserve"> Risk Only Statement of Advice - &lt;Date</w:t>
      </w:r>
      <w:r w:rsidR="004C1915">
        <w:rPr>
          <w:i/>
        </w:rPr>
        <w:t>&gt;</w:t>
      </w:r>
      <w:r>
        <w:rPr>
          <w:i/>
        </w:rPr>
        <w:t xml:space="preserve"> </w:t>
      </w:r>
      <w:r w:rsidRPr="000A469A">
        <w:t>(word)</w:t>
      </w:r>
      <w:r w:rsidR="001C460B">
        <w:rPr>
          <w:b/>
          <w:bCs/>
          <w:i/>
        </w:rPr>
        <w:t>**</w:t>
      </w:r>
    </w:p>
    <w:p w14:paraId="59294A0B" w14:textId="7425185A" w:rsidR="004C1915" w:rsidRPr="004C1915" w:rsidRDefault="005F440D" w:rsidP="00693B47">
      <w:pPr>
        <w:pStyle w:val="ListParagraph"/>
        <w:numPr>
          <w:ilvl w:val="0"/>
          <w:numId w:val="26"/>
        </w:numPr>
        <w:rPr>
          <w:i/>
        </w:rPr>
      </w:pPr>
      <w:hyperlink r:id="rId9" w:history="1">
        <w:proofErr w:type="spellStart"/>
        <w:r w:rsidR="004C1915" w:rsidRPr="000A469A">
          <w:rPr>
            <w:i/>
          </w:rPr>
          <w:t>InterPrac</w:t>
        </w:r>
        <w:proofErr w:type="spellEnd"/>
        <w:r w:rsidR="004C1915" w:rsidRPr="000A469A">
          <w:rPr>
            <w:i/>
          </w:rPr>
          <w:t xml:space="preserve"> SMSF Establishment Only Statement of Advice (</w:t>
        </w:r>
        <w:proofErr w:type="spellStart"/>
        <w:r w:rsidR="004C1915" w:rsidRPr="000A469A">
          <w:rPr>
            <w:i/>
          </w:rPr>
          <w:t>SoA</w:t>
        </w:r>
        <w:proofErr w:type="spellEnd"/>
        <w:r w:rsidR="004C1915" w:rsidRPr="000A469A">
          <w:rPr>
            <w:i/>
          </w:rPr>
          <w:t xml:space="preserve">) – </w:t>
        </w:r>
        <w:r w:rsidR="00D109D5">
          <w:rPr>
            <w:i/>
          </w:rPr>
          <w:t>&lt;Date&gt;</w:t>
        </w:r>
        <w:r w:rsidR="004C1915" w:rsidRPr="000A469A">
          <w:rPr>
            <w:i/>
          </w:rPr>
          <w:t xml:space="preserve"> </w:t>
        </w:r>
        <w:r w:rsidR="004C1915" w:rsidRPr="000A469A">
          <w:t>(word)</w:t>
        </w:r>
      </w:hyperlink>
      <w:r w:rsidR="004F2C02">
        <w:rPr>
          <w:b/>
          <w:bCs/>
          <w:i/>
        </w:rPr>
        <w:t>**</w:t>
      </w:r>
    </w:p>
    <w:p w14:paraId="69D44F76" w14:textId="74943FBF" w:rsidR="00693B47" w:rsidRDefault="00693B47" w:rsidP="000A469A">
      <w:pPr>
        <w:pStyle w:val="ListParagraph"/>
        <w:numPr>
          <w:ilvl w:val="0"/>
          <w:numId w:val="26"/>
        </w:numPr>
      </w:pPr>
      <w:proofErr w:type="spellStart"/>
      <w:r w:rsidRPr="000A469A">
        <w:rPr>
          <w:i/>
        </w:rPr>
        <w:t>InterPrac</w:t>
      </w:r>
      <w:proofErr w:type="spellEnd"/>
      <w:r w:rsidRPr="000A469A">
        <w:rPr>
          <w:i/>
        </w:rPr>
        <w:t xml:space="preserve"> Execution Only (Transaction Record)</w:t>
      </w:r>
      <w:r w:rsidR="00F7536C">
        <w:rPr>
          <w:i/>
        </w:rPr>
        <w:t xml:space="preserve"> -</w:t>
      </w:r>
      <w:r w:rsidRPr="000A469A">
        <w:rPr>
          <w:i/>
        </w:rPr>
        <w:t xml:space="preserve"> &lt;Date&gt;</w:t>
      </w:r>
      <w:r>
        <w:t xml:space="preserve"> (word)</w:t>
      </w:r>
    </w:p>
    <w:p w14:paraId="760A1391" w14:textId="0803A6F5" w:rsidR="00693B47" w:rsidRPr="000A469A" w:rsidRDefault="00693B47" w:rsidP="000A469A">
      <w:pPr>
        <w:pStyle w:val="ListParagraph"/>
        <w:numPr>
          <w:ilvl w:val="0"/>
          <w:numId w:val="26"/>
        </w:numPr>
        <w:rPr>
          <w:i/>
        </w:rPr>
      </w:pPr>
      <w:r w:rsidRPr="000A469A">
        <w:rPr>
          <w:i/>
        </w:rPr>
        <w:t>Statement of Advice (</w:t>
      </w:r>
      <w:proofErr w:type="spellStart"/>
      <w:r w:rsidRPr="000A469A">
        <w:rPr>
          <w:i/>
        </w:rPr>
        <w:t>SoA</w:t>
      </w:r>
      <w:proofErr w:type="spellEnd"/>
      <w:r w:rsidRPr="000A469A">
        <w:rPr>
          <w:i/>
        </w:rPr>
        <w:t xml:space="preserve">) Strategy Text for </w:t>
      </w:r>
      <w:proofErr w:type="spellStart"/>
      <w:r w:rsidRPr="000A469A">
        <w:rPr>
          <w:i/>
        </w:rPr>
        <w:t>InterPrac</w:t>
      </w:r>
      <w:proofErr w:type="spellEnd"/>
      <w:r w:rsidRPr="000A469A">
        <w:rPr>
          <w:i/>
        </w:rPr>
        <w:t xml:space="preserve"> Model Portfolios </w:t>
      </w:r>
      <w:r>
        <w:rPr>
          <w:i/>
        </w:rPr>
        <w:t>(version)</w:t>
      </w:r>
      <w:r w:rsidRPr="000A469A">
        <w:rPr>
          <w:i/>
        </w:rPr>
        <w:t xml:space="preserve"> </w:t>
      </w:r>
      <w:r w:rsidRPr="000A469A">
        <w:t>(word)</w:t>
      </w:r>
    </w:p>
    <w:p w14:paraId="224086EC" w14:textId="74FD8E49" w:rsidR="00693B47" w:rsidRPr="000A469A" w:rsidRDefault="00693B47" w:rsidP="00693B47">
      <w:pPr>
        <w:pStyle w:val="ListParagraph"/>
        <w:numPr>
          <w:ilvl w:val="0"/>
          <w:numId w:val="26"/>
        </w:numPr>
        <w:rPr>
          <w:i/>
        </w:rPr>
      </w:pPr>
      <w:r w:rsidRPr="000A469A">
        <w:rPr>
          <w:i/>
        </w:rPr>
        <w:t>Statement of Advice (</w:t>
      </w:r>
      <w:proofErr w:type="spellStart"/>
      <w:r w:rsidRPr="000A469A">
        <w:rPr>
          <w:i/>
        </w:rPr>
        <w:t>SoA</w:t>
      </w:r>
      <w:proofErr w:type="spellEnd"/>
      <w:r w:rsidRPr="000A469A">
        <w:rPr>
          <w:i/>
        </w:rPr>
        <w:t xml:space="preserve">) Appendix investor1st IDPS v1.0 </w:t>
      </w:r>
      <w:r w:rsidRPr="000A469A">
        <w:t>(word)</w:t>
      </w:r>
    </w:p>
    <w:p w14:paraId="3E486EE5" w14:textId="7CD5547F" w:rsidR="00693B47" w:rsidRDefault="00693B47" w:rsidP="00693B47">
      <w:pPr>
        <w:pStyle w:val="ListParagraph"/>
      </w:pPr>
    </w:p>
    <w:p w14:paraId="5565C259" w14:textId="173047C7" w:rsidR="0004080C" w:rsidRPr="000A469A" w:rsidRDefault="004F2C02" w:rsidP="000A469A">
      <w:pPr>
        <w:rPr>
          <w:rFonts w:eastAsia="Times New Roman"/>
          <w:i/>
          <w:sz w:val="18"/>
          <w:szCs w:val="18"/>
        </w:rPr>
      </w:pPr>
      <w:r w:rsidRPr="000A469A">
        <w:rPr>
          <w:rFonts w:eastAsia="Times New Roman"/>
          <w:i/>
          <w:sz w:val="18"/>
          <w:szCs w:val="18"/>
        </w:rPr>
        <w:t xml:space="preserve">** Developed </w:t>
      </w:r>
      <w:r w:rsidR="001C460B">
        <w:rPr>
          <w:rFonts w:eastAsia="Times New Roman"/>
          <w:i/>
          <w:sz w:val="18"/>
          <w:szCs w:val="18"/>
        </w:rPr>
        <w:t xml:space="preserve">originally </w:t>
      </w:r>
      <w:r w:rsidRPr="000A469A">
        <w:rPr>
          <w:rFonts w:eastAsia="Times New Roman"/>
          <w:i/>
          <w:sz w:val="18"/>
          <w:szCs w:val="18"/>
        </w:rPr>
        <w:t>for Limited Advice Licensees</w:t>
      </w:r>
      <w:r w:rsidR="008C1639">
        <w:rPr>
          <w:rFonts w:eastAsia="Times New Roman"/>
          <w:i/>
          <w:sz w:val="18"/>
          <w:szCs w:val="18"/>
        </w:rPr>
        <w:t>.</w:t>
      </w:r>
    </w:p>
    <w:p w14:paraId="04BCDCEE" w14:textId="77777777" w:rsidR="0004080C" w:rsidRDefault="0004080C" w:rsidP="000A469A">
      <w:pPr>
        <w:rPr>
          <w:rFonts w:eastAsia="Times New Roman"/>
          <w:b/>
          <w:sz w:val="28"/>
          <w:szCs w:val="28"/>
        </w:rPr>
      </w:pPr>
    </w:p>
    <w:p w14:paraId="77E842C7" w14:textId="77777777" w:rsidR="0004080C" w:rsidRDefault="0004080C" w:rsidP="000A469A">
      <w:pPr>
        <w:rPr>
          <w:rFonts w:eastAsia="Times New Roman"/>
          <w:b/>
          <w:sz w:val="28"/>
          <w:szCs w:val="28"/>
        </w:rPr>
      </w:pPr>
    </w:p>
    <w:p w14:paraId="6969CD5A" w14:textId="32F275AB" w:rsidR="0004080C" w:rsidRDefault="0004080C" w:rsidP="0004080C">
      <w:pPr>
        <w:rPr>
          <w:rFonts w:eastAsia="Times New Roman"/>
          <w:b/>
          <w:sz w:val="28"/>
          <w:szCs w:val="28"/>
        </w:rPr>
      </w:pPr>
    </w:p>
    <w:p w14:paraId="1A98F964" w14:textId="77777777" w:rsidR="0004080C" w:rsidRDefault="0004080C" w:rsidP="000A469A">
      <w:pPr>
        <w:rPr>
          <w:rFonts w:eastAsia="Times New Roman"/>
          <w:b/>
          <w:sz w:val="28"/>
          <w:szCs w:val="28"/>
        </w:rPr>
      </w:pPr>
    </w:p>
    <w:p w14:paraId="06DF33F2" w14:textId="745B30BE" w:rsidR="00D109D5" w:rsidRPr="000A469A" w:rsidRDefault="00D109D5" w:rsidP="000A469A">
      <w:pPr>
        <w:pStyle w:val="Heading2"/>
        <w:rPr>
          <w:rFonts w:eastAsia="Times New Roman"/>
          <w:b/>
          <w:sz w:val="28"/>
          <w:szCs w:val="28"/>
        </w:rPr>
      </w:pPr>
      <w:bookmarkStart w:id="1" w:name="_Toc36642354"/>
      <w:r w:rsidRPr="000A469A">
        <w:rPr>
          <w:rFonts w:eastAsia="Times New Roman"/>
          <w:b/>
          <w:sz w:val="28"/>
          <w:szCs w:val="28"/>
        </w:rPr>
        <w:lastRenderedPageBreak/>
        <w:t>Cover Letter</w:t>
      </w:r>
      <w:bookmarkEnd w:id="1"/>
    </w:p>
    <w:p w14:paraId="255A7777" w14:textId="77777777" w:rsidR="00246CA4" w:rsidRDefault="00246CA4" w:rsidP="000A469A">
      <w:pPr>
        <w:rPr>
          <w:sz w:val="20"/>
          <w:szCs w:val="20"/>
        </w:rPr>
      </w:pPr>
    </w:p>
    <w:p w14:paraId="7CA1672F" w14:textId="77777777" w:rsidR="00246CA4" w:rsidRDefault="00246CA4" w:rsidP="00246CA4">
      <w:pPr>
        <w:rPr>
          <w:sz w:val="20"/>
          <w:szCs w:val="20"/>
        </w:rPr>
      </w:pPr>
      <w:r w:rsidRPr="000A469A">
        <w:rPr>
          <w:sz w:val="20"/>
          <w:szCs w:val="20"/>
        </w:rPr>
        <w:t xml:space="preserve">The </w:t>
      </w:r>
      <w:proofErr w:type="spellStart"/>
      <w:r w:rsidRPr="000A469A">
        <w:rPr>
          <w:sz w:val="20"/>
          <w:szCs w:val="20"/>
        </w:rPr>
        <w:t>SoA</w:t>
      </w:r>
      <w:proofErr w:type="spellEnd"/>
      <w:r w:rsidRPr="000A469A">
        <w:rPr>
          <w:sz w:val="20"/>
          <w:szCs w:val="20"/>
        </w:rPr>
        <w:t xml:space="preserve"> includes a covering letter and front page which can be adapted and </w:t>
      </w:r>
      <w:r>
        <w:rPr>
          <w:sz w:val="20"/>
          <w:szCs w:val="20"/>
        </w:rPr>
        <w:t>per</w:t>
      </w:r>
      <w:r w:rsidRPr="000A469A">
        <w:rPr>
          <w:sz w:val="20"/>
          <w:szCs w:val="20"/>
        </w:rPr>
        <w:t xml:space="preserve">sonalised by the adviser. </w:t>
      </w:r>
    </w:p>
    <w:tbl>
      <w:tblPr>
        <w:tblW w:w="9415" w:type="dxa"/>
        <w:tblBorders>
          <w:top w:val="nil"/>
          <w:left w:val="nil"/>
          <w:bottom w:val="nil"/>
          <w:right w:val="nil"/>
        </w:tblBorders>
        <w:tblLayout w:type="fixed"/>
        <w:tblLook w:val="0000" w:firstRow="0" w:lastRow="0" w:firstColumn="0" w:lastColumn="0" w:noHBand="0" w:noVBand="0"/>
      </w:tblPr>
      <w:tblGrid>
        <w:gridCol w:w="9415"/>
      </w:tblGrid>
      <w:tr w:rsidR="00246CA4" w:rsidRPr="00907331" w14:paraId="42B7F643" w14:textId="77777777" w:rsidTr="00FF704F">
        <w:trPr>
          <w:trHeight w:val="292"/>
        </w:trPr>
        <w:tc>
          <w:tcPr>
            <w:tcW w:w="9415" w:type="dxa"/>
          </w:tcPr>
          <w:p w14:paraId="76DFED4F" w14:textId="0E226F43" w:rsidR="00246CA4" w:rsidRDefault="00246CA4" w:rsidP="00246CA4">
            <w:pPr>
              <w:ind w:left="-105"/>
              <w:rPr>
                <w:sz w:val="20"/>
                <w:szCs w:val="20"/>
              </w:rPr>
            </w:pPr>
            <w:r>
              <w:rPr>
                <w:sz w:val="20"/>
                <w:szCs w:val="20"/>
              </w:rPr>
              <w:t>These should be consistently addressed &amp; per</w:t>
            </w:r>
            <w:r w:rsidRPr="000A469A">
              <w:rPr>
                <w:sz w:val="20"/>
                <w:szCs w:val="20"/>
              </w:rPr>
              <w:t xml:space="preserve">sonalised by the </w:t>
            </w:r>
            <w:r w:rsidR="001B744A">
              <w:rPr>
                <w:sz w:val="20"/>
                <w:szCs w:val="20"/>
              </w:rPr>
              <w:t>A</w:t>
            </w:r>
            <w:r w:rsidRPr="000A469A">
              <w:rPr>
                <w:sz w:val="20"/>
                <w:szCs w:val="20"/>
              </w:rPr>
              <w:t xml:space="preserve">dviser. </w:t>
            </w:r>
          </w:p>
          <w:p w14:paraId="5F906D24" w14:textId="1750191B" w:rsidR="00246CA4" w:rsidRPr="000A469A" w:rsidRDefault="00246CA4" w:rsidP="00246CA4">
            <w:pPr>
              <w:ind w:left="-105"/>
              <w:rPr>
                <w:sz w:val="20"/>
                <w:szCs w:val="20"/>
              </w:rPr>
            </w:pPr>
          </w:p>
        </w:tc>
      </w:tr>
    </w:tbl>
    <w:p w14:paraId="561AE560" w14:textId="1AA5DEFC" w:rsidR="00D109D5" w:rsidRDefault="009C4273" w:rsidP="000A469A">
      <w:pPr>
        <w:rPr>
          <w:sz w:val="20"/>
          <w:szCs w:val="20"/>
        </w:rPr>
      </w:pPr>
      <w:r>
        <w:rPr>
          <w:sz w:val="20"/>
          <w:szCs w:val="20"/>
        </w:rPr>
        <w:t xml:space="preserve">If the </w:t>
      </w:r>
      <w:proofErr w:type="spellStart"/>
      <w:r>
        <w:rPr>
          <w:sz w:val="20"/>
          <w:szCs w:val="20"/>
        </w:rPr>
        <w:t>SoA</w:t>
      </w:r>
      <w:proofErr w:type="spellEnd"/>
      <w:r>
        <w:rPr>
          <w:sz w:val="20"/>
          <w:szCs w:val="20"/>
        </w:rPr>
        <w:t xml:space="preserve"> is a </w:t>
      </w:r>
      <w:r w:rsidR="005F440D" w:rsidRPr="001B744A">
        <w:rPr>
          <w:sz w:val="20"/>
          <w:szCs w:val="20"/>
          <w:u w:val="single"/>
        </w:rPr>
        <w:t>new</w:t>
      </w:r>
      <w:r w:rsidR="005F440D">
        <w:rPr>
          <w:sz w:val="20"/>
          <w:szCs w:val="20"/>
        </w:rPr>
        <w:t xml:space="preserve"> </w:t>
      </w:r>
      <w:r>
        <w:rPr>
          <w:sz w:val="20"/>
          <w:szCs w:val="20"/>
        </w:rPr>
        <w:t>SMSF Establishment, the addressing can be to individuals bu</w:t>
      </w:r>
      <w:r w:rsidR="005F440D">
        <w:rPr>
          <w:sz w:val="20"/>
          <w:szCs w:val="20"/>
        </w:rPr>
        <w:t>t</w:t>
      </w:r>
      <w:r>
        <w:rPr>
          <w:sz w:val="20"/>
          <w:szCs w:val="20"/>
        </w:rPr>
        <w:t xml:space="preserve"> </w:t>
      </w:r>
      <w:r w:rsidR="005F440D">
        <w:rPr>
          <w:sz w:val="20"/>
          <w:szCs w:val="20"/>
        </w:rPr>
        <w:t xml:space="preserve">in </w:t>
      </w:r>
      <w:r>
        <w:rPr>
          <w:sz w:val="20"/>
          <w:szCs w:val="20"/>
        </w:rPr>
        <w:t xml:space="preserve">the body of the Cover Letter </w:t>
      </w:r>
      <w:r w:rsidR="005F440D">
        <w:rPr>
          <w:sz w:val="20"/>
          <w:szCs w:val="20"/>
        </w:rPr>
        <w:t xml:space="preserve">following ‘… any recommendations without first discussing with us ….’ </w:t>
      </w:r>
    </w:p>
    <w:p w14:paraId="5A98FB70" w14:textId="3A4FCC73" w:rsidR="005F440D" w:rsidRDefault="005F440D" w:rsidP="000A469A">
      <w:pPr>
        <w:rPr>
          <w:sz w:val="20"/>
          <w:szCs w:val="20"/>
        </w:rPr>
      </w:pPr>
    </w:p>
    <w:p w14:paraId="5458C565" w14:textId="3817B87B" w:rsidR="009C4273" w:rsidRDefault="005F440D" w:rsidP="000A469A">
      <w:pPr>
        <w:rPr>
          <w:sz w:val="20"/>
          <w:szCs w:val="20"/>
        </w:rPr>
      </w:pPr>
      <w:r>
        <w:rPr>
          <w:sz w:val="20"/>
          <w:szCs w:val="20"/>
        </w:rPr>
        <w:t xml:space="preserve">        </w:t>
      </w:r>
      <w:r w:rsidRPr="005F440D">
        <w:rPr>
          <w:sz w:val="20"/>
          <w:szCs w:val="20"/>
        </w:rPr>
        <w:drawing>
          <wp:inline distT="0" distB="0" distL="0" distR="0" wp14:anchorId="2D3E0508" wp14:editId="3F53CB03">
            <wp:extent cx="5159187" cy="777307"/>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9187" cy="777307"/>
                    </a:xfrm>
                    <a:prstGeom prst="rect">
                      <a:avLst/>
                    </a:prstGeom>
                  </pic:spPr>
                </pic:pic>
              </a:graphicData>
            </a:graphic>
          </wp:inline>
        </w:drawing>
      </w:r>
    </w:p>
    <w:p w14:paraId="3A2B73A5" w14:textId="5B0C0997" w:rsidR="009C4273" w:rsidRDefault="009C4273" w:rsidP="000A469A">
      <w:pPr>
        <w:rPr>
          <w:sz w:val="20"/>
          <w:szCs w:val="20"/>
        </w:rPr>
      </w:pPr>
    </w:p>
    <w:p w14:paraId="77D8DC9D" w14:textId="722F2E9B" w:rsidR="005F440D" w:rsidRDefault="005F440D" w:rsidP="000A469A">
      <w:pPr>
        <w:rPr>
          <w:sz w:val="20"/>
          <w:szCs w:val="20"/>
        </w:rPr>
      </w:pPr>
      <w:r>
        <w:rPr>
          <w:sz w:val="20"/>
          <w:szCs w:val="20"/>
        </w:rPr>
        <w:t>… insert and tailor</w:t>
      </w:r>
      <w:r w:rsidR="00D66DE0">
        <w:rPr>
          <w:sz w:val="20"/>
          <w:szCs w:val="20"/>
        </w:rPr>
        <w:t xml:space="preserve"> as necessary</w:t>
      </w:r>
      <w:r>
        <w:rPr>
          <w:sz w:val="20"/>
          <w:szCs w:val="20"/>
        </w:rPr>
        <w:t xml:space="preserve"> the relevant paragraph from these 2 options:</w:t>
      </w:r>
    </w:p>
    <w:p w14:paraId="0D7887C9" w14:textId="63FDF206" w:rsidR="005F440D" w:rsidRDefault="005F440D" w:rsidP="000A469A">
      <w:pPr>
        <w:rPr>
          <w:sz w:val="20"/>
          <w:szCs w:val="20"/>
        </w:rPr>
      </w:pPr>
    </w:p>
    <w:p w14:paraId="0E778A49" w14:textId="467B254E" w:rsidR="00F8430E" w:rsidRPr="00F8430E" w:rsidRDefault="00F8430E" w:rsidP="000A469A">
      <w:pPr>
        <w:rPr>
          <w:b/>
          <w:bCs/>
          <w:sz w:val="20"/>
          <w:szCs w:val="20"/>
        </w:rPr>
      </w:pPr>
      <w:r w:rsidRPr="00F8430E">
        <w:rPr>
          <w:b/>
          <w:bCs/>
          <w:sz w:val="20"/>
          <w:szCs w:val="20"/>
        </w:rPr>
        <w:t>Option 1:</w:t>
      </w:r>
    </w:p>
    <w:p w14:paraId="203ABF60" w14:textId="32AB11DB" w:rsidR="005F440D" w:rsidRDefault="005F440D" w:rsidP="00E64FC6">
      <w:pPr>
        <w:ind w:left="720"/>
        <w:rPr>
          <w:sz w:val="20"/>
          <w:szCs w:val="20"/>
        </w:rPr>
      </w:pPr>
      <w:r>
        <w:rPr>
          <w:sz w:val="20"/>
          <w:szCs w:val="20"/>
        </w:rPr>
        <w:t xml:space="preserve">“Please be aware </w:t>
      </w:r>
      <w:r w:rsidR="00F8430E">
        <w:rPr>
          <w:sz w:val="20"/>
          <w:szCs w:val="20"/>
        </w:rPr>
        <w:t xml:space="preserve">that, should you proceed to establish an SMSF, then you will assuming differing roles &amp; responsibilities as both Members &amp; Trustees. This will be reflected in the advice that follows.” </w:t>
      </w:r>
    </w:p>
    <w:p w14:paraId="5FD18224" w14:textId="7D52F63A" w:rsidR="00F8430E" w:rsidRDefault="00F8430E" w:rsidP="000A469A">
      <w:pPr>
        <w:rPr>
          <w:sz w:val="20"/>
          <w:szCs w:val="20"/>
        </w:rPr>
      </w:pPr>
    </w:p>
    <w:p w14:paraId="72BD078D" w14:textId="3A464526" w:rsidR="00F8430E" w:rsidRPr="00F8430E" w:rsidRDefault="00F8430E" w:rsidP="000A469A">
      <w:pPr>
        <w:rPr>
          <w:b/>
          <w:bCs/>
          <w:sz w:val="20"/>
          <w:szCs w:val="20"/>
        </w:rPr>
      </w:pPr>
      <w:r w:rsidRPr="00F8430E">
        <w:rPr>
          <w:b/>
          <w:bCs/>
          <w:sz w:val="20"/>
          <w:szCs w:val="20"/>
        </w:rPr>
        <w:t>Option 2:</w:t>
      </w:r>
    </w:p>
    <w:p w14:paraId="7569D80E" w14:textId="06489F95" w:rsidR="00F8430E" w:rsidRDefault="00F8430E" w:rsidP="00E64FC6">
      <w:pPr>
        <w:ind w:left="720"/>
        <w:rPr>
          <w:sz w:val="20"/>
          <w:szCs w:val="20"/>
        </w:rPr>
      </w:pPr>
      <w:r>
        <w:rPr>
          <w:sz w:val="20"/>
          <w:szCs w:val="20"/>
        </w:rPr>
        <w:t xml:space="preserve">“Please be aware that, should you proceed to establish an SMSF, then you will assuming differing roles &amp; responsibilities </w:t>
      </w:r>
      <w:r>
        <w:rPr>
          <w:sz w:val="20"/>
          <w:szCs w:val="20"/>
        </w:rPr>
        <w:t>as</w:t>
      </w:r>
      <w:r>
        <w:rPr>
          <w:sz w:val="20"/>
          <w:szCs w:val="20"/>
        </w:rPr>
        <w:t xml:space="preserve"> both Members &amp; </w:t>
      </w:r>
      <w:r>
        <w:rPr>
          <w:sz w:val="20"/>
          <w:szCs w:val="20"/>
        </w:rPr>
        <w:t>Director(s) of a trustee company.</w:t>
      </w:r>
      <w:r>
        <w:rPr>
          <w:sz w:val="20"/>
          <w:szCs w:val="20"/>
        </w:rPr>
        <w:t xml:space="preserve"> This will be reflected in the advice that follows.” </w:t>
      </w:r>
    </w:p>
    <w:p w14:paraId="34D792C1" w14:textId="30904A4F" w:rsidR="00F8430E" w:rsidRDefault="00F8430E" w:rsidP="000A469A">
      <w:pPr>
        <w:rPr>
          <w:sz w:val="20"/>
          <w:szCs w:val="20"/>
        </w:rPr>
      </w:pPr>
    </w:p>
    <w:p w14:paraId="2A7F7E29" w14:textId="02AD3CEE" w:rsidR="00246CA4" w:rsidRDefault="00246CA4" w:rsidP="000A469A">
      <w:pPr>
        <w:rPr>
          <w:sz w:val="20"/>
          <w:szCs w:val="20"/>
        </w:rPr>
      </w:pPr>
      <w:r>
        <w:rPr>
          <w:sz w:val="20"/>
          <w:szCs w:val="20"/>
        </w:rPr>
        <w:t xml:space="preserve">If the </w:t>
      </w:r>
      <w:proofErr w:type="spellStart"/>
      <w:r>
        <w:rPr>
          <w:sz w:val="20"/>
          <w:szCs w:val="20"/>
        </w:rPr>
        <w:t>SoA</w:t>
      </w:r>
      <w:proofErr w:type="spellEnd"/>
      <w:r>
        <w:rPr>
          <w:sz w:val="20"/>
          <w:szCs w:val="20"/>
        </w:rPr>
        <w:t xml:space="preserve"> addresses an </w:t>
      </w:r>
      <w:r w:rsidRPr="001B744A">
        <w:rPr>
          <w:sz w:val="20"/>
          <w:szCs w:val="20"/>
          <w:u w:val="single"/>
        </w:rPr>
        <w:t>existing</w:t>
      </w:r>
      <w:r>
        <w:rPr>
          <w:sz w:val="20"/>
          <w:szCs w:val="20"/>
        </w:rPr>
        <w:t xml:space="preserve"> SMSF</w:t>
      </w:r>
      <w:r w:rsidR="00E64FC6">
        <w:rPr>
          <w:sz w:val="20"/>
          <w:szCs w:val="20"/>
        </w:rPr>
        <w:t>, Company or Trust</w:t>
      </w:r>
      <w:r>
        <w:rPr>
          <w:sz w:val="20"/>
          <w:szCs w:val="20"/>
        </w:rPr>
        <w:t xml:space="preserve">, both the Cover Letter and Cover Page should be </w:t>
      </w:r>
      <w:r w:rsidR="001B744A">
        <w:rPr>
          <w:sz w:val="20"/>
          <w:szCs w:val="20"/>
        </w:rPr>
        <w:t xml:space="preserve">consistently </w:t>
      </w:r>
      <w:r>
        <w:rPr>
          <w:sz w:val="20"/>
          <w:szCs w:val="20"/>
        </w:rPr>
        <w:t xml:space="preserve">addressed as per the relevant option </w:t>
      </w:r>
      <w:r w:rsidR="009E5733">
        <w:rPr>
          <w:sz w:val="20"/>
          <w:szCs w:val="20"/>
        </w:rPr>
        <w:t>&lt;</w:t>
      </w:r>
      <w:r>
        <w:rPr>
          <w:sz w:val="20"/>
          <w:szCs w:val="20"/>
        </w:rPr>
        <w:t>below</w:t>
      </w:r>
      <w:r w:rsidR="00686B62">
        <w:rPr>
          <w:sz w:val="20"/>
          <w:szCs w:val="20"/>
        </w:rPr>
        <w:t xml:space="preserve">; </w:t>
      </w:r>
      <w:r>
        <w:rPr>
          <w:sz w:val="20"/>
          <w:szCs w:val="20"/>
        </w:rPr>
        <w:t>Cover Page</w:t>
      </w:r>
      <w:r w:rsidR="001B744A">
        <w:rPr>
          <w:sz w:val="20"/>
          <w:szCs w:val="20"/>
        </w:rPr>
        <w:t>&gt;</w:t>
      </w:r>
      <w:r>
        <w:rPr>
          <w:sz w:val="20"/>
          <w:szCs w:val="20"/>
        </w:rPr>
        <w:t>.</w:t>
      </w:r>
    </w:p>
    <w:p w14:paraId="3A83236E" w14:textId="77777777" w:rsidR="005F440D" w:rsidRDefault="005F440D" w:rsidP="000A469A">
      <w:pPr>
        <w:rPr>
          <w:sz w:val="20"/>
          <w:szCs w:val="20"/>
        </w:rPr>
      </w:pPr>
    </w:p>
    <w:p w14:paraId="258D46FE" w14:textId="6FABEF57" w:rsidR="00800046" w:rsidRPr="000A469A" w:rsidRDefault="00800046" w:rsidP="00800046">
      <w:pPr>
        <w:pStyle w:val="Heading2"/>
        <w:rPr>
          <w:rFonts w:eastAsia="Times New Roman"/>
          <w:b/>
          <w:sz w:val="28"/>
          <w:szCs w:val="28"/>
        </w:rPr>
      </w:pPr>
      <w:bookmarkStart w:id="2" w:name="_Toc36642355"/>
      <w:r w:rsidRPr="000A469A">
        <w:rPr>
          <w:rFonts w:eastAsia="Times New Roman"/>
          <w:b/>
          <w:sz w:val="28"/>
          <w:szCs w:val="28"/>
        </w:rPr>
        <w:t xml:space="preserve">Cover </w:t>
      </w:r>
      <w:r>
        <w:rPr>
          <w:rFonts w:eastAsia="Times New Roman"/>
          <w:b/>
          <w:sz w:val="28"/>
          <w:szCs w:val="28"/>
        </w:rPr>
        <w:t>Page</w:t>
      </w:r>
      <w:bookmarkEnd w:id="2"/>
    </w:p>
    <w:p w14:paraId="52947D07" w14:textId="77777777" w:rsidR="00800046" w:rsidRPr="000A469A" w:rsidRDefault="00800046" w:rsidP="000A469A">
      <w:pPr>
        <w:rPr>
          <w:sz w:val="20"/>
          <w:szCs w:val="20"/>
        </w:rPr>
      </w:pPr>
    </w:p>
    <w:tbl>
      <w:tblPr>
        <w:tblW w:w="9415" w:type="dxa"/>
        <w:tblInd w:w="-108" w:type="dxa"/>
        <w:tblBorders>
          <w:top w:val="nil"/>
          <w:left w:val="nil"/>
          <w:bottom w:val="nil"/>
          <w:right w:val="nil"/>
        </w:tblBorders>
        <w:tblLayout w:type="fixed"/>
        <w:tblLook w:val="0000" w:firstRow="0" w:lastRow="0" w:firstColumn="0" w:lastColumn="0" w:noHBand="0" w:noVBand="0"/>
      </w:tblPr>
      <w:tblGrid>
        <w:gridCol w:w="9415"/>
      </w:tblGrid>
      <w:tr w:rsidR="00907331" w:rsidRPr="00907331" w14:paraId="3EFE6DC9" w14:textId="77777777" w:rsidTr="000A469A">
        <w:trPr>
          <w:trHeight w:val="292"/>
        </w:trPr>
        <w:tc>
          <w:tcPr>
            <w:tcW w:w="9415" w:type="dxa"/>
          </w:tcPr>
          <w:p w14:paraId="2031D575" w14:textId="4475E63C" w:rsidR="00E3026F" w:rsidRDefault="00907331" w:rsidP="000A469A">
            <w:pPr>
              <w:rPr>
                <w:sz w:val="20"/>
                <w:szCs w:val="20"/>
              </w:rPr>
            </w:pPr>
            <w:r w:rsidRPr="000A469A">
              <w:rPr>
                <w:sz w:val="20"/>
                <w:szCs w:val="20"/>
              </w:rPr>
              <w:t xml:space="preserve">The </w:t>
            </w:r>
            <w:proofErr w:type="spellStart"/>
            <w:r w:rsidRPr="000A469A">
              <w:rPr>
                <w:sz w:val="20"/>
                <w:szCs w:val="20"/>
              </w:rPr>
              <w:t>SoA</w:t>
            </w:r>
            <w:proofErr w:type="spellEnd"/>
            <w:r w:rsidRPr="000A469A">
              <w:rPr>
                <w:sz w:val="20"/>
                <w:szCs w:val="20"/>
              </w:rPr>
              <w:t xml:space="preserve"> includes a covering letter and front page which can be adapted and </w:t>
            </w:r>
            <w:r>
              <w:rPr>
                <w:sz w:val="20"/>
                <w:szCs w:val="20"/>
              </w:rPr>
              <w:t>per</w:t>
            </w:r>
            <w:r w:rsidRPr="000A469A">
              <w:rPr>
                <w:sz w:val="20"/>
                <w:szCs w:val="20"/>
              </w:rPr>
              <w:t xml:space="preserve">sonalised by the adviser. </w:t>
            </w:r>
          </w:p>
          <w:tbl>
            <w:tblPr>
              <w:tblW w:w="9415" w:type="dxa"/>
              <w:tblBorders>
                <w:top w:val="nil"/>
                <w:left w:val="nil"/>
                <w:bottom w:val="nil"/>
                <w:right w:val="nil"/>
              </w:tblBorders>
              <w:tblLayout w:type="fixed"/>
              <w:tblLook w:val="0000" w:firstRow="0" w:lastRow="0" w:firstColumn="0" w:lastColumn="0" w:noHBand="0" w:noVBand="0"/>
            </w:tblPr>
            <w:tblGrid>
              <w:gridCol w:w="9415"/>
            </w:tblGrid>
            <w:tr w:rsidR="00E3026F" w:rsidRPr="00907331" w14:paraId="7CD2E70D" w14:textId="77777777" w:rsidTr="00E3026F">
              <w:trPr>
                <w:trHeight w:val="292"/>
              </w:trPr>
              <w:tc>
                <w:tcPr>
                  <w:tcW w:w="9415" w:type="dxa"/>
                </w:tcPr>
                <w:p w14:paraId="32D6A260" w14:textId="2A9C2CF8" w:rsidR="00E3026F" w:rsidRDefault="00293BAA" w:rsidP="00E3026F">
                  <w:pPr>
                    <w:ind w:left="-105"/>
                    <w:rPr>
                      <w:sz w:val="20"/>
                      <w:szCs w:val="20"/>
                    </w:rPr>
                  </w:pPr>
                  <w:r>
                    <w:rPr>
                      <w:sz w:val="20"/>
                      <w:szCs w:val="20"/>
                    </w:rPr>
                    <w:t>Th</w:t>
                  </w:r>
                  <w:r w:rsidR="00E3026F">
                    <w:rPr>
                      <w:sz w:val="20"/>
                      <w:szCs w:val="20"/>
                    </w:rPr>
                    <w:t>ese should be consistently addressed &amp; per</w:t>
                  </w:r>
                  <w:r w:rsidR="00E3026F" w:rsidRPr="000A469A">
                    <w:rPr>
                      <w:sz w:val="20"/>
                      <w:szCs w:val="20"/>
                    </w:rPr>
                    <w:t xml:space="preserve">sonalised by the adviser. </w:t>
                  </w:r>
                </w:p>
                <w:p w14:paraId="6F20118B" w14:textId="77777777" w:rsidR="00E3026F" w:rsidRDefault="00E3026F" w:rsidP="00E3026F">
                  <w:pPr>
                    <w:ind w:left="-105"/>
                    <w:rPr>
                      <w:sz w:val="20"/>
                      <w:szCs w:val="20"/>
                    </w:rPr>
                  </w:pPr>
                </w:p>
                <w:p w14:paraId="3C4DE514" w14:textId="4691B036" w:rsidR="00E3026F" w:rsidRDefault="00E3026F" w:rsidP="00E3026F">
                  <w:pPr>
                    <w:ind w:left="-105"/>
                    <w:rPr>
                      <w:sz w:val="20"/>
                      <w:szCs w:val="20"/>
                    </w:rPr>
                  </w:pPr>
                  <w:r>
                    <w:rPr>
                      <w:sz w:val="20"/>
                      <w:szCs w:val="20"/>
                    </w:rPr>
                    <w:t>For example, if you are addressing a person in their capacity as an individual (say), or their capacity as a Director (say), the correct ‘hat’, or ‘hats’, should be reflected fully and consistently</w:t>
                  </w:r>
                  <w:r w:rsidR="00D9289F">
                    <w:rPr>
                      <w:sz w:val="20"/>
                      <w:szCs w:val="20"/>
                    </w:rPr>
                    <w:t>:</w:t>
                  </w:r>
                </w:p>
                <w:p w14:paraId="1359F32E" w14:textId="77777777" w:rsidR="00E3026F" w:rsidRPr="000A469A" w:rsidRDefault="00E3026F" w:rsidP="00E3026F">
                  <w:pPr>
                    <w:rPr>
                      <w:sz w:val="20"/>
                      <w:szCs w:val="20"/>
                    </w:rPr>
                  </w:pPr>
                </w:p>
              </w:tc>
            </w:tr>
          </w:tbl>
          <w:p w14:paraId="41F6D888" w14:textId="1B5CCB00" w:rsidR="00E3026F" w:rsidRDefault="00E3026F" w:rsidP="00E3026F">
            <w:pPr>
              <w:ind w:firstLine="720"/>
              <w:rPr>
                <w:sz w:val="20"/>
                <w:szCs w:val="20"/>
              </w:rPr>
            </w:pPr>
            <w:r>
              <w:rPr>
                <w:sz w:val="20"/>
                <w:szCs w:val="20"/>
              </w:rPr>
              <w:t>M</w:t>
            </w:r>
            <w:r w:rsidR="00293BAA">
              <w:rPr>
                <w:sz w:val="20"/>
                <w:szCs w:val="20"/>
              </w:rPr>
              <w:t>s</w:t>
            </w:r>
            <w:r>
              <w:rPr>
                <w:sz w:val="20"/>
                <w:szCs w:val="20"/>
              </w:rPr>
              <w:t xml:space="preserve"> So-So  </w:t>
            </w:r>
          </w:p>
          <w:p w14:paraId="35DDA828" w14:textId="77777777" w:rsidR="00E3026F" w:rsidRPr="00E76EFC" w:rsidRDefault="00E3026F" w:rsidP="00E3026F">
            <w:pPr>
              <w:ind w:firstLine="720"/>
              <w:rPr>
                <w:sz w:val="20"/>
                <w:szCs w:val="20"/>
              </w:rPr>
            </w:pPr>
            <w:r w:rsidRPr="00E76EFC">
              <w:rPr>
                <w:sz w:val="20"/>
                <w:szCs w:val="20"/>
              </w:rPr>
              <w:t>Shareholder &amp; Director</w:t>
            </w:r>
          </w:p>
          <w:p w14:paraId="1388DCB4" w14:textId="77777777" w:rsidR="00E3026F" w:rsidRPr="00E76EFC" w:rsidRDefault="00E3026F" w:rsidP="00E3026F">
            <w:pPr>
              <w:ind w:firstLine="720"/>
              <w:rPr>
                <w:sz w:val="20"/>
                <w:szCs w:val="20"/>
              </w:rPr>
            </w:pPr>
            <w:r w:rsidRPr="00E76EFC">
              <w:rPr>
                <w:sz w:val="20"/>
                <w:szCs w:val="20"/>
              </w:rPr>
              <w:t>&lt;Company&gt; Pty Ltd</w:t>
            </w:r>
          </w:p>
          <w:p w14:paraId="04879486" w14:textId="77777777" w:rsidR="00E3026F" w:rsidRDefault="00E3026F" w:rsidP="00E3026F"/>
          <w:p w14:paraId="00E059F5" w14:textId="00F8F894" w:rsidR="00E3026F" w:rsidRDefault="00E3026F" w:rsidP="00E3026F">
            <w:pPr>
              <w:ind w:firstLine="720"/>
              <w:rPr>
                <w:sz w:val="20"/>
                <w:szCs w:val="20"/>
              </w:rPr>
            </w:pPr>
            <w:r>
              <w:rPr>
                <w:sz w:val="20"/>
                <w:szCs w:val="20"/>
              </w:rPr>
              <w:t>M</w:t>
            </w:r>
            <w:r w:rsidR="00293BAA">
              <w:rPr>
                <w:sz w:val="20"/>
                <w:szCs w:val="20"/>
              </w:rPr>
              <w:t>s</w:t>
            </w:r>
            <w:r>
              <w:rPr>
                <w:sz w:val="20"/>
                <w:szCs w:val="20"/>
              </w:rPr>
              <w:t xml:space="preserve"> So-So  </w:t>
            </w:r>
          </w:p>
          <w:p w14:paraId="39E7CCF8" w14:textId="77777777" w:rsidR="00E3026F" w:rsidRDefault="00E3026F" w:rsidP="00E3026F">
            <w:pPr>
              <w:ind w:firstLine="720"/>
              <w:rPr>
                <w:sz w:val="20"/>
                <w:szCs w:val="20"/>
              </w:rPr>
            </w:pPr>
            <w:r>
              <w:rPr>
                <w:sz w:val="20"/>
                <w:szCs w:val="20"/>
              </w:rPr>
              <w:t>Member of &lt;SMSF Name&gt; &amp;</w:t>
            </w:r>
          </w:p>
          <w:p w14:paraId="0CAF0C15" w14:textId="77777777" w:rsidR="00E3026F" w:rsidRPr="00E76EFC" w:rsidRDefault="00E3026F" w:rsidP="00E3026F">
            <w:pPr>
              <w:ind w:firstLine="720"/>
              <w:rPr>
                <w:sz w:val="20"/>
                <w:szCs w:val="20"/>
              </w:rPr>
            </w:pPr>
            <w:r w:rsidRPr="00E76EFC">
              <w:rPr>
                <w:sz w:val="20"/>
                <w:szCs w:val="20"/>
              </w:rPr>
              <w:t>Director</w:t>
            </w:r>
            <w:r>
              <w:rPr>
                <w:sz w:val="20"/>
                <w:szCs w:val="20"/>
              </w:rPr>
              <w:t xml:space="preserve"> of </w:t>
            </w:r>
            <w:r w:rsidRPr="00E76EFC">
              <w:rPr>
                <w:sz w:val="20"/>
                <w:szCs w:val="20"/>
              </w:rPr>
              <w:t>&lt;Company&gt; Pty Ltd</w:t>
            </w:r>
            <w:r>
              <w:rPr>
                <w:sz w:val="20"/>
                <w:szCs w:val="20"/>
              </w:rPr>
              <w:t xml:space="preserve"> ATF &lt;SMSF Name&gt;</w:t>
            </w:r>
          </w:p>
          <w:p w14:paraId="3DFD71AA" w14:textId="423FAF38" w:rsidR="00E3026F" w:rsidRPr="000A469A" w:rsidRDefault="00E3026F" w:rsidP="000A469A">
            <w:pPr>
              <w:rPr>
                <w:sz w:val="20"/>
                <w:szCs w:val="20"/>
              </w:rPr>
            </w:pPr>
          </w:p>
        </w:tc>
      </w:tr>
    </w:tbl>
    <w:p w14:paraId="1AF9CB96" w14:textId="7BF8608D" w:rsidR="001160F2" w:rsidRDefault="001160F2" w:rsidP="001160F2">
      <w:pPr>
        <w:ind w:firstLine="720"/>
        <w:rPr>
          <w:sz w:val="20"/>
          <w:szCs w:val="20"/>
        </w:rPr>
      </w:pPr>
      <w:r>
        <w:rPr>
          <w:sz w:val="20"/>
          <w:szCs w:val="20"/>
        </w:rPr>
        <w:t>M</w:t>
      </w:r>
      <w:r>
        <w:rPr>
          <w:sz w:val="20"/>
          <w:szCs w:val="20"/>
        </w:rPr>
        <w:t>r &amp; Mrs</w:t>
      </w:r>
      <w:r>
        <w:rPr>
          <w:sz w:val="20"/>
          <w:szCs w:val="20"/>
        </w:rPr>
        <w:t xml:space="preserve"> So-So  </w:t>
      </w:r>
    </w:p>
    <w:p w14:paraId="41E26703" w14:textId="5CC69DE1" w:rsidR="001160F2" w:rsidRPr="00E76EFC" w:rsidRDefault="001160F2" w:rsidP="001160F2">
      <w:pPr>
        <w:ind w:firstLine="720"/>
        <w:rPr>
          <w:sz w:val="20"/>
          <w:szCs w:val="20"/>
        </w:rPr>
      </w:pPr>
      <w:r>
        <w:rPr>
          <w:sz w:val="20"/>
          <w:szCs w:val="20"/>
        </w:rPr>
        <w:t>Member</w:t>
      </w:r>
      <w:r>
        <w:rPr>
          <w:sz w:val="20"/>
          <w:szCs w:val="20"/>
        </w:rPr>
        <w:t>s</w:t>
      </w:r>
      <w:r>
        <w:rPr>
          <w:sz w:val="20"/>
          <w:szCs w:val="20"/>
        </w:rPr>
        <w:t xml:space="preserve"> </w:t>
      </w:r>
      <w:r>
        <w:rPr>
          <w:sz w:val="20"/>
          <w:szCs w:val="20"/>
        </w:rPr>
        <w:t>&amp; Trustees of</w:t>
      </w:r>
      <w:r>
        <w:rPr>
          <w:sz w:val="20"/>
          <w:szCs w:val="20"/>
        </w:rPr>
        <w:t xml:space="preserve"> &lt;SMSF Name&gt;</w:t>
      </w:r>
    </w:p>
    <w:p w14:paraId="30F4897F" w14:textId="0275D583" w:rsidR="00D109D5" w:rsidRDefault="00D109D5" w:rsidP="00693B47">
      <w:pPr>
        <w:pStyle w:val="ListParagraph"/>
      </w:pPr>
    </w:p>
    <w:p w14:paraId="7D8CAE7F" w14:textId="2515C233" w:rsidR="00D109D5" w:rsidRPr="000A469A" w:rsidRDefault="00D109D5" w:rsidP="000A469A">
      <w:pPr>
        <w:pStyle w:val="Heading2"/>
        <w:rPr>
          <w:rFonts w:eastAsia="Times New Roman"/>
          <w:b/>
          <w:sz w:val="28"/>
          <w:szCs w:val="28"/>
        </w:rPr>
      </w:pPr>
      <w:bookmarkStart w:id="3" w:name="_Toc36642356"/>
      <w:r w:rsidRPr="000A469A">
        <w:rPr>
          <w:rFonts w:eastAsia="Times New Roman"/>
          <w:b/>
          <w:sz w:val="28"/>
          <w:szCs w:val="28"/>
        </w:rPr>
        <w:t>Table of Contents</w:t>
      </w:r>
      <w:bookmarkEnd w:id="3"/>
    </w:p>
    <w:p w14:paraId="4404956B" w14:textId="12F643C6" w:rsidR="00907331" w:rsidRPr="001160F2" w:rsidRDefault="00907331" w:rsidP="00EC127B">
      <w:pPr>
        <w:spacing w:before="120"/>
        <w:ind w:left="-108"/>
        <w:rPr>
          <w:sz w:val="20"/>
          <w:szCs w:val="20"/>
        </w:rPr>
      </w:pPr>
      <w:r w:rsidRPr="001160F2">
        <w:rPr>
          <w:sz w:val="20"/>
          <w:szCs w:val="20"/>
        </w:rPr>
        <w:t>The “Table of Contents” can be adjusted, or deleted</w:t>
      </w:r>
      <w:r w:rsidR="00AF63C0">
        <w:rPr>
          <w:sz w:val="20"/>
          <w:szCs w:val="20"/>
        </w:rPr>
        <w:t>,</w:t>
      </w:r>
      <w:r w:rsidRPr="001160F2">
        <w:rPr>
          <w:sz w:val="20"/>
          <w:szCs w:val="20"/>
        </w:rPr>
        <w:t xml:space="preserve"> if the total </w:t>
      </w:r>
      <w:proofErr w:type="spellStart"/>
      <w:r w:rsidRPr="001160F2">
        <w:rPr>
          <w:sz w:val="20"/>
          <w:szCs w:val="20"/>
        </w:rPr>
        <w:t>SoA</w:t>
      </w:r>
      <w:proofErr w:type="spellEnd"/>
      <w:r w:rsidRPr="001160F2">
        <w:rPr>
          <w:sz w:val="20"/>
          <w:szCs w:val="20"/>
        </w:rPr>
        <w:t xml:space="preserve"> body is under 10 pages. </w:t>
      </w:r>
    </w:p>
    <w:p w14:paraId="48495E7B" w14:textId="34C12CC4" w:rsidR="00D109D5" w:rsidRDefault="00D109D5" w:rsidP="00693B47">
      <w:pPr>
        <w:pStyle w:val="ListParagraph"/>
      </w:pPr>
    </w:p>
    <w:p w14:paraId="1A6A155C" w14:textId="77777777" w:rsidR="000C6DB1" w:rsidRPr="00060F89" w:rsidRDefault="000C6DB1" w:rsidP="00FB2226">
      <w:pPr>
        <w:pStyle w:val="Heading2"/>
        <w:rPr>
          <w:rFonts w:eastAsia="Times New Roman"/>
          <w:b/>
          <w:sz w:val="28"/>
          <w:szCs w:val="28"/>
        </w:rPr>
      </w:pPr>
      <w:bookmarkStart w:id="4" w:name="_Toc36642357"/>
      <w:r w:rsidRPr="00060F89">
        <w:rPr>
          <w:rFonts w:eastAsia="Times New Roman"/>
          <w:b/>
          <w:sz w:val="28"/>
          <w:szCs w:val="28"/>
        </w:rPr>
        <w:t>The Scope</w:t>
      </w:r>
      <w:bookmarkEnd w:id="4"/>
    </w:p>
    <w:p w14:paraId="7C2B3BCD" w14:textId="77777777" w:rsidR="00816456" w:rsidRDefault="000C6DB1" w:rsidP="00816456">
      <w:pPr>
        <w:spacing w:before="120"/>
        <w:rPr>
          <w:sz w:val="20"/>
          <w:szCs w:val="20"/>
        </w:rPr>
      </w:pPr>
      <w:r w:rsidRPr="005662CC">
        <w:rPr>
          <w:sz w:val="20"/>
          <w:szCs w:val="20"/>
        </w:rPr>
        <w:t xml:space="preserve">Scope/Objectives </w:t>
      </w:r>
      <w:proofErr w:type="spellStart"/>
      <w:r w:rsidRPr="005662CC">
        <w:rPr>
          <w:sz w:val="20"/>
          <w:szCs w:val="20"/>
        </w:rPr>
        <w:t>SoA</w:t>
      </w:r>
      <w:proofErr w:type="spellEnd"/>
      <w:r w:rsidRPr="005662CC">
        <w:rPr>
          <w:sz w:val="20"/>
          <w:szCs w:val="20"/>
        </w:rPr>
        <w:t xml:space="preserve"> sections set the scene for whatever you advise.</w:t>
      </w:r>
    </w:p>
    <w:p w14:paraId="3B58F0FC" w14:textId="3FCED0C0" w:rsidR="00431423" w:rsidRPr="005662CC" w:rsidRDefault="000C6DB1" w:rsidP="00816456">
      <w:pPr>
        <w:spacing w:before="120"/>
        <w:rPr>
          <w:sz w:val="20"/>
          <w:szCs w:val="20"/>
        </w:rPr>
      </w:pPr>
      <w:r w:rsidRPr="005662CC">
        <w:rPr>
          <w:sz w:val="20"/>
          <w:szCs w:val="20"/>
        </w:rPr>
        <w:lastRenderedPageBreak/>
        <w:t xml:space="preserve">The Scope has </w:t>
      </w:r>
      <w:r w:rsidRPr="005662CC">
        <w:rPr>
          <w:sz w:val="20"/>
          <w:szCs w:val="20"/>
          <w:u w:val="single"/>
        </w:rPr>
        <w:t>4 sections</w:t>
      </w:r>
      <w:r w:rsidRPr="005662CC">
        <w:rPr>
          <w:sz w:val="20"/>
          <w:szCs w:val="20"/>
        </w:rPr>
        <w:t>:</w:t>
      </w:r>
      <w:r w:rsidRPr="005662CC">
        <w:rPr>
          <w:sz w:val="20"/>
          <w:szCs w:val="20"/>
        </w:rPr>
        <w:br/>
      </w:r>
    </w:p>
    <w:p w14:paraId="5E21B8DB" w14:textId="77777777" w:rsidR="00431423" w:rsidRPr="005662CC" w:rsidRDefault="00431423" w:rsidP="000C6DB1">
      <w:pPr>
        <w:rPr>
          <w:sz w:val="20"/>
          <w:szCs w:val="20"/>
        </w:rPr>
      </w:pPr>
      <w:r w:rsidRPr="005662CC">
        <w:rPr>
          <w:sz w:val="20"/>
          <w:szCs w:val="20"/>
        </w:rPr>
        <w:t xml:space="preserve">a. what the client wanted </w:t>
      </w:r>
      <w:r w:rsidRPr="001A335C">
        <w:rPr>
          <w:b/>
          <w:color w:val="FF0000"/>
          <w:sz w:val="20"/>
          <w:szCs w:val="20"/>
        </w:rPr>
        <w:t>(Client V</w:t>
      </w:r>
      <w:r w:rsidR="000C6DB1" w:rsidRPr="001A335C">
        <w:rPr>
          <w:b/>
          <w:color w:val="FF0000"/>
          <w:sz w:val="20"/>
          <w:szCs w:val="20"/>
        </w:rPr>
        <w:t>oice)</w:t>
      </w:r>
    </w:p>
    <w:p w14:paraId="4EBD8412" w14:textId="77777777" w:rsidR="00431423" w:rsidRPr="005662CC" w:rsidRDefault="00431423" w:rsidP="00431423">
      <w:pPr>
        <w:ind w:firstLine="720"/>
        <w:rPr>
          <w:sz w:val="20"/>
          <w:szCs w:val="20"/>
        </w:rPr>
      </w:pPr>
      <w:r w:rsidRPr="005662CC">
        <w:rPr>
          <w:sz w:val="20"/>
          <w:szCs w:val="20"/>
        </w:rPr>
        <w:t>We need to hear an ‘echo’ of a plausible sounding client</w:t>
      </w:r>
    </w:p>
    <w:p w14:paraId="57809090" w14:textId="77777777" w:rsidR="00431423" w:rsidRPr="005662CC" w:rsidRDefault="00431423" w:rsidP="00BD1660">
      <w:pPr>
        <w:ind w:left="1440"/>
        <w:rPr>
          <w:sz w:val="20"/>
          <w:szCs w:val="20"/>
        </w:rPr>
      </w:pPr>
      <w:proofErr w:type="spellStart"/>
      <w:r w:rsidRPr="005662CC">
        <w:rPr>
          <w:sz w:val="20"/>
          <w:szCs w:val="20"/>
        </w:rPr>
        <w:t>eg.</w:t>
      </w:r>
      <w:proofErr w:type="spellEnd"/>
      <w:r w:rsidRPr="005662CC">
        <w:rPr>
          <w:sz w:val="20"/>
          <w:szCs w:val="20"/>
        </w:rPr>
        <w:t xml:space="preserve"> </w:t>
      </w:r>
      <w:proofErr w:type="gramStart"/>
      <w:r w:rsidRPr="005662CC">
        <w:rPr>
          <w:sz w:val="20"/>
          <w:szCs w:val="20"/>
        </w:rPr>
        <w:t>“ I’m</w:t>
      </w:r>
      <w:proofErr w:type="gramEnd"/>
      <w:r w:rsidRPr="005662CC">
        <w:rPr>
          <w:sz w:val="20"/>
          <w:szCs w:val="20"/>
        </w:rPr>
        <w:t xml:space="preserve"> worried sick about what will become of my family when I die. How are they going to </w:t>
      </w:r>
      <w:r w:rsidR="00BD1660" w:rsidRPr="005662CC">
        <w:rPr>
          <w:sz w:val="20"/>
          <w:szCs w:val="20"/>
        </w:rPr>
        <w:t>pay the bills</w:t>
      </w:r>
      <w:r w:rsidRPr="005662CC">
        <w:rPr>
          <w:sz w:val="20"/>
          <w:szCs w:val="20"/>
        </w:rPr>
        <w:t>?”</w:t>
      </w:r>
    </w:p>
    <w:p w14:paraId="7A36BEF9" w14:textId="77777777" w:rsidR="00431423" w:rsidRPr="005662CC" w:rsidRDefault="00431423" w:rsidP="00BD1660">
      <w:pPr>
        <w:ind w:left="1440"/>
        <w:rPr>
          <w:sz w:val="20"/>
          <w:szCs w:val="20"/>
        </w:rPr>
      </w:pPr>
      <w:r w:rsidRPr="005662CC">
        <w:rPr>
          <w:sz w:val="20"/>
          <w:szCs w:val="20"/>
        </w:rPr>
        <w:t xml:space="preserve">In this part of the </w:t>
      </w:r>
      <w:proofErr w:type="spellStart"/>
      <w:r w:rsidRPr="005662CC">
        <w:rPr>
          <w:sz w:val="20"/>
          <w:szCs w:val="20"/>
        </w:rPr>
        <w:t>SoA</w:t>
      </w:r>
      <w:proofErr w:type="spellEnd"/>
      <w:r w:rsidRPr="005662CC">
        <w:rPr>
          <w:sz w:val="20"/>
          <w:szCs w:val="20"/>
        </w:rPr>
        <w:t xml:space="preserve">, this could appear as: </w:t>
      </w:r>
      <w:proofErr w:type="gramStart"/>
      <w:r w:rsidRPr="005662CC">
        <w:rPr>
          <w:sz w:val="20"/>
          <w:szCs w:val="20"/>
        </w:rPr>
        <w:t>“ You</w:t>
      </w:r>
      <w:proofErr w:type="gramEnd"/>
      <w:r w:rsidRPr="005662CC">
        <w:rPr>
          <w:sz w:val="20"/>
          <w:szCs w:val="20"/>
        </w:rPr>
        <w:t xml:space="preserve"> are really worried about providing for your family when you die</w:t>
      </w:r>
      <w:r w:rsidR="00BD1660" w:rsidRPr="005662CC">
        <w:rPr>
          <w:sz w:val="20"/>
          <w:szCs w:val="20"/>
        </w:rPr>
        <w:t>.</w:t>
      </w:r>
      <w:r w:rsidRPr="005662CC">
        <w:rPr>
          <w:sz w:val="20"/>
          <w:szCs w:val="20"/>
        </w:rPr>
        <w:t>”</w:t>
      </w:r>
    </w:p>
    <w:p w14:paraId="21494E6B" w14:textId="77777777" w:rsidR="00BD1660" w:rsidRPr="005662CC" w:rsidRDefault="00BD1660" w:rsidP="00BD1660">
      <w:pPr>
        <w:ind w:left="1440"/>
        <w:rPr>
          <w:sz w:val="20"/>
          <w:szCs w:val="20"/>
        </w:rPr>
      </w:pPr>
      <w:r w:rsidRPr="005662CC">
        <w:rPr>
          <w:sz w:val="20"/>
          <w:szCs w:val="20"/>
        </w:rPr>
        <w:t>But not “You came to see me wanting an insurance review”.</w:t>
      </w:r>
    </w:p>
    <w:p w14:paraId="1452315F" w14:textId="77777777" w:rsidR="00431423" w:rsidRPr="005662CC" w:rsidRDefault="00431423" w:rsidP="000C6DB1">
      <w:pPr>
        <w:rPr>
          <w:sz w:val="20"/>
          <w:szCs w:val="20"/>
        </w:rPr>
      </w:pPr>
    </w:p>
    <w:p w14:paraId="303CBC77" w14:textId="77777777" w:rsidR="000C6DB1" w:rsidRPr="005662CC" w:rsidRDefault="000C6DB1" w:rsidP="000C6DB1">
      <w:pPr>
        <w:rPr>
          <w:sz w:val="20"/>
          <w:szCs w:val="20"/>
        </w:rPr>
      </w:pPr>
      <w:r w:rsidRPr="005662CC">
        <w:rPr>
          <w:sz w:val="20"/>
          <w:szCs w:val="20"/>
        </w:rPr>
        <w:t xml:space="preserve">b. what you as the professional judge to be ALL of the relevant advice </w:t>
      </w:r>
      <w:r w:rsidRPr="001A335C">
        <w:rPr>
          <w:b/>
          <w:color w:val="FF0000"/>
          <w:sz w:val="20"/>
          <w:szCs w:val="20"/>
        </w:rPr>
        <w:t>(</w:t>
      </w:r>
      <w:r w:rsidR="00431423" w:rsidRPr="001A335C">
        <w:rPr>
          <w:b/>
          <w:color w:val="FF0000"/>
          <w:sz w:val="20"/>
          <w:szCs w:val="20"/>
        </w:rPr>
        <w:t>Adviser V</w:t>
      </w:r>
      <w:r w:rsidRPr="001A335C">
        <w:rPr>
          <w:b/>
          <w:color w:val="FF0000"/>
          <w:sz w:val="20"/>
          <w:szCs w:val="20"/>
        </w:rPr>
        <w:t>oice)</w:t>
      </w:r>
    </w:p>
    <w:p w14:paraId="2516E87D" w14:textId="1DD6AE0D" w:rsidR="00431423" w:rsidRPr="005662CC" w:rsidRDefault="00431423" w:rsidP="000C6DB1">
      <w:pPr>
        <w:rPr>
          <w:sz w:val="20"/>
          <w:szCs w:val="20"/>
        </w:rPr>
      </w:pPr>
      <w:r w:rsidRPr="005662CC">
        <w:rPr>
          <w:sz w:val="20"/>
          <w:szCs w:val="20"/>
        </w:rPr>
        <w:tab/>
        <w:t>(In our meeting)</w:t>
      </w:r>
      <w:r w:rsidR="008B6137">
        <w:rPr>
          <w:sz w:val="20"/>
          <w:szCs w:val="20"/>
        </w:rPr>
        <w:t xml:space="preserve"> </w:t>
      </w:r>
      <w:r w:rsidRPr="005662CC">
        <w:rPr>
          <w:sz w:val="20"/>
          <w:szCs w:val="20"/>
        </w:rPr>
        <w:t>… “We should look at:</w:t>
      </w:r>
    </w:p>
    <w:p w14:paraId="7AE1D348" w14:textId="4A18F926" w:rsidR="00431423" w:rsidRPr="005662CC" w:rsidRDefault="00431423" w:rsidP="00431423">
      <w:pPr>
        <w:pStyle w:val="ListParagraph"/>
        <w:numPr>
          <w:ilvl w:val="0"/>
          <w:numId w:val="7"/>
        </w:numPr>
        <w:rPr>
          <w:sz w:val="20"/>
          <w:szCs w:val="20"/>
        </w:rPr>
      </w:pPr>
      <w:r w:rsidRPr="005662CC">
        <w:rPr>
          <w:sz w:val="20"/>
          <w:szCs w:val="20"/>
        </w:rPr>
        <w:t>Insurance (directly held</w:t>
      </w:r>
      <w:r w:rsidR="005901A5">
        <w:rPr>
          <w:sz w:val="20"/>
          <w:szCs w:val="20"/>
        </w:rPr>
        <w:t>;</w:t>
      </w:r>
      <w:r w:rsidRPr="005662CC">
        <w:rPr>
          <w:sz w:val="20"/>
          <w:szCs w:val="20"/>
        </w:rPr>
        <w:t xml:space="preserve"> funded through superannuation</w:t>
      </w:r>
      <w:r w:rsidR="005901A5">
        <w:rPr>
          <w:sz w:val="20"/>
          <w:szCs w:val="20"/>
        </w:rPr>
        <w:t>; useful terms; beneficiaries</w:t>
      </w:r>
      <w:r w:rsidRPr="005662CC">
        <w:rPr>
          <w:sz w:val="20"/>
          <w:szCs w:val="20"/>
        </w:rPr>
        <w:t>)</w:t>
      </w:r>
    </w:p>
    <w:p w14:paraId="4473631F" w14:textId="30D28475" w:rsidR="00431423" w:rsidRPr="005662CC" w:rsidRDefault="00431423" w:rsidP="00431423">
      <w:pPr>
        <w:pStyle w:val="ListParagraph"/>
        <w:numPr>
          <w:ilvl w:val="0"/>
          <w:numId w:val="7"/>
        </w:numPr>
        <w:rPr>
          <w:sz w:val="20"/>
          <w:szCs w:val="20"/>
        </w:rPr>
      </w:pPr>
      <w:r w:rsidRPr="005662CC">
        <w:rPr>
          <w:sz w:val="20"/>
          <w:szCs w:val="20"/>
        </w:rPr>
        <w:t>Sup</w:t>
      </w:r>
      <w:r w:rsidR="00E42C6C" w:rsidRPr="005662CC">
        <w:rPr>
          <w:sz w:val="20"/>
          <w:szCs w:val="20"/>
        </w:rPr>
        <w:t>erannuation (</w:t>
      </w:r>
      <w:r w:rsidR="005901A5">
        <w:rPr>
          <w:sz w:val="20"/>
          <w:szCs w:val="20"/>
        </w:rPr>
        <w:t>fees and costs</w:t>
      </w:r>
      <w:r w:rsidR="00E42C6C" w:rsidRPr="005662CC">
        <w:rPr>
          <w:sz w:val="20"/>
          <w:szCs w:val="20"/>
        </w:rPr>
        <w:t>; meeting</w:t>
      </w:r>
      <w:r w:rsidRPr="005662CC">
        <w:rPr>
          <w:sz w:val="20"/>
          <w:szCs w:val="20"/>
        </w:rPr>
        <w:t xml:space="preserve"> future income needs</w:t>
      </w:r>
      <w:r w:rsidR="005901A5">
        <w:rPr>
          <w:sz w:val="20"/>
          <w:szCs w:val="20"/>
        </w:rPr>
        <w:t>; existing insurance; asset allocation</w:t>
      </w:r>
      <w:r w:rsidRPr="005662CC">
        <w:rPr>
          <w:sz w:val="20"/>
          <w:szCs w:val="20"/>
        </w:rPr>
        <w:t>)</w:t>
      </w:r>
    </w:p>
    <w:p w14:paraId="19AE80BE" w14:textId="0B463126" w:rsidR="00431423" w:rsidRPr="005662CC" w:rsidRDefault="00431423" w:rsidP="00431423">
      <w:pPr>
        <w:pStyle w:val="ListParagraph"/>
        <w:numPr>
          <w:ilvl w:val="0"/>
          <w:numId w:val="7"/>
        </w:numPr>
        <w:rPr>
          <w:sz w:val="20"/>
          <w:szCs w:val="20"/>
        </w:rPr>
      </w:pPr>
      <w:r w:rsidRPr="005662CC">
        <w:rPr>
          <w:sz w:val="20"/>
          <w:szCs w:val="20"/>
        </w:rPr>
        <w:t>Savings Plan (</w:t>
      </w:r>
      <w:r w:rsidR="005901A5">
        <w:rPr>
          <w:sz w:val="20"/>
          <w:szCs w:val="20"/>
        </w:rPr>
        <w:t xml:space="preserve">expected timeframe; </w:t>
      </w:r>
      <w:r w:rsidR="00E42C6C" w:rsidRPr="005662CC">
        <w:rPr>
          <w:sz w:val="20"/>
          <w:szCs w:val="20"/>
        </w:rPr>
        <w:t xml:space="preserve">meeting </w:t>
      </w:r>
      <w:r w:rsidRPr="005662CC">
        <w:rPr>
          <w:sz w:val="20"/>
          <w:szCs w:val="20"/>
        </w:rPr>
        <w:t>unforeseen needs</w:t>
      </w:r>
      <w:r w:rsidR="005901A5">
        <w:rPr>
          <w:sz w:val="20"/>
          <w:szCs w:val="20"/>
        </w:rPr>
        <w:t>; budgeting</w:t>
      </w:r>
      <w:r w:rsidRPr="005662CC">
        <w:rPr>
          <w:sz w:val="20"/>
          <w:szCs w:val="20"/>
        </w:rPr>
        <w:t>)</w:t>
      </w:r>
    </w:p>
    <w:p w14:paraId="7B2CA3DF" w14:textId="2F8A9E15" w:rsidR="0097404A" w:rsidRPr="0097404A" w:rsidRDefault="0097404A" w:rsidP="0097404A">
      <w:pPr>
        <w:pStyle w:val="ListParagraph"/>
        <w:numPr>
          <w:ilvl w:val="0"/>
          <w:numId w:val="7"/>
        </w:numPr>
        <w:rPr>
          <w:sz w:val="20"/>
          <w:szCs w:val="20"/>
        </w:rPr>
      </w:pPr>
      <w:r w:rsidRPr="0096486D">
        <w:rPr>
          <w:noProof/>
          <w:sz w:val="20"/>
          <w:szCs w:val="20"/>
          <w:lang w:eastAsia="en-AU"/>
        </w:rPr>
        <mc:AlternateContent>
          <mc:Choice Requires="wps">
            <w:drawing>
              <wp:anchor distT="45720" distB="45720" distL="114300" distR="114300" simplePos="0" relativeHeight="251659264" behindDoc="0" locked="0" layoutInCell="1" allowOverlap="1" wp14:anchorId="382DF585" wp14:editId="21D34C19">
                <wp:simplePos x="0" y="0"/>
                <wp:positionH relativeFrom="column">
                  <wp:posOffset>119380</wp:posOffset>
                </wp:positionH>
                <wp:positionV relativeFrom="paragraph">
                  <wp:posOffset>299720</wp:posOffset>
                </wp:positionV>
                <wp:extent cx="5374640" cy="1404620"/>
                <wp:effectExtent l="0" t="0" r="1651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4620"/>
                        </a:xfrm>
                        <a:prstGeom prst="rect">
                          <a:avLst/>
                        </a:prstGeom>
                        <a:solidFill>
                          <a:srgbClr val="FFFFFF"/>
                        </a:solidFill>
                        <a:ln w="9525">
                          <a:solidFill>
                            <a:srgbClr val="000000"/>
                          </a:solidFill>
                          <a:miter lim="800000"/>
                          <a:headEnd/>
                          <a:tailEnd/>
                        </a:ln>
                      </wps:spPr>
                      <wps:txbx>
                        <w:txbxContent>
                          <w:p w14:paraId="45D5FB78" w14:textId="281DE493" w:rsidR="005F440D" w:rsidRDefault="005F440D" w:rsidP="0096486D">
                            <w:pPr>
                              <w:jc w:val="center"/>
                            </w:pPr>
                            <w:r w:rsidRPr="005662CC">
                              <w:rPr>
                                <w:sz w:val="20"/>
                                <w:szCs w:val="20"/>
                              </w:rPr>
                              <w:t>This section should be comprehensive</w:t>
                            </w:r>
                            <w:r w:rsidR="008B6137">
                              <w:rPr>
                                <w:sz w:val="20"/>
                                <w:szCs w:val="20"/>
                              </w:rPr>
                              <w:t xml:space="preserve">, relevant </w:t>
                            </w:r>
                            <w:r>
                              <w:rPr>
                                <w:sz w:val="20"/>
                                <w:szCs w:val="20"/>
                              </w:rPr>
                              <w:t>&amp; considered</w:t>
                            </w:r>
                            <w:r w:rsidRPr="005662CC">
                              <w:rPr>
                                <w:sz w:val="20"/>
                                <w:szCs w:val="20"/>
                              </w:rPr>
                              <w:t xml:space="preserve"> as it demonstrates the adviser’s holistic intent.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DF585" id="_x0000_s1027" type="#_x0000_t202" style="position:absolute;left:0;text-align:left;margin-left:9.4pt;margin-top:23.6pt;width:42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">
                <v:textbox style="mso-fit-shape-to-text:t">
                  <w:txbxContent>
                    <w:p w14:paraId="45D5FB78" w14:textId="281DE493" w:rsidR="005F440D" w:rsidRDefault="005F440D" w:rsidP="0096486D">
                      <w:pPr>
                        <w:jc w:val="center"/>
                      </w:pPr>
                      <w:r w:rsidRPr="005662CC">
                        <w:rPr>
                          <w:sz w:val="20"/>
                          <w:szCs w:val="20"/>
                        </w:rPr>
                        <w:t>This section should be comprehensive</w:t>
                      </w:r>
                      <w:r w:rsidR="008B6137">
                        <w:rPr>
                          <w:sz w:val="20"/>
                          <w:szCs w:val="20"/>
                        </w:rPr>
                        <w:t xml:space="preserve">, relevant </w:t>
                      </w:r>
                      <w:r>
                        <w:rPr>
                          <w:sz w:val="20"/>
                          <w:szCs w:val="20"/>
                        </w:rPr>
                        <w:t>&amp; considered</w:t>
                      </w:r>
                      <w:r w:rsidRPr="005662CC">
                        <w:rPr>
                          <w:sz w:val="20"/>
                          <w:szCs w:val="20"/>
                        </w:rPr>
                        <w:t xml:space="preserve"> as it demonstrates the adviser’s holistic intent.</w:t>
                      </w:r>
                    </w:p>
                  </w:txbxContent>
                </v:textbox>
                <w10:wrap type="square"/>
              </v:shape>
            </w:pict>
          </mc:Fallback>
        </mc:AlternateContent>
      </w:r>
      <w:r w:rsidR="00431423" w:rsidRPr="0097404A">
        <w:rPr>
          <w:sz w:val="20"/>
          <w:szCs w:val="20"/>
        </w:rPr>
        <w:t>Estate Planning (Wills, POAs, Death benefit nominations)</w:t>
      </w:r>
      <w:r w:rsidR="00C905AC" w:rsidRPr="0097404A">
        <w:rPr>
          <w:sz w:val="20"/>
          <w:szCs w:val="20"/>
        </w:rPr>
        <w:t xml:space="preserve"> “</w:t>
      </w:r>
    </w:p>
    <w:p w14:paraId="0B3C24E7" w14:textId="77777777" w:rsidR="0097404A" w:rsidRDefault="0097404A" w:rsidP="0096486D">
      <w:pPr>
        <w:ind w:left="720"/>
        <w:rPr>
          <w:sz w:val="20"/>
          <w:szCs w:val="20"/>
        </w:rPr>
      </w:pPr>
    </w:p>
    <w:p w14:paraId="36BEA653" w14:textId="2BD7A75B" w:rsidR="00E42C6C" w:rsidRPr="005662CC" w:rsidRDefault="0096486D" w:rsidP="0096486D">
      <w:pPr>
        <w:ind w:left="720"/>
        <w:rPr>
          <w:sz w:val="20"/>
          <w:szCs w:val="20"/>
        </w:rPr>
      </w:pPr>
      <w:r>
        <w:rPr>
          <w:sz w:val="20"/>
          <w:szCs w:val="20"/>
        </w:rPr>
        <w:t>The brief mention of ‘S</w:t>
      </w:r>
      <w:r w:rsidR="00E42C6C" w:rsidRPr="005662CC">
        <w:rPr>
          <w:sz w:val="20"/>
          <w:szCs w:val="20"/>
        </w:rPr>
        <w:t xml:space="preserve">uperannuation’ (say), without any limiting, is assumed to include consideration of </w:t>
      </w:r>
      <w:r w:rsidR="00E42C6C" w:rsidRPr="005662CC">
        <w:rPr>
          <w:sz w:val="20"/>
          <w:szCs w:val="20"/>
          <w:u w:val="single"/>
        </w:rPr>
        <w:t>everything</w:t>
      </w:r>
      <w:r w:rsidR="00E42C6C" w:rsidRPr="005662CC">
        <w:rPr>
          <w:sz w:val="20"/>
          <w:szCs w:val="20"/>
        </w:rPr>
        <w:t xml:space="preserve"> relevant to the client’s superannuation </w:t>
      </w:r>
      <w:proofErr w:type="spellStart"/>
      <w:r w:rsidR="00E42C6C" w:rsidRPr="005662CC">
        <w:rPr>
          <w:sz w:val="20"/>
          <w:szCs w:val="20"/>
        </w:rPr>
        <w:t>eg.</w:t>
      </w:r>
      <w:proofErr w:type="spellEnd"/>
      <w:r w:rsidR="00E42C6C" w:rsidRPr="005662CC">
        <w:rPr>
          <w:sz w:val="20"/>
          <w:szCs w:val="20"/>
        </w:rPr>
        <w:t xml:space="preserve"> existing superannuation insurances, death benefit nominations.</w:t>
      </w:r>
    </w:p>
    <w:p w14:paraId="4AFF7FCA" w14:textId="18E78E46" w:rsidR="00E42C6C" w:rsidRPr="005662CC" w:rsidRDefault="00E42C6C" w:rsidP="00E42C6C">
      <w:pPr>
        <w:ind w:left="720"/>
        <w:rPr>
          <w:sz w:val="20"/>
          <w:szCs w:val="20"/>
        </w:rPr>
      </w:pPr>
      <w:r w:rsidRPr="005662CC">
        <w:rPr>
          <w:sz w:val="20"/>
          <w:szCs w:val="20"/>
        </w:rPr>
        <w:t xml:space="preserve">If there is no limiting of a topic, then all the reasonable sub-topics must be addressed in the </w:t>
      </w:r>
      <w:r w:rsidR="008B6137">
        <w:rPr>
          <w:sz w:val="20"/>
          <w:szCs w:val="20"/>
        </w:rPr>
        <w:t>subsequent A</w:t>
      </w:r>
      <w:r w:rsidRPr="005662CC">
        <w:rPr>
          <w:sz w:val="20"/>
          <w:szCs w:val="20"/>
        </w:rPr>
        <w:t>dvice</w:t>
      </w:r>
      <w:r w:rsidR="008B6137">
        <w:rPr>
          <w:sz w:val="20"/>
          <w:szCs w:val="20"/>
        </w:rPr>
        <w:t xml:space="preserve"> document</w:t>
      </w:r>
      <w:r w:rsidRPr="005662CC">
        <w:rPr>
          <w:sz w:val="20"/>
          <w:szCs w:val="20"/>
        </w:rPr>
        <w:t xml:space="preserve">. </w:t>
      </w:r>
    </w:p>
    <w:p w14:paraId="46D646B8" w14:textId="77777777" w:rsidR="00E42C6C" w:rsidRPr="005662CC" w:rsidRDefault="00E42C6C" w:rsidP="000C6DB1">
      <w:pPr>
        <w:rPr>
          <w:sz w:val="20"/>
          <w:szCs w:val="20"/>
        </w:rPr>
      </w:pPr>
    </w:p>
    <w:p w14:paraId="2563CE9F" w14:textId="5C15710A" w:rsidR="000C6DB1" w:rsidRPr="005662CC" w:rsidRDefault="000C6DB1" w:rsidP="000C6DB1">
      <w:pPr>
        <w:rPr>
          <w:sz w:val="20"/>
          <w:szCs w:val="20"/>
        </w:rPr>
      </w:pPr>
      <w:r w:rsidRPr="005662CC">
        <w:rPr>
          <w:sz w:val="20"/>
          <w:szCs w:val="20"/>
        </w:rPr>
        <w:t>c</w:t>
      </w:r>
      <w:r w:rsidR="00431423" w:rsidRPr="005662CC">
        <w:rPr>
          <w:sz w:val="20"/>
          <w:szCs w:val="20"/>
        </w:rPr>
        <w:t xml:space="preserve">. what you </w:t>
      </w:r>
      <w:r w:rsidR="000A7B3A" w:rsidRPr="00D943FB">
        <w:rPr>
          <w:sz w:val="20"/>
          <w:szCs w:val="20"/>
          <w:u w:val="single"/>
        </w:rPr>
        <w:t>b</w:t>
      </w:r>
      <w:r w:rsidR="00431423" w:rsidRPr="00D943FB">
        <w:rPr>
          <w:sz w:val="20"/>
          <w:szCs w:val="20"/>
          <w:u w:val="single"/>
        </w:rPr>
        <w:t xml:space="preserve">oth </w:t>
      </w:r>
      <w:r w:rsidR="000A7B3A" w:rsidRPr="00D943FB">
        <w:rPr>
          <w:sz w:val="20"/>
          <w:szCs w:val="20"/>
          <w:u w:val="single"/>
        </w:rPr>
        <w:t>a</w:t>
      </w:r>
      <w:r w:rsidRPr="00D943FB">
        <w:rPr>
          <w:sz w:val="20"/>
          <w:szCs w:val="20"/>
          <w:u w:val="single"/>
        </w:rPr>
        <w:t>gree</w:t>
      </w:r>
      <w:r w:rsidRPr="005662CC">
        <w:rPr>
          <w:sz w:val="20"/>
          <w:szCs w:val="20"/>
        </w:rPr>
        <w:t xml:space="preserve"> that this </w:t>
      </w:r>
      <w:proofErr w:type="spellStart"/>
      <w:r w:rsidRPr="005662CC">
        <w:rPr>
          <w:sz w:val="20"/>
          <w:szCs w:val="20"/>
        </w:rPr>
        <w:t>SoA</w:t>
      </w:r>
      <w:proofErr w:type="spellEnd"/>
      <w:r w:rsidRPr="005662CC">
        <w:rPr>
          <w:sz w:val="20"/>
          <w:szCs w:val="20"/>
        </w:rPr>
        <w:t xml:space="preserve"> will deal with (a selection from ‘a.’ &amp; ‘b.’)</w:t>
      </w:r>
      <w:r w:rsidR="000A7B3A">
        <w:rPr>
          <w:sz w:val="20"/>
          <w:szCs w:val="20"/>
        </w:rPr>
        <w:t xml:space="preserve">  </w:t>
      </w:r>
      <w:r w:rsidR="000A7B3A" w:rsidRPr="001A335C">
        <w:rPr>
          <w:b/>
          <w:color w:val="FF0000"/>
          <w:sz w:val="20"/>
          <w:szCs w:val="20"/>
        </w:rPr>
        <w:t>(Agreed Scope)</w:t>
      </w:r>
    </w:p>
    <w:p w14:paraId="00FA7212" w14:textId="77777777" w:rsidR="00431423" w:rsidRPr="005662CC" w:rsidRDefault="00BD1660" w:rsidP="00BD1660">
      <w:pPr>
        <w:ind w:left="720"/>
        <w:rPr>
          <w:sz w:val="20"/>
          <w:szCs w:val="20"/>
        </w:rPr>
      </w:pPr>
      <w:r w:rsidRPr="005662CC">
        <w:rPr>
          <w:sz w:val="20"/>
          <w:szCs w:val="20"/>
        </w:rPr>
        <w:t>“It was mutually agreed that you only wanted an insurance needs analysis and review of existing policies”</w:t>
      </w:r>
    </w:p>
    <w:p w14:paraId="22F6DAE2" w14:textId="77777777" w:rsidR="00BD1660" w:rsidRPr="005662CC" w:rsidRDefault="00BD1660" w:rsidP="000C6DB1">
      <w:pPr>
        <w:rPr>
          <w:sz w:val="20"/>
          <w:szCs w:val="20"/>
        </w:rPr>
      </w:pPr>
    </w:p>
    <w:p w14:paraId="7337C85F" w14:textId="1EEF71C5" w:rsidR="00431423" w:rsidRPr="005662CC" w:rsidRDefault="000C6DB1" w:rsidP="000C6DB1">
      <w:pPr>
        <w:rPr>
          <w:sz w:val="20"/>
          <w:szCs w:val="20"/>
        </w:rPr>
      </w:pPr>
      <w:r w:rsidRPr="005662CC">
        <w:rPr>
          <w:sz w:val="20"/>
          <w:szCs w:val="20"/>
        </w:rPr>
        <w:t>d. the rest</w:t>
      </w:r>
      <w:r w:rsidR="00431423" w:rsidRPr="005662CC">
        <w:rPr>
          <w:sz w:val="20"/>
          <w:szCs w:val="20"/>
        </w:rPr>
        <w:t>/remainder</w:t>
      </w:r>
      <w:r w:rsidRPr="005662CC">
        <w:rPr>
          <w:sz w:val="20"/>
          <w:szCs w:val="20"/>
        </w:rPr>
        <w:t xml:space="preserve"> of ‘a.’ &amp; ‘b.’</w:t>
      </w:r>
      <w:r w:rsidR="000A7B3A">
        <w:rPr>
          <w:sz w:val="20"/>
          <w:szCs w:val="20"/>
        </w:rPr>
        <w:t xml:space="preserve">; that is </w:t>
      </w:r>
      <w:r w:rsidR="00431423" w:rsidRPr="0039040D">
        <w:rPr>
          <w:sz w:val="20"/>
          <w:szCs w:val="20"/>
          <w:u w:val="single"/>
        </w:rPr>
        <w:t>not</w:t>
      </w:r>
      <w:r w:rsidR="00431423" w:rsidRPr="005662CC">
        <w:rPr>
          <w:sz w:val="20"/>
          <w:szCs w:val="20"/>
        </w:rPr>
        <w:t xml:space="preserve"> ‘c.’</w:t>
      </w:r>
      <w:r w:rsidR="000A7B3A">
        <w:rPr>
          <w:sz w:val="20"/>
          <w:szCs w:val="20"/>
        </w:rPr>
        <w:t xml:space="preserve"> </w:t>
      </w:r>
      <w:r w:rsidR="000A7B3A" w:rsidRPr="001A335C">
        <w:rPr>
          <w:b/>
          <w:color w:val="FF0000"/>
          <w:sz w:val="20"/>
          <w:szCs w:val="20"/>
        </w:rPr>
        <w:t>(Excluded Scope)</w:t>
      </w:r>
    </w:p>
    <w:p w14:paraId="3E0ED9AA" w14:textId="77777777" w:rsidR="00BD1660" w:rsidRPr="005662CC" w:rsidRDefault="00431423" w:rsidP="00431423">
      <w:pPr>
        <w:ind w:left="720"/>
        <w:rPr>
          <w:sz w:val="20"/>
          <w:szCs w:val="20"/>
        </w:rPr>
      </w:pPr>
      <w:r w:rsidRPr="005662CC">
        <w:rPr>
          <w:sz w:val="20"/>
          <w:szCs w:val="20"/>
        </w:rPr>
        <w:t xml:space="preserve">Once </w:t>
      </w:r>
      <w:r w:rsidR="000C6DB1" w:rsidRPr="005662CC">
        <w:rPr>
          <w:sz w:val="20"/>
          <w:szCs w:val="20"/>
        </w:rPr>
        <w:t>identified</w:t>
      </w:r>
      <w:r w:rsidRPr="005662CC">
        <w:rPr>
          <w:sz w:val="20"/>
          <w:szCs w:val="20"/>
        </w:rPr>
        <w:t xml:space="preserve"> these may be </w:t>
      </w:r>
    </w:p>
    <w:p w14:paraId="5AC11544" w14:textId="77777777" w:rsidR="00E53B4D" w:rsidRPr="005662CC" w:rsidRDefault="00BD1660" w:rsidP="00BD1660">
      <w:pPr>
        <w:ind w:left="720" w:firstLine="720"/>
        <w:rPr>
          <w:sz w:val="20"/>
          <w:szCs w:val="20"/>
          <w:u w:val="single"/>
        </w:rPr>
      </w:pPr>
      <w:r w:rsidRPr="005662CC">
        <w:rPr>
          <w:sz w:val="20"/>
          <w:szCs w:val="20"/>
        </w:rPr>
        <w:t xml:space="preserve">- </w:t>
      </w:r>
      <w:r w:rsidR="000C6DB1" w:rsidRPr="005662CC">
        <w:rPr>
          <w:sz w:val="20"/>
          <w:szCs w:val="20"/>
          <w:u w:val="single"/>
        </w:rPr>
        <w:t>disclaimed</w:t>
      </w:r>
    </w:p>
    <w:p w14:paraId="3C59A89F" w14:textId="77777777" w:rsidR="00E53B4D" w:rsidRPr="005662CC" w:rsidRDefault="00E53B4D" w:rsidP="00BD1660">
      <w:pPr>
        <w:ind w:left="720" w:firstLine="720"/>
        <w:rPr>
          <w:sz w:val="20"/>
          <w:szCs w:val="20"/>
        </w:rPr>
      </w:pPr>
      <w:r w:rsidRPr="005662CC">
        <w:rPr>
          <w:sz w:val="20"/>
          <w:szCs w:val="20"/>
        </w:rPr>
        <w:t xml:space="preserve">- </w:t>
      </w:r>
      <w:r w:rsidR="000C6DB1" w:rsidRPr="005662CC">
        <w:rPr>
          <w:sz w:val="20"/>
          <w:szCs w:val="20"/>
          <w:u w:val="single"/>
        </w:rPr>
        <w:t>deferred</w:t>
      </w:r>
      <w:r w:rsidR="000C6DB1" w:rsidRPr="005662CC">
        <w:rPr>
          <w:sz w:val="20"/>
          <w:szCs w:val="20"/>
        </w:rPr>
        <w:t xml:space="preserve"> to a meaningful later time </w:t>
      </w:r>
      <w:r w:rsidRPr="005662CC">
        <w:rPr>
          <w:sz w:val="20"/>
          <w:szCs w:val="20"/>
        </w:rPr>
        <w:t>(</w:t>
      </w:r>
      <w:proofErr w:type="spellStart"/>
      <w:r w:rsidR="00D05134" w:rsidRPr="005662CC">
        <w:rPr>
          <w:sz w:val="20"/>
          <w:szCs w:val="20"/>
        </w:rPr>
        <w:t>eg.</w:t>
      </w:r>
      <w:proofErr w:type="spellEnd"/>
      <w:r w:rsidR="00D05134" w:rsidRPr="005662CC">
        <w:rPr>
          <w:sz w:val="20"/>
          <w:szCs w:val="20"/>
        </w:rPr>
        <w:t xml:space="preserve"> </w:t>
      </w:r>
      <w:r w:rsidRPr="005662CC">
        <w:rPr>
          <w:sz w:val="20"/>
          <w:szCs w:val="20"/>
        </w:rPr>
        <w:t>scheduled annual review</w:t>
      </w:r>
      <w:r w:rsidR="000C6DB1" w:rsidRPr="005662CC">
        <w:rPr>
          <w:sz w:val="20"/>
          <w:szCs w:val="20"/>
        </w:rPr>
        <w:t>)</w:t>
      </w:r>
      <w:r w:rsidR="00431423" w:rsidRPr="005662CC">
        <w:rPr>
          <w:sz w:val="20"/>
          <w:szCs w:val="20"/>
        </w:rPr>
        <w:t xml:space="preserve">. </w:t>
      </w:r>
    </w:p>
    <w:p w14:paraId="52DCBA46" w14:textId="7CA1CC33" w:rsidR="000C6DB1" w:rsidRDefault="00D05134" w:rsidP="00324948">
      <w:pPr>
        <w:ind w:left="1560" w:hanging="142"/>
        <w:rPr>
          <w:sz w:val="20"/>
          <w:szCs w:val="20"/>
        </w:rPr>
      </w:pPr>
      <w:r w:rsidRPr="005662CC">
        <w:rPr>
          <w:sz w:val="20"/>
          <w:szCs w:val="20"/>
        </w:rPr>
        <w:t xml:space="preserve">  </w:t>
      </w:r>
      <w:r w:rsidR="00431423" w:rsidRPr="005662CC">
        <w:rPr>
          <w:sz w:val="20"/>
          <w:szCs w:val="20"/>
        </w:rPr>
        <w:t xml:space="preserve">Deferral implies </w:t>
      </w:r>
      <w:r w:rsidR="002070FD">
        <w:rPr>
          <w:sz w:val="20"/>
          <w:szCs w:val="20"/>
        </w:rPr>
        <w:t xml:space="preserve">the offer of </w:t>
      </w:r>
      <w:r w:rsidR="00431423" w:rsidRPr="005662CC">
        <w:rPr>
          <w:sz w:val="20"/>
          <w:szCs w:val="20"/>
        </w:rPr>
        <w:t>a serv</w:t>
      </w:r>
      <w:r w:rsidR="00E53B4D" w:rsidRPr="005662CC">
        <w:rPr>
          <w:sz w:val="20"/>
          <w:szCs w:val="20"/>
        </w:rPr>
        <w:t>ice agreement</w:t>
      </w:r>
      <w:r w:rsidR="00324948">
        <w:rPr>
          <w:sz w:val="20"/>
          <w:szCs w:val="20"/>
        </w:rPr>
        <w:t>,</w:t>
      </w:r>
      <w:r w:rsidR="00E53B4D" w:rsidRPr="005662CC">
        <w:rPr>
          <w:sz w:val="20"/>
          <w:szCs w:val="20"/>
        </w:rPr>
        <w:t xml:space="preserve"> or </w:t>
      </w:r>
      <w:r w:rsidR="00324948">
        <w:rPr>
          <w:sz w:val="20"/>
          <w:szCs w:val="20"/>
        </w:rPr>
        <w:t xml:space="preserve">some other </w:t>
      </w:r>
      <w:r w:rsidR="00E53B4D" w:rsidRPr="005662CC">
        <w:rPr>
          <w:sz w:val="20"/>
          <w:szCs w:val="20"/>
        </w:rPr>
        <w:t>firm</w:t>
      </w:r>
      <w:r w:rsidR="00431423" w:rsidRPr="005662CC">
        <w:rPr>
          <w:sz w:val="20"/>
          <w:szCs w:val="20"/>
        </w:rPr>
        <w:t xml:space="preserve"> arrangement </w:t>
      </w:r>
      <w:r w:rsidR="00324948">
        <w:rPr>
          <w:sz w:val="20"/>
          <w:szCs w:val="20"/>
        </w:rPr>
        <w:t xml:space="preserve">(‘mechanism’) </w:t>
      </w:r>
      <w:r w:rsidR="00431423" w:rsidRPr="005662CC">
        <w:rPr>
          <w:sz w:val="20"/>
          <w:szCs w:val="20"/>
        </w:rPr>
        <w:t xml:space="preserve">for </w:t>
      </w:r>
      <w:r w:rsidR="00324948">
        <w:rPr>
          <w:sz w:val="20"/>
          <w:szCs w:val="20"/>
        </w:rPr>
        <w:t>a follow up</w:t>
      </w:r>
      <w:r w:rsidR="002070FD">
        <w:rPr>
          <w:sz w:val="20"/>
          <w:szCs w:val="20"/>
        </w:rPr>
        <w:t xml:space="preserve"> </w:t>
      </w:r>
      <w:r w:rsidR="00431423" w:rsidRPr="005662CC">
        <w:rPr>
          <w:sz w:val="20"/>
          <w:szCs w:val="20"/>
        </w:rPr>
        <w:t>meeting.</w:t>
      </w:r>
    </w:p>
    <w:p w14:paraId="1386478C" w14:textId="1292142A" w:rsidR="00324948" w:rsidRPr="00324948" w:rsidRDefault="00324948" w:rsidP="00324948">
      <w:pPr>
        <w:pStyle w:val="ListParagraph"/>
        <w:numPr>
          <w:ilvl w:val="0"/>
          <w:numId w:val="34"/>
        </w:numPr>
        <w:ind w:left="1560" w:hanging="120"/>
        <w:rPr>
          <w:sz w:val="20"/>
          <w:szCs w:val="20"/>
          <w:u w:val="single"/>
        </w:rPr>
      </w:pPr>
      <w:r>
        <w:rPr>
          <w:sz w:val="20"/>
          <w:szCs w:val="20"/>
          <w:u w:val="single"/>
        </w:rPr>
        <w:t>r</w:t>
      </w:r>
      <w:r w:rsidRPr="00324948">
        <w:rPr>
          <w:sz w:val="20"/>
          <w:szCs w:val="20"/>
          <w:u w:val="single"/>
        </w:rPr>
        <w:t>eferred</w:t>
      </w:r>
      <w:r>
        <w:rPr>
          <w:sz w:val="20"/>
          <w:szCs w:val="20"/>
        </w:rPr>
        <w:t xml:space="preserve"> </w:t>
      </w:r>
      <w:proofErr w:type="spellStart"/>
      <w:r>
        <w:rPr>
          <w:sz w:val="20"/>
          <w:szCs w:val="20"/>
        </w:rPr>
        <w:t>eg.</w:t>
      </w:r>
      <w:proofErr w:type="spellEnd"/>
      <w:r>
        <w:rPr>
          <w:sz w:val="20"/>
          <w:szCs w:val="20"/>
        </w:rPr>
        <w:t xml:space="preserve"> referral to an estate planning specialist (say)</w:t>
      </w:r>
    </w:p>
    <w:p w14:paraId="35ED78CA" w14:textId="77777777" w:rsidR="00BD1660" w:rsidRPr="005662CC" w:rsidRDefault="00BD1660" w:rsidP="00BD1660">
      <w:pPr>
        <w:jc w:val="center"/>
        <w:rPr>
          <w:sz w:val="20"/>
          <w:szCs w:val="20"/>
        </w:rPr>
      </w:pPr>
      <w:r w:rsidRPr="005662CC">
        <w:rPr>
          <w:sz w:val="20"/>
          <w:szCs w:val="20"/>
        </w:rPr>
        <w:t>--()--</w:t>
      </w:r>
    </w:p>
    <w:p w14:paraId="723FA756" w14:textId="3EC4BDA2" w:rsidR="00BD1660" w:rsidRPr="005662CC" w:rsidRDefault="00957B33" w:rsidP="00BD1660">
      <w:pPr>
        <w:rPr>
          <w:sz w:val="20"/>
          <w:szCs w:val="20"/>
        </w:rPr>
      </w:pPr>
      <w:r w:rsidRPr="005662CC">
        <w:rPr>
          <w:sz w:val="20"/>
          <w:szCs w:val="20"/>
        </w:rPr>
        <w:t xml:space="preserve">An </w:t>
      </w:r>
      <w:r w:rsidR="004046BF">
        <w:rPr>
          <w:sz w:val="20"/>
          <w:szCs w:val="20"/>
        </w:rPr>
        <w:t>implausible</w:t>
      </w:r>
      <w:r w:rsidR="00BD1660" w:rsidRPr="005662CC">
        <w:rPr>
          <w:sz w:val="20"/>
          <w:szCs w:val="20"/>
        </w:rPr>
        <w:t xml:space="preserve"> example of </w:t>
      </w:r>
      <w:r w:rsidR="00E53B4D" w:rsidRPr="005662CC">
        <w:rPr>
          <w:sz w:val="20"/>
          <w:szCs w:val="20"/>
        </w:rPr>
        <w:t xml:space="preserve">the interplay of </w:t>
      </w:r>
      <w:r w:rsidR="00BD1660" w:rsidRPr="005662CC">
        <w:rPr>
          <w:sz w:val="20"/>
          <w:szCs w:val="20"/>
        </w:rPr>
        <w:t>Client/Adviser voice(s) in a Scope would be:</w:t>
      </w:r>
    </w:p>
    <w:p w14:paraId="0F0372CD" w14:textId="77777777" w:rsidR="00BD1660" w:rsidRPr="005662CC" w:rsidRDefault="00BD1660" w:rsidP="00BD1660">
      <w:pPr>
        <w:pStyle w:val="ListParagraph"/>
        <w:numPr>
          <w:ilvl w:val="0"/>
          <w:numId w:val="8"/>
        </w:numPr>
        <w:rPr>
          <w:sz w:val="20"/>
          <w:szCs w:val="20"/>
        </w:rPr>
      </w:pPr>
      <w:r w:rsidRPr="005662CC">
        <w:rPr>
          <w:sz w:val="20"/>
          <w:szCs w:val="20"/>
        </w:rPr>
        <w:t>You came to see me for an insurance review</w:t>
      </w:r>
    </w:p>
    <w:p w14:paraId="1257CCF6" w14:textId="77777777" w:rsidR="00BD1660" w:rsidRPr="005662CC" w:rsidRDefault="00725D59" w:rsidP="00BD1660">
      <w:pPr>
        <w:pStyle w:val="ListParagraph"/>
        <w:numPr>
          <w:ilvl w:val="0"/>
          <w:numId w:val="8"/>
        </w:numPr>
        <w:rPr>
          <w:sz w:val="20"/>
          <w:szCs w:val="20"/>
        </w:rPr>
      </w:pPr>
      <w:r>
        <w:rPr>
          <w:sz w:val="20"/>
          <w:szCs w:val="20"/>
        </w:rPr>
        <w:t>I recommend I</w:t>
      </w:r>
      <w:r w:rsidR="00BD1660" w:rsidRPr="005662CC">
        <w:rPr>
          <w:sz w:val="20"/>
          <w:szCs w:val="20"/>
        </w:rPr>
        <w:t xml:space="preserve"> do an insurance review</w:t>
      </w:r>
    </w:p>
    <w:p w14:paraId="4D5EAC78" w14:textId="77777777" w:rsidR="00BD1660" w:rsidRPr="005662CC" w:rsidRDefault="00BD1660" w:rsidP="00BD1660">
      <w:pPr>
        <w:pStyle w:val="ListParagraph"/>
        <w:numPr>
          <w:ilvl w:val="0"/>
          <w:numId w:val="8"/>
        </w:numPr>
        <w:rPr>
          <w:sz w:val="20"/>
          <w:szCs w:val="20"/>
        </w:rPr>
      </w:pPr>
      <w:r w:rsidRPr="005662CC">
        <w:rPr>
          <w:sz w:val="20"/>
          <w:szCs w:val="20"/>
        </w:rPr>
        <w:t>We have agreed to do an insurance review</w:t>
      </w:r>
    </w:p>
    <w:p w14:paraId="440B4CCA" w14:textId="793F0832" w:rsidR="00BD1660" w:rsidRDefault="00725D59" w:rsidP="00BD1660">
      <w:pPr>
        <w:pStyle w:val="ListParagraph"/>
        <w:numPr>
          <w:ilvl w:val="0"/>
          <w:numId w:val="8"/>
        </w:numPr>
        <w:rPr>
          <w:sz w:val="20"/>
          <w:szCs w:val="20"/>
        </w:rPr>
      </w:pPr>
      <w:r>
        <w:rPr>
          <w:sz w:val="20"/>
          <w:szCs w:val="20"/>
        </w:rPr>
        <w:t>&lt;</w:t>
      </w:r>
      <w:r w:rsidR="00BD1660" w:rsidRPr="005662CC">
        <w:rPr>
          <w:sz w:val="20"/>
          <w:szCs w:val="20"/>
        </w:rPr>
        <w:t xml:space="preserve">-- nothing to disclaim </w:t>
      </w:r>
      <w:r w:rsidR="001F0CB5">
        <w:rPr>
          <w:sz w:val="20"/>
          <w:szCs w:val="20"/>
        </w:rPr>
        <w:t>--&gt;</w:t>
      </w:r>
    </w:p>
    <w:p w14:paraId="022A689E" w14:textId="2FFC3204" w:rsidR="006322AD" w:rsidRDefault="006322AD" w:rsidP="006322AD">
      <w:pPr>
        <w:pStyle w:val="ListParagraph"/>
        <w:rPr>
          <w:sz w:val="20"/>
          <w:szCs w:val="20"/>
        </w:rPr>
      </w:pPr>
    </w:p>
    <w:p w14:paraId="79179B45" w14:textId="77777777" w:rsidR="006322AD" w:rsidRPr="005662CC" w:rsidRDefault="006322AD" w:rsidP="006322AD">
      <w:pPr>
        <w:pStyle w:val="ListParagraph"/>
        <w:rPr>
          <w:sz w:val="20"/>
          <w:szCs w:val="20"/>
        </w:rPr>
      </w:pPr>
    </w:p>
    <w:p w14:paraId="5599CACE" w14:textId="77777777" w:rsidR="00957B33" w:rsidRPr="00957B33" w:rsidRDefault="00957B33" w:rsidP="00FB2226">
      <w:pPr>
        <w:pStyle w:val="Heading2"/>
        <w:rPr>
          <w:rFonts w:eastAsia="Times New Roman"/>
          <w:b/>
          <w:sz w:val="28"/>
          <w:szCs w:val="28"/>
        </w:rPr>
      </w:pPr>
      <w:bookmarkStart w:id="5" w:name="_Toc36642358"/>
      <w:r w:rsidRPr="00957B33">
        <w:rPr>
          <w:rFonts w:eastAsia="Times New Roman"/>
          <w:b/>
          <w:sz w:val="28"/>
          <w:szCs w:val="28"/>
        </w:rPr>
        <w:t>Our Standard Disclaimer</w:t>
      </w:r>
      <w:bookmarkEnd w:id="5"/>
    </w:p>
    <w:p w14:paraId="08061E34" w14:textId="77777777" w:rsidR="00CE4786" w:rsidRDefault="00CE4786" w:rsidP="00E53B4D">
      <w:pPr>
        <w:rPr>
          <w:sz w:val="20"/>
          <w:szCs w:val="20"/>
        </w:rPr>
      </w:pPr>
    </w:p>
    <w:p w14:paraId="6DC155E7" w14:textId="77777777" w:rsidR="00957B33" w:rsidRPr="005662CC" w:rsidRDefault="00957B33" w:rsidP="00E53B4D">
      <w:pPr>
        <w:rPr>
          <w:sz w:val="20"/>
          <w:szCs w:val="20"/>
        </w:rPr>
      </w:pPr>
      <w:r w:rsidRPr="005662CC">
        <w:rPr>
          <w:sz w:val="20"/>
          <w:szCs w:val="20"/>
        </w:rPr>
        <w:t>In the legitimate instance of there being ‘nothing to disclaim’; delete the D</w:t>
      </w:r>
      <w:r w:rsidR="00E42C6C" w:rsidRPr="005662CC">
        <w:rPr>
          <w:sz w:val="20"/>
          <w:szCs w:val="20"/>
        </w:rPr>
        <w:t>isclaimer in the Scope.</w:t>
      </w:r>
    </w:p>
    <w:p w14:paraId="5ED1EBDB" w14:textId="044D1DC5" w:rsidR="00E42C6C" w:rsidRPr="005662CC" w:rsidRDefault="00E42C6C" w:rsidP="00E53B4D">
      <w:pPr>
        <w:rPr>
          <w:sz w:val="20"/>
          <w:szCs w:val="20"/>
        </w:rPr>
      </w:pPr>
      <w:r w:rsidRPr="005662CC">
        <w:rPr>
          <w:sz w:val="20"/>
          <w:szCs w:val="20"/>
        </w:rPr>
        <w:t xml:space="preserve">‘Nothing to disclaim’ means that the SOA </w:t>
      </w:r>
      <w:r w:rsidRPr="005662CC">
        <w:rPr>
          <w:sz w:val="20"/>
          <w:szCs w:val="20"/>
          <w:u w:val="single"/>
        </w:rPr>
        <w:t>agreed scope</w:t>
      </w:r>
      <w:r w:rsidRPr="005662CC">
        <w:rPr>
          <w:sz w:val="20"/>
          <w:szCs w:val="20"/>
        </w:rPr>
        <w:t xml:space="preserve"> ‘c.’ comprehensively covers everything in ‘a.’ and ‘b.’ </w:t>
      </w:r>
      <w:r w:rsidR="00CF6F6A">
        <w:rPr>
          <w:sz w:val="20"/>
          <w:szCs w:val="20"/>
        </w:rPr>
        <w:t>above.</w:t>
      </w:r>
    </w:p>
    <w:p w14:paraId="36520A2C" w14:textId="77777777" w:rsidR="0041145C" w:rsidRDefault="0041145C" w:rsidP="00E53B4D">
      <w:pPr>
        <w:rPr>
          <w:rFonts w:eastAsia="Times New Roman"/>
          <w:b/>
        </w:rPr>
      </w:pPr>
    </w:p>
    <w:p w14:paraId="045D1D1E" w14:textId="77777777" w:rsidR="00D83ED7" w:rsidRDefault="00D83ED7" w:rsidP="00E53B4D">
      <w:pPr>
        <w:rPr>
          <w:rFonts w:eastAsia="Times New Roman"/>
          <w:b/>
        </w:rPr>
      </w:pPr>
    </w:p>
    <w:p w14:paraId="0332C74B" w14:textId="77777777" w:rsidR="00D76E2B" w:rsidRDefault="00D76E2B" w:rsidP="00E53B4D">
      <w:pPr>
        <w:rPr>
          <w:rFonts w:eastAsia="Times New Roman"/>
          <w:b/>
        </w:rPr>
      </w:pPr>
    </w:p>
    <w:p w14:paraId="4E142EFC" w14:textId="77777777" w:rsidR="009112FC" w:rsidRPr="009112FC" w:rsidRDefault="009112FC" w:rsidP="00FB2226">
      <w:pPr>
        <w:pStyle w:val="Heading2"/>
        <w:rPr>
          <w:rFonts w:eastAsia="Times New Roman"/>
          <w:b/>
          <w:sz w:val="28"/>
          <w:szCs w:val="28"/>
        </w:rPr>
      </w:pPr>
      <w:bookmarkStart w:id="6" w:name="_Toc36642359"/>
      <w:r w:rsidRPr="009112FC">
        <w:rPr>
          <w:rFonts w:eastAsia="Times New Roman"/>
          <w:b/>
          <w:sz w:val="28"/>
          <w:szCs w:val="28"/>
        </w:rPr>
        <w:lastRenderedPageBreak/>
        <w:t>Reasonable Basis</w:t>
      </w:r>
      <w:r w:rsidR="00FB2226">
        <w:rPr>
          <w:rFonts w:eastAsia="Times New Roman"/>
          <w:b/>
          <w:sz w:val="28"/>
          <w:szCs w:val="28"/>
        </w:rPr>
        <w:t xml:space="preserve"> _ What has Changed</w:t>
      </w:r>
      <w:bookmarkEnd w:id="6"/>
    </w:p>
    <w:p w14:paraId="775B4FDD" w14:textId="77777777" w:rsidR="003755E5" w:rsidRDefault="003755E5" w:rsidP="00E53B4D">
      <w:pPr>
        <w:rPr>
          <w:rFonts w:eastAsia="Times New Roman"/>
          <w:b/>
        </w:rPr>
      </w:pPr>
    </w:p>
    <w:p w14:paraId="0513CBB9" w14:textId="77777777" w:rsidR="00E42F6E" w:rsidRPr="006322AD" w:rsidRDefault="00E42F6E" w:rsidP="00E53B4D">
      <w:pPr>
        <w:rPr>
          <w:sz w:val="20"/>
          <w:szCs w:val="20"/>
        </w:rPr>
      </w:pPr>
      <w:r w:rsidRPr="006322AD">
        <w:rPr>
          <w:sz w:val="20"/>
          <w:szCs w:val="20"/>
        </w:rPr>
        <w:t xml:space="preserve">The current </w:t>
      </w:r>
      <w:r w:rsidR="00CE4786" w:rsidRPr="006322AD">
        <w:rPr>
          <w:sz w:val="20"/>
          <w:szCs w:val="20"/>
        </w:rPr>
        <w:t xml:space="preserve">form of the </w:t>
      </w:r>
      <w:r w:rsidRPr="006322AD">
        <w:rPr>
          <w:sz w:val="20"/>
          <w:szCs w:val="20"/>
        </w:rPr>
        <w:t>FOFA legislation</w:t>
      </w:r>
      <w:r w:rsidR="00BD1325" w:rsidRPr="006322AD">
        <w:rPr>
          <w:sz w:val="20"/>
          <w:szCs w:val="20"/>
        </w:rPr>
        <w:t xml:space="preserve"> was finally passed into law in March 2016.</w:t>
      </w:r>
    </w:p>
    <w:p w14:paraId="637B2430" w14:textId="77777777" w:rsidR="00BD1325" w:rsidRPr="006322AD" w:rsidRDefault="00BD1325" w:rsidP="00E53B4D">
      <w:pPr>
        <w:rPr>
          <w:sz w:val="20"/>
          <w:szCs w:val="20"/>
        </w:rPr>
      </w:pPr>
    </w:p>
    <w:p w14:paraId="0628372F" w14:textId="77777777" w:rsidR="009112FC" w:rsidRPr="006322AD" w:rsidRDefault="00CE4786" w:rsidP="00E53B4D">
      <w:pPr>
        <w:rPr>
          <w:sz w:val="20"/>
          <w:szCs w:val="20"/>
        </w:rPr>
      </w:pPr>
      <w:r w:rsidRPr="006322AD">
        <w:rPr>
          <w:sz w:val="20"/>
          <w:szCs w:val="20"/>
        </w:rPr>
        <w:t xml:space="preserve">The prior underpinning of advice </w:t>
      </w:r>
      <w:r w:rsidR="00B70225" w:rsidRPr="006322AD">
        <w:rPr>
          <w:sz w:val="20"/>
          <w:szCs w:val="20"/>
        </w:rPr>
        <w:t>‘Reasonable Basis’:</w:t>
      </w:r>
    </w:p>
    <w:p w14:paraId="4FD9AF36" w14:textId="7415DC59" w:rsidR="00B70225" w:rsidRPr="006322AD" w:rsidRDefault="00B70225" w:rsidP="00E93860">
      <w:pPr>
        <w:pStyle w:val="ListParagraph"/>
        <w:numPr>
          <w:ilvl w:val="0"/>
          <w:numId w:val="34"/>
        </w:numPr>
        <w:ind w:left="851" w:hanging="142"/>
        <w:rPr>
          <w:sz w:val="20"/>
          <w:szCs w:val="20"/>
        </w:rPr>
      </w:pPr>
      <w:r w:rsidRPr="006322AD">
        <w:rPr>
          <w:sz w:val="20"/>
          <w:szCs w:val="20"/>
        </w:rPr>
        <w:t>Know your Client</w:t>
      </w:r>
    </w:p>
    <w:p w14:paraId="6D2379BD" w14:textId="6821675E" w:rsidR="00B70225" w:rsidRPr="006322AD" w:rsidRDefault="00B70225" w:rsidP="00E93860">
      <w:pPr>
        <w:pStyle w:val="ListParagraph"/>
        <w:numPr>
          <w:ilvl w:val="0"/>
          <w:numId w:val="34"/>
        </w:numPr>
        <w:ind w:left="851" w:hanging="142"/>
        <w:rPr>
          <w:sz w:val="20"/>
          <w:szCs w:val="20"/>
        </w:rPr>
      </w:pPr>
      <w:r w:rsidRPr="006322AD">
        <w:rPr>
          <w:sz w:val="20"/>
          <w:szCs w:val="20"/>
        </w:rPr>
        <w:t>Know your Product</w:t>
      </w:r>
    </w:p>
    <w:p w14:paraId="050240AC" w14:textId="77777777" w:rsidR="00B70225" w:rsidRPr="006322AD" w:rsidRDefault="00B70225" w:rsidP="00B70225">
      <w:pPr>
        <w:rPr>
          <w:sz w:val="20"/>
          <w:szCs w:val="20"/>
        </w:rPr>
      </w:pPr>
    </w:p>
    <w:p w14:paraId="4277C773" w14:textId="46A16B4C" w:rsidR="00B70225" w:rsidRPr="006322AD" w:rsidRDefault="00D8606B" w:rsidP="00B70225">
      <w:pPr>
        <w:rPr>
          <w:sz w:val="20"/>
          <w:szCs w:val="20"/>
        </w:rPr>
      </w:pPr>
      <w:r w:rsidRPr="006322AD">
        <w:rPr>
          <w:sz w:val="20"/>
          <w:szCs w:val="20"/>
        </w:rPr>
        <w:t>Notionally</w:t>
      </w:r>
      <w:r w:rsidR="00BD1325" w:rsidRPr="006322AD">
        <w:rPr>
          <w:sz w:val="20"/>
          <w:szCs w:val="20"/>
        </w:rPr>
        <w:t>, section ‘c.’ in Scope was where Reasonable</w:t>
      </w:r>
      <w:r w:rsidR="009773C1" w:rsidRPr="006322AD">
        <w:rPr>
          <w:sz w:val="20"/>
          <w:szCs w:val="20"/>
        </w:rPr>
        <w:t xml:space="preserve"> Basis might</w:t>
      </w:r>
      <w:r w:rsidR="00BD1325" w:rsidRPr="006322AD">
        <w:rPr>
          <w:sz w:val="20"/>
          <w:szCs w:val="20"/>
        </w:rPr>
        <w:t xml:space="preserve"> validly </w:t>
      </w:r>
      <w:r w:rsidR="000265DB">
        <w:rPr>
          <w:sz w:val="20"/>
          <w:szCs w:val="20"/>
        </w:rPr>
        <w:t>have traditionally commenced.</w:t>
      </w:r>
    </w:p>
    <w:p w14:paraId="082B4CC4" w14:textId="77777777" w:rsidR="00BD1325" w:rsidRPr="006322AD" w:rsidRDefault="00BD1325" w:rsidP="00B70225">
      <w:pPr>
        <w:rPr>
          <w:sz w:val="20"/>
          <w:szCs w:val="20"/>
        </w:rPr>
      </w:pPr>
    </w:p>
    <w:p w14:paraId="002CA159" w14:textId="09A12044" w:rsidR="00E11F79" w:rsidRPr="006322AD" w:rsidRDefault="00B25809" w:rsidP="00B70225">
      <w:pPr>
        <w:rPr>
          <w:sz w:val="20"/>
          <w:szCs w:val="20"/>
        </w:rPr>
      </w:pPr>
      <w:r w:rsidRPr="006322AD">
        <w:rPr>
          <w:sz w:val="20"/>
          <w:szCs w:val="20"/>
        </w:rPr>
        <w:t xml:space="preserve">Consider sections ‘a.’, ‘b.’ </w:t>
      </w:r>
      <w:r w:rsidR="00E11F79" w:rsidRPr="006322AD">
        <w:rPr>
          <w:sz w:val="20"/>
          <w:szCs w:val="20"/>
        </w:rPr>
        <w:t xml:space="preserve">of the Scope as </w:t>
      </w:r>
      <w:r w:rsidRPr="006322AD">
        <w:rPr>
          <w:sz w:val="20"/>
          <w:szCs w:val="20"/>
        </w:rPr>
        <w:t>recreating</w:t>
      </w:r>
      <w:r w:rsidR="00BD1325" w:rsidRPr="006322AD">
        <w:rPr>
          <w:sz w:val="20"/>
          <w:szCs w:val="20"/>
        </w:rPr>
        <w:t xml:space="preserve"> insight into the </w:t>
      </w:r>
      <w:r w:rsidR="00BD1325" w:rsidRPr="000265DB">
        <w:rPr>
          <w:sz w:val="20"/>
          <w:szCs w:val="20"/>
          <w:u w:val="single"/>
        </w:rPr>
        <w:t>process</w:t>
      </w:r>
      <w:r w:rsidR="00BD1325" w:rsidRPr="006322AD">
        <w:rPr>
          <w:sz w:val="20"/>
          <w:szCs w:val="20"/>
        </w:rPr>
        <w:t xml:space="preserve"> of how the advice evolved in the interplay between client </w:t>
      </w:r>
      <w:r w:rsidR="009773C1" w:rsidRPr="006322AD">
        <w:rPr>
          <w:sz w:val="20"/>
          <w:szCs w:val="20"/>
        </w:rPr>
        <w:t xml:space="preserve">and adviser. </w:t>
      </w:r>
    </w:p>
    <w:p w14:paraId="3BD34B31" w14:textId="77777777" w:rsidR="00745994" w:rsidRDefault="00745994" w:rsidP="00B70225">
      <w:pPr>
        <w:rPr>
          <w:sz w:val="20"/>
          <w:szCs w:val="20"/>
        </w:rPr>
      </w:pPr>
    </w:p>
    <w:p w14:paraId="4B3671E7" w14:textId="23F66CEA" w:rsidR="00BD1325" w:rsidRPr="006322AD" w:rsidRDefault="009773C1" w:rsidP="00B70225">
      <w:pPr>
        <w:rPr>
          <w:sz w:val="20"/>
          <w:szCs w:val="20"/>
        </w:rPr>
      </w:pPr>
      <w:r w:rsidRPr="006322AD">
        <w:rPr>
          <w:sz w:val="20"/>
          <w:szCs w:val="20"/>
        </w:rPr>
        <w:t>The</w:t>
      </w:r>
      <w:r w:rsidR="00BD1325" w:rsidRPr="006322AD">
        <w:rPr>
          <w:sz w:val="20"/>
          <w:szCs w:val="20"/>
        </w:rPr>
        <w:t xml:space="preserve"> </w:t>
      </w:r>
      <w:r w:rsidR="00E11F79" w:rsidRPr="006322AD">
        <w:rPr>
          <w:sz w:val="20"/>
          <w:szCs w:val="20"/>
        </w:rPr>
        <w:t>careful treatment of ‘a.’, ‘b.’</w:t>
      </w:r>
      <w:r w:rsidR="00CE38AD" w:rsidRPr="006322AD">
        <w:rPr>
          <w:sz w:val="20"/>
          <w:szCs w:val="20"/>
        </w:rPr>
        <w:t xml:space="preserve"> sections highlight</w:t>
      </w:r>
      <w:r w:rsidR="00BD1325" w:rsidRPr="006322AD">
        <w:rPr>
          <w:sz w:val="20"/>
          <w:szCs w:val="20"/>
        </w:rPr>
        <w:t xml:space="preserve"> a key change </w:t>
      </w:r>
      <w:r w:rsidR="00745994">
        <w:rPr>
          <w:sz w:val="20"/>
          <w:szCs w:val="20"/>
        </w:rPr>
        <w:t xml:space="preserve">of emphasis </w:t>
      </w:r>
      <w:r w:rsidR="000265DB">
        <w:rPr>
          <w:sz w:val="20"/>
          <w:szCs w:val="20"/>
        </w:rPr>
        <w:t xml:space="preserve">in support of </w:t>
      </w:r>
      <w:r w:rsidR="00BD1325" w:rsidRPr="006322AD">
        <w:rPr>
          <w:sz w:val="20"/>
          <w:szCs w:val="20"/>
        </w:rPr>
        <w:t>the Best Interest</w:t>
      </w:r>
      <w:r w:rsidR="000265DB">
        <w:rPr>
          <w:sz w:val="20"/>
          <w:szCs w:val="20"/>
        </w:rPr>
        <w:t xml:space="preserve"> duty</w:t>
      </w:r>
      <w:r w:rsidR="00BD1325" w:rsidRPr="006322AD">
        <w:rPr>
          <w:sz w:val="20"/>
          <w:szCs w:val="20"/>
        </w:rPr>
        <w:t>.</w:t>
      </w:r>
    </w:p>
    <w:p w14:paraId="02BC88F5" w14:textId="77777777" w:rsidR="009112FC" w:rsidRDefault="009112FC" w:rsidP="00E53B4D">
      <w:pPr>
        <w:rPr>
          <w:rFonts w:eastAsia="Times New Roman"/>
          <w:b/>
        </w:rPr>
      </w:pPr>
    </w:p>
    <w:p w14:paraId="2229143F" w14:textId="1003CBAE" w:rsidR="00D76E2B" w:rsidRPr="007C0CED" w:rsidRDefault="007C0CED" w:rsidP="007C0CED">
      <w:pPr>
        <w:pStyle w:val="Heading2"/>
        <w:rPr>
          <w:rFonts w:eastAsia="Times New Roman"/>
          <w:b/>
          <w:sz w:val="28"/>
          <w:szCs w:val="28"/>
        </w:rPr>
      </w:pPr>
      <w:bookmarkStart w:id="7" w:name="_Toc36642360"/>
      <w:r w:rsidRPr="007C0CED">
        <w:rPr>
          <w:rFonts w:eastAsia="Times New Roman"/>
          <w:b/>
          <w:sz w:val="28"/>
          <w:szCs w:val="28"/>
        </w:rPr>
        <w:t>Appropriate Advice</w:t>
      </w:r>
      <w:bookmarkEnd w:id="7"/>
    </w:p>
    <w:p w14:paraId="056675EA" w14:textId="68E9E5D7" w:rsidR="007C0CED" w:rsidRDefault="007C0CED" w:rsidP="00E53B4D">
      <w:pPr>
        <w:rPr>
          <w:rFonts w:eastAsia="Times New Roman"/>
          <w:b/>
        </w:rPr>
      </w:pPr>
    </w:p>
    <w:p w14:paraId="5747B8AD" w14:textId="77777777" w:rsidR="00BC528B" w:rsidRDefault="00BC528B" w:rsidP="00E53B4D">
      <w:pPr>
        <w:rPr>
          <w:sz w:val="20"/>
          <w:szCs w:val="20"/>
        </w:rPr>
      </w:pPr>
      <w:r w:rsidRPr="00BC528B">
        <w:rPr>
          <w:sz w:val="20"/>
          <w:szCs w:val="20"/>
        </w:rPr>
        <w:t>Prior to the introduction of Best Interest duty, advice was required to be Appropriate.</w:t>
      </w:r>
      <w:r>
        <w:rPr>
          <w:sz w:val="20"/>
          <w:szCs w:val="20"/>
        </w:rPr>
        <w:t xml:space="preserve"> It still is required!</w:t>
      </w:r>
    </w:p>
    <w:p w14:paraId="7A8C65D5" w14:textId="77777777" w:rsidR="00BC528B" w:rsidRDefault="00BC528B" w:rsidP="00E53B4D">
      <w:pPr>
        <w:rPr>
          <w:sz w:val="20"/>
          <w:szCs w:val="20"/>
        </w:rPr>
      </w:pPr>
    </w:p>
    <w:p w14:paraId="70235EBE" w14:textId="1D3573DD" w:rsidR="00BC528B" w:rsidRDefault="00BC528B" w:rsidP="00E53B4D">
      <w:pPr>
        <w:rPr>
          <w:sz w:val="20"/>
          <w:szCs w:val="20"/>
        </w:rPr>
      </w:pPr>
      <w:r>
        <w:rPr>
          <w:sz w:val="20"/>
          <w:szCs w:val="20"/>
        </w:rPr>
        <w:t>This means the Advice must result in the client be in a better position; taking into account the client’s needs, objectives and financial circumstances.</w:t>
      </w:r>
    </w:p>
    <w:p w14:paraId="26AA9F35" w14:textId="7AAA7763" w:rsidR="00BC528B" w:rsidRDefault="00BC528B" w:rsidP="00E53B4D">
      <w:pPr>
        <w:rPr>
          <w:sz w:val="20"/>
          <w:szCs w:val="20"/>
        </w:rPr>
      </w:pPr>
    </w:p>
    <w:p w14:paraId="50FCB493" w14:textId="4CA54FCB" w:rsidR="00BC528B" w:rsidRPr="00BC528B" w:rsidRDefault="00BC528B" w:rsidP="00BC528B">
      <w:pPr>
        <w:pStyle w:val="Heading2"/>
        <w:rPr>
          <w:rFonts w:eastAsia="Times New Roman"/>
          <w:b/>
          <w:sz w:val="28"/>
          <w:szCs w:val="28"/>
        </w:rPr>
      </w:pPr>
      <w:bookmarkStart w:id="8" w:name="_Toc36642361"/>
      <w:r w:rsidRPr="00BC528B">
        <w:rPr>
          <w:rFonts w:eastAsia="Times New Roman"/>
          <w:b/>
          <w:sz w:val="28"/>
          <w:szCs w:val="28"/>
        </w:rPr>
        <w:t>FASEA Code of Ethics</w:t>
      </w:r>
      <w:bookmarkEnd w:id="8"/>
    </w:p>
    <w:p w14:paraId="5C04682C" w14:textId="7847BC11" w:rsidR="00BC528B" w:rsidRDefault="00BC528B" w:rsidP="00E53B4D">
      <w:pPr>
        <w:rPr>
          <w:rFonts w:eastAsia="Times New Roman"/>
          <w:b/>
        </w:rPr>
      </w:pPr>
    </w:p>
    <w:p w14:paraId="7306C784" w14:textId="08006DA1" w:rsidR="00CD1681" w:rsidRPr="00CD1681" w:rsidRDefault="00CD1681" w:rsidP="00E53B4D">
      <w:pPr>
        <w:rPr>
          <w:sz w:val="20"/>
          <w:szCs w:val="20"/>
        </w:rPr>
      </w:pPr>
      <w:r w:rsidRPr="00CD1681">
        <w:rPr>
          <w:sz w:val="20"/>
          <w:szCs w:val="20"/>
        </w:rPr>
        <w:t>Standards 5, 6, 9</w:t>
      </w:r>
      <w:r>
        <w:rPr>
          <w:sz w:val="20"/>
          <w:szCs w:val="20"/>
        </w:rPr>
        <w:t xml:space="preserve"> most directly impact the </w:t>
      </w:r>
      <w:r w:rsidR="00C77F84">
        <w:rPr>
          <w:sz w:val="20"/>
          <w:szCs w:val="20"/>
        </w:rPr>
        <w:t>writing</w:t>
      </w:r>
      <w:r>
        <w:rPr>
          <w:sz w:val="20"/>
          <w:szCs w:val="20"/>
        </w:rPr>
        <w:t xml:space="preserve"> of the </w:t>
      </w:r>
      <w:proofErr w:type="spellStart"/>
      <w:r>
        <w:rPr>
          <w:sz w:val="20"/>
          <w:szCs w:val="20"/>
        </w:rPr>
        <w:t>SoA</w:t>
      </w:r>
      <w:proofErr w:type="spellEnd"/>
      <w:r>
        <w:rPr>
          <w:sz w:val="20"/>
          <w:szCs w:val="20"/>
        </w:rPr>
        <w:t>.</w:t>
      </w:r>
    </w:p>
    <w:p w14:paraId="10912A8F" w14:textId="77777777" w:rsidR="007C0CED" w:rsidRDefault="007C0CED" w:rsidP="00E53B4D">
      <w:pPr>
        <w:rPr>
          <w:rFonts w:eastAsia="Times New Roman"/>
          <w:b/>
        </w:rPr>
      </w:pPr>
    </w:p>
    <w:p w14:paraId="1CFA70C2" w14:textId="77777777" w:rsidR="00E53B4D" w:rsidRPr="00060F89" w:rsidRDefault="005E1D1C" w:rsidP="00FB2226">
      <w:pPr>
        <w:pStyle w:val="Heading2"/>
        <w:rPr>
          <w:rFonts w:eastAsia="Times New Roman"/>
          <w:b/>
          <w:sz w:val="28"/>
          <w:szCs w:val="28"/>
        </w:rPr>
      </w:pPr>
      <w:bookmarkStart w:id="9" w:name="_Toc36642362"/>
      <w:r>
        <w:rPr>
          <w:rFonts w:eastAsia="Times New Roman"/>
          <w:b/>
          <w:sz w:val="28"/>
          <w:szCs w:val="28"/>
        </w:rPr>
        <w:t xml:space="preserve">Financial </w:t>
      </w:r>
      <w:r w:rsidR="00E53B4D" w:rsidRPr="00060F89">
        <w:rPr>
          <w:rFonts w:eastAsia="Times New Roman"/>
          <w:b/>
          <w:sz w:val="28"/>
          <w:szCs w:val="28"/>
        </w:rPr>
        <w:t>Objectives</w:t>
      </w:r>
      <w:bookmarkEnd w:id="9"/>
    </w:p>
    <w:p w14:paraId="4EC47AF9" w14:textId="77777777" w:rsidR="00E53B4D" w:rsidRDefault="00E53B4D" w:rsidP="00E53B4D"/>
    <w:p w14:paraId="62AE7AA5" w14:textId="77777777" w:rsidR="00305887" w:rsidRPr="005662CC" w:rsidRDefault="005E1D1C" w:rsidP="00E53B4D">
      <w:pPr>
        <w:rPr>
          <w:sz w:val="20"/>
          <w:szCs w:val="20"/>
        </w:rPr>
      </w:pPr>
      <w:r w:rsidRPr="005662CC">
        <w:rPr>
          <w:sz w:val="20"/>
          <w:szCs w:val="20"/>
        </w:rPr>
        <w:t xml:space="preserve">These are the </w:t>
      </w:r>
      <w:r w:rsidR="00B70225" w:rsidRPr="005662CC">
        <w:rPr>
          <w:sz w:val="20"/>
          <w:szCs w:val="20"/>
          <w:u w:val="single"/>
        </w:rPr>
        <w:t>d</w:t>
      </w:r>
      <w:r w:rsidR="00305887" w:rsidRPr="005662CC">
        <w:rPr>
          <w:sz w:val="20"/>
          <w:szCs w:val="20"/>
          <w:u w:val="single"/>
        </w:rPr>
        <w:t>etails</w:t>
      </w:r>
      <w:r w:rsidR="00D76E2B">
        <w:rPr>
          <w:sz w:val="20"/>
          <w:szCs w:val="20"/>
        </w:rPr>
        <w:t xml:space="preserve"> of the Agreed Scope (section ‘c.’ of the Scope)</w:t>
      </w:r>
    </w:p>
    <w:p w14:paraId="5AA40420" w14:textId="4596763D" w:rsidR="005E1D1C" w:rsidRDefault="005E1D1C" w:rsidP="00E53B4D">
      <w:pPr>
        <w:rPr>
          <w:sz w:val="20"/>
          <w:szCs w:val="20"/>
        </w:rPr>
      </w:pPr>
    </w:p>
    <w:p w14:paraId="613F26F3" w14:textId="13BEA45C" w:rsidR="005E1D1C" w:rsidRDefault="00812C86" w:rsidP="00E53B4D">
      <w:pPr>
        <w:rPr>
          <w:sz w:val="20"/>
          <w:szCs w:val="20"/>
        </w:rPr>
      </w:pPr>
      <w:r>
        <w:rPr>
          <w:sz w:val="20"/>
          <w:szCs w:val="20"/>
        </w:rPr>
        <w:t xml:space="preserve">The wording commences: </w:t>
      </w:r>
      <w:r w:rsidR="005E1D1C" w:rsidRPr="005662CC">
        <w:rPr>
          <w:sz w:val="20"/>
          <w:szCs w:val="20"/>
        </w:rPr>
        <w:t>“</w:t>
      </w:r>
      <w:r w:rsidR="005E1D1C" w:rsidRPr="00812C86">
        <w:rPr>
          <w:sz w:val="20"/>
          <w:szCs w:val="20"/>
          <w:u w:val="single"/>
        </w:rPr>
        <w:t>Together</w:t>
      </w:r>
      <w:r w:rsidR="005E1D1C" w:rsidRPr="005662CC">
        <w:rPr>
          <w:sz w:val="20"/>
          <w:szCs w:val="20"/>
        </w:rPr>
        <w:t xml:space="preserve"> we identified the following objectives that we will address in this advice</w:t>
      </w:r>
      <w:r>
        <w:rPr>
          <w:sz w:val="20"/>
          <w:szCs w:val="20"/>
        </w:rPr>
        <w:t>”.</w:t>
      </w:r>
    </w:p>
    <w:p w14:paraId="13B423B5" w14:textId="7D7B09D6" w:rsidR="00812C86" w:rsidRDefault="00812C86" w:rsidP="00E53B4D">
      <w:pPr>
        <w:rPr>
          <w:sz w:val="20"/>
          <w:szCs w:val="20"/>
        </w:rPr>
      </w:pPr>
      <w:r>
        <w:rPr>
          <w:sz w:val="20"/>
          <w:szCs w:val="20"/>
        </w:rPr>
        <w:t>In that sense it’s transparent that the Objectives have been developed collaboratively.</w:t>
      </w:r>
    </w:p>
    <w:p w14:paraId="74355D89" w14:textId="6510A06E" w:rsidR="00812C86" w:rsidRDefault="00812C86" w:rsidP="00E53B4D">
      <w:pPr>
        <w:rPr>
          <w:sz w:val="20"/>
          <w:szCs w:val="20"/>
        </w:rPr>
      </w:pPr>
      <w:r>
        <w:rPr>
          <w:sz w:val="20"/>
          <w:szCs w:val="20"/>
        </w:rPr>
        <w:t>The needs of the client are further informed by the professionalism of the adviser.</w:t>
      </w:r>
    </w:p>
    <w:p w14:paraId="49E77F64" w14:textId="510EFA97" w:rsidR="00E42598" w:rsidRDefault="00E42598" w:rsidP="00E53B4D">
      <w:pPr>
        <w:rPr>
          <w:sz w:val="20"/>
          <w:szCs w:val="20"/>
        </w:rPr>
      </w:pPr>
    </w:p>
    <w:p w14:paraId="61942595" w14:textId="6500FC8C" w:rsidR="00E42598" w:rsidRPr="005662CC" w:rsidRDefault="00E42598" w:rsidP="00E42598">
      <w:pPr>
        <w:rPr>
          <w:sz w:val="20"/>
          <w:szCs w:val="20"/>
        </w:rPr>
      </w:pPr>
      <w:r w:rsidRPr="005662CC">
        <w:rPr>
          <w:sz w:val="20"/>
          <w:szCs w:val="20"/>
        </w:rPr>
        <w:t xml:space="preserve">There is flexibility allowed in the way the objectives are </w:t>
      </w:r>
      <w:r>
        <w:rPr>
          <w:sz w:val="20"/>
          <w:szCs w:val="20"/>
        </w:rPr>
        <w:t>formatted but the essential elements are that they should be clear &amp; specific</w:t>
      </w:r>
      <w:r w:rsidR="0063137D">
        <w:rPr>
          <w:sz w:val="20"/>
          <w:szCs w:val="20"/>
        </w:rPr>
        <w:t>; an unambiguous statement of a problem requiring a recommendation.</w:t>
      </w:r>
    </w:p>
    <w:p w14:paraId="77537203" w14:textId="20B03CA3" w:rsidR="00812C86" w:rsidRDefault="00812C86" w:rsidP="00E53B4D">
      <w:pPr>
        <w:rPr>
          <w:sz w:val="20"/>
          <w:szCs w:val="20"/>
        </w:rPr>
      </w:pPr>
    </w:p>
    <w:p w14:paraId="2412F097" w14:textId="3C87792E" w:rsidR="00812C86" w:rsidRPr="005662CC" w:rsidRDefault="00E42598" w:rsidP="00E53B4D">
      <w:pPr>
        <w:rPr>
          <w:sz w:val="20"/>
          <w:szCs w:val="20"/>
        </w:rPr>
      </w:pPr>
      <w:r>
        <w:rPr>
          <w:sz w:val="20"/>
          <w:szCs w:val="20"/>
        </w:rPr>
        <w:t>For example:</w:t>
      </w:r>
    </w:p>
    <w:p w14:paraId="6B0B176C" w14:textId="422B8B98" w:rsidR="00305887" w:rsidRDefault="00305887" w:rsidP="00305887">
      <w:pPr>
        <w:pStyle w:val="ListParagraph"/>
        <w:numPr>
          <w:ilvl w:val="0"/>
          <w:numId w:val="9"/>
        </w:numPr>
        <w:rPr>
          <w:sz w:val="20"/>
          <w:szCs w:val="20"/>
        </w:rPr>
      </w:pPr>
      <w:r w:rsidRPr="005662CC">
        <w:rPr>
          <w:sz w:val="20"/>
          <w:szCs w:val="20"/>
        </w:rPr>
        <w:t>You</w:t>
      </w:r>
      <w:r w:rsidR="00E42598">
        <w:rPr>
          <w:sz w:val="20"/>
          <w:szCs w:val="20"/>
        </w:rPr>
        <w:t xml:space="preserve"> </w:t>
      </w:r>
      <w:r w:rsidRPr="005662CC">
        <w:rPr>
          <w:sz w:val="20"/>
          <w:szCs w:val="20"/>
        </w:rPr>
        <w:t xml:space="preserve">require $2,750 per month </w:t>
      </w:r>
      <w:r w:rsidR="00E42598">
        <w:rPr>
          <w:sz w:val="20"/>
          <w:szCs w:val="20"/>
        </w:rPr>
        <w:t>(</w:t>
      </w:r>
      <w:r w:rsidRPr="005662CC">
        <w:rPr>
          <w:sz w:val="20"/>
          <w:szCs w:val="20"/>
        </w:rPr>
        <w:t>after-tax</w:t>
      </w:r>
      <w:r w:rsidR="00E42598">
        <w:rPr>
          <w:sz w:val="20"/>
          <w:szCs w:val="20"/>
        </w:rPr>
        <w:t xml:space="preserve">) </w:t>
      </w:r>
      <w:r w:rsidRPr="005662CC">
        <w:rPr>
          <w:sz w:val="20"/>
          <w:szCs w:val="20"/>
        </w:rPr>
        <w:t>for your spouse &amp; family if you died today.</w:t>
      </w:r>
    </w:p>
    <w:p w14:paraId="1B971B7D" w14:textId="54A8AA00" w:rsidR="00D95551" w:rsidRDefault="00D95551" w:rsidP="00305887">
      <w:pPr>
        <w:pStyle w:val="ListParagraph"/>
        <w:numPr>
          <w:ilvl w:val="0"/>
          <w:numId w:val="9"/>
        </w:numPr>
        <w:rPr>
          <w:sz w:val="20"/>
          <w:szCs w:val="20"/>
        </w:rPr>
      </w:pPr>
      <w:r>
        <w:rPr>
          <w:sz w:val="20"/>
          <w:szCs w:val="20"/>
        </w:rPr>
        <w:t xml:space="preserve">In the event of you dying ‘today’, you need $500,000 to discharge the mortgage. </w:t>
      </w:r>
    </w:p>
    <w:p w14:paraId="658E9804" w14:textId="0657BB0F" w:rsidR="00D95551" w:rsidRPr="005662CC" w:rsidRDefault="00D95551" w:rsidP="00305887">
      <w:pPr>
        <w:pStyle w:val="ListParagraph"/>
        <w:numPr>
          <w:ilvl w:val="0"/>
          <w:numId w:val="9"/>
        </w:numPr>
        <w:rPr>
          <w:sz w:val="20"/>
          <w:szCs w:val="20"/>
        </w:rPr>
      </w:pPr>
      <w:r>
        <w:rPr>
          <w:sz w:val="20"/>
          <w:szCs w:val="20"/>
        </w:rPr>
        <w:t>In the event of your premature death, you estimate $300,000 would be needed for the secondary education of your two children.</w:t>
      </w:r>
    </w:p>
    <w:p w14:paraId="238E6845" w14:textId="24F9A6C7" w:rsidR="00305887" w:rsidRPr="005662CC" w:rsidRDefault="00305887" w:rsidP="00305887">
      <w:pPr>
        <w:pStyle w:val="ListParagraph"/>
        <w:numPr>
          <w:ilvl w:val="0"/>
          <w:numId w:val="9"/>
        </w:numPr>
        <w:rPr>
          <w:sz w:val="20"/>
          <w:szCs w:val="20"/>
        </w:rPr>
      </w:pPr>
      <w:r w:rsidRPr="005662CC">
        <w:rPr>
          <w:sz w:val="20"/>
          <w:szCs w:val="20"/>
        </w:rPr>
        <w:t>You are unsure of what persona</w:t>
      </w:r>
      <w:r w:rsidR="005E1D1C" w:rsidRPr="005662CC">
        <w:rPr>
          <w:sz w:val="20"/>
          <w:szCs w:val="20"/>
        </w:rPr>
        <w:t>l insurances you own and whether they would</w:t>
      </w:r>
      <w:r w:rsidRPr="005662CC">
        <w:rPr>
          <w:sz w:val="20"/>
          <w:szCs w:val="20"/>
        </w:rPr>
        <w:t xml:space="preserve"> meet your family’s future needs</w:t>
      </w:r>
      <w:r w:rsidR="005E1D1C" w:rsidRPr="005662CC">
        <w:rPr>
          <w:sz w:val="20"/>
          <w:szCs w:val="20"/>
        </w:rPr>
        <w:t xml:space="preserve"> if you died </w:t>
      </w:r>
      <w:r w:rsidR="00D95551">
        <w:rPr>
          <w:sz w:val="20"/>
          <w:szCs w:val="20"/>
        </w:rPr>
        <w:t>or were permanently disabled</w:t>
      </w:r>
      <w:r w:rsidR="005E1D1C" w:rsidRPr="005662CC">
        <w:rPr>
          <w:sz w:val="20"/>
          <w:szCs w:val="20"/>
        </w:rPr>
        <w:t>.</w:t>
      </w:r>
      <w:r w:rsidR="00E42598">
        <w:rPr>
          <w:sz w:val="20"/>
          <w:szCs w:val="20"/>
        </w:rPr>
        <w:t xml:space="preserve"> You require that pre-existing insurances be identified and an analysis undertaken of the benefit amounts required.</w:t>
      </w:r>
    </w:p>
    <w:p w14:paraId="2942F769" w14:textId="3A1C4A40" w:rsidR="00305887" w:rsidRPr="005662CC" w:rsidRDefault="00305887" w:rsidP="00305887">
      <w:pPr>
        <w:pStyle w:val="ListParagraph"/>
        <w:numPr>
          <w:ilvl w:val="0"/>
          <w:numId w:val="9"/>
        </w:numPr>
        <w:rPr>
          <w:sz w:val="20"/>
          <w:szCs w:val="20"/>
        </w:rPr>
      </w:pPr>
      <w:r w:rsidRPr="005662CC">
        <w:rPr>
          <w:sz w:val="20"/>
          <w:szCs w:val="20"/>
        </w:rPr>
        <w:t>You would like your spouse to be insured</w:t>
      </w:r>
      <w:r w:rsidR="004C7B30">
        <w:rPr>
          <w:sz w:val="20"/>
          <w:szCs w:val="20"/>
        </w:rPr>
        <w:t xml:space="preserve"> for the same amounts of death ($750,000) &amp; disability cover ($800,000) you currently own</w:t>
      </w:r>
      <w:r w:rsidRPr="005662CC">
        <w:rPr>
          <w:sz w:val="20"/>
          <w:szCs w:val="20"/>
        </w:rPr>
        <w:t xml:space="preserve"> </w:t>
      </w:r>
      <w:r w:rsidR="003157CF">
        <w:rPr>
          <w:sz w:val="20"/>
          <w:szCs w:val="20"/>
        </w:rPr>
        <w:t xml:space="preserve">but you require </w:t>
      </w:r>
      <w:r w:rsidR="004C7B30">
        <w:rPr>
          <w:sz w:val="20"/>
          <w:szCs w:val="20"/>
        </w:rPr>
        <w:t>a calculation</w:t>
      </w:r>
      <w:r w:rsidR="003157CF">
        <w:rPr>
          <w:sz w:val="20"/>
          <w:szCs w:val="20"/>
        </w:rPr>
        <w:t xml:space="preserve"> that you can</w:t>
      </w:r>
      <w:r w:rsidRPr="005662CC">
        <w:rPr>
          <w:sz w:val="20"/>
          <w:szCs w:val="20"/>
        </w:rPr>
        <w:t xml:space="preserve"> afford to do so.</w:t>
      </w:r>
    </w:p>
    <w:p w14:paraId="091A308B" w14:textId="77777777" w:rsidR="007940E1" w:rsidRPr="005662CC" w:rsidRDefault="007940E1" w:rsidP="007940E1">
      <w:pPr>
        <w:pStyle w:val="ListParagraph"/>
        <w:rPr>
          <w:sz w:val="20"/>
          <w:szCs w:val="20"/>
        </w:rPr>
      </w:pPr>
    </w:p>
    <w:p w14:paraId="3082D3D0" w14:textId="6ABDC067" w:rsidR="007940E1" w:rsidRPr="005662CC" w:rsidRDefault="007940E1" w:rsidP="00E53B4D">
      <w:pPr>
        <w:rPr>
          <w:sz w:val="20"/>
          <w:szCs w:val="20"/>
        </w:rPr>
      </w:pPr>
      <w:r w:rsidRPr="005662CC">
        <w:rPr>
          <w:sz w:val="20"/>
          <w:szCs w:val="20"/>
        </w:rPr>
        <w:t>However, they should not be unrelated to the matters addressed in the Scope.</w:t>
      </w:r>
      <w:r w:rsidR="00A57B2C">
        <w:rPr>
          <w:sz w:val="20"/>
          <w:szCs w:val="20"/>
        </w:rPr>
        <w:t xml:space="preserve"> Objectives should not introduce brand new considerations </w:t>
      </w:r>
      <w:r w:rsidR="004C7B30">
        <w:rPr>
          <w:sz w:val="20"/>
          <w:szCs w:val="20"/>
        </w:rPr>
        <w:t xml:space="preserve">that </w:t>
      </w:r>
      <w:r w:rsidR="00A57B2C">
        <w:rPr>
          <w:sz w:val="20"/>
          <w:szCs w:val="20"/>
        </w:rPr>
        <w:t>have not been foreshadowed in the Scope.</w:t>
      </w:r>
    </w:p>
    <w:p w14:paraId="1C931A60" w14:textId="77777777" w:rsidR="007940E1" w:rsidRPr="005662CC" w:rsidRDefault="007940E1" w:rsidP="00E53B4D">
      <w:pPr>
        <w:rPr>
          <w:sz w:val="20"/>
          <w:szCs w:val="20"/>
        </w:rPr>
      </w:pPr>
      <w:r w:rsidRPr="005662CC">
        <w:rPr>
          <w:sz w:val="20"/>
          <w:szCs w:val="20"/>
        </w:rPr>
        <w:t xml:space="preserve">For example, </w:t>
      </w:r>
    </w:p>
    <w:p w14:paraId="5267A473" w14:textId="2B10AF2B" w:rsidR="007940E1" w:rsidRPr="005662CC" w:rsidRDefault="007940E1" w:rsidP="007940E1">
      <w:pPr>
        <w:pStyle w:val="ListParagraph"/>
        <w:numPr>
          <w:ilvl w:val="0"/>
          <w:numId w:val="18"/>
        </w:numPr>
        <w:rPr>
          <w:sz w:val="20"/>
          <w:szCs w:val="20"/>
        </w:rPr>
      </w:pPr>
      <w:r w:rsidRPr="005662CC">
        <w:rPr>
          <w:sz w:val="20"/>
          <w:szCs w:val="20"/>
        </w:rPr>
        <w:t xml:space="preserve">the </w:t>
      </w:r>
      <w:r w:rsidR="006769BA">
        <w:rPr>
          <w:sz w:val="20"/>
          <w:szCs w:val="20"/>
        </w:rPr>
        <w:t xml:space="preserve">Agreed </w:t>
      </w:r>
      <w:r w:rsidRPr="005662CC">
        <w:rPr>
          <w:sz w:val="20"/>
          <w:szCs w:val="20"/>
        </w:rPr>
        <w:t xml:space="preserve">Scope only </w:t>
      </w:r>
      <w:r w:rsidR="006769BA">
        <w:rPr>
          <w:sz w:val="20"/>
          <w:szCs w:val="20"/>
        </w:rPr>
        <w:t xml:space="preserve">mentioned </w:t>
      </w:r>
      <w:r w:rsidR="00A57B2C">
        <w:rPr>
          <w:sz w:val="20"/>
          <w:szCs w:val="20"/>
        </w:rPr>
        <w:t>S</w:t>
      </w:r>
      <w:r w:rsidRPr="005662CC">
        <w:rPr>
          <w:sz w:val="20"/>
          <w:szCs w:val="20"/>
        </w:rPr>
        <w:t>uperannuation</w:t>
      </w:r>
      <w:r w:rsidR="006769BA">
        <w:rPr>
          <w:sz w:val="20"/>
          <w:szCs w:val="20"/>
        </w:rPr>
        <w:t xml:space="preserve"> (say).</w:t>
      </w:r>
      <w:r w:rsidRPr="005662CC">
        <w:rPr>
          <w:sz w:val="20"/>
          <w:szCs w:val="20"/>
        </w:rPr>
        <w:t xml:space="preserve"> </w:t>
      </w:r>
    </w:p>
    <w:p w14:paraId="6D1CA5DE" w14:textId="4A412F40" w:rsidR="007940E1" w:rsidRPr="005662CC" w:rsidRDefault="007940E1" w:rsidP="007940E1">
      <w:pPr>
        <w:pStyle w:val="ListParagraph"/>
        <w:numPr>
          <w:ilvl w:val="0"/>
          <w:numId w:val="18"/>
        </w:numPr>
        <w:rPr>
          <w:sz w:val="20"/>
          <w:szCs w:val="20"/>
        </w:rPr>
      </w:pPr>
      <w:r w:rsidRPr="005662CC">
        <w:rPr>
          <w:sz w:val="20"/>
          <w:szCs w:val="20"/>
        </w:rPr>
        <w:t xml:space="preserve">but the </w:t>
      </w:r>
      <w:r w:rsidR="0063137D">
        <w:rPr>
          <w:sz w:val="20"/>
          <w:szCs w:val="20"/>
        </w:rPr>
        <w:t xml:space="preserve">Financial </w:t>
      </w:r>
      <w:r w:rsidRPr="005662CC">
        <w:rPr>
          <w:sz w:val="20"/>
          <w:szCs w:val="20"/>
        </w:rPr>
        <w:t xml:space="preserve">Objectives </w:t>
      </w:r>
      <w:r w:rsidR="0063137D">
        <w:rPr>
          <w:sz w:val="20"/>
          <w:szCs w:val="20"/>
        </w:rPr>
        <w:t xml:space="preserve">section </w:t>
      </w:r>
      <w:r w:rsidRPr="005662CC">
        <w:rPr>
          <w:sz w:val="20"/>
          <w:szCs w:val="20"/>
        </w:rPr>
        <w:t>introduced downsiz</w:t>
      </w:r>
      <w:r w:rsidR="006769BA">
        <w:rPr>
          <w:sz w:val="20"/>
          <w:szCs w:val="20"/>
        </w:rPr>
        <w:t>ing</w:t>
      </w:r>
      <w:r w:rsidRPr="005662CC">
        <w:rPr>
          <w:sz w:val="20"/>
          <w:szCs w:val="20"/>
        </w:rPr>
        <w:t xml:space="preserve"> the current home (say).</w:t>
      </w:r>
    </w:p>
    <w:p w14:paraId="6DD47622" w14:textId="238768EE" w:rsidR="00F71A2A" w:rsidRPr="000A469A" w:rsidRDefault="00F71A2A" w:rsidP="000A469A">
      <w:pPr>
        <w:pStyle w:val="Heading2"/>
        <w:rPr>
          <w:rFonts w:eastAsia="Times New Roman"/>
          <w:b/>
          <w:sz w:val="28"/>
          <w:szCs w:val="28"/>
        </w:rPr>
      </w:pPr>
      <w:bookmarkStart w:id="10" w:name="_Toc36642363"/>
      <w:r w:rsidRPr="000A469A">
        <w:rPr>
          <w:rFonts w:eastAsia="Times New Roman"/>
          <w:b/>
          <w:sz w:val="28"/>
          <w:szCs w:val="28"/>
        </w:rPr>
        <w:lastRenderedPageBreak/>
        <w:t>Relevant Personal Information</w:t>
      </w:r>
      <w:bookmarkEnd w:id="10"/>
    </w:p>
    <w:p w14:paraId="43B0B165" w14:textId="77777777" w:rsidR="003755E5" w:rsidRDefault="003755E5" w:rsidP="00461FC0"/>
    <w:p w14:paraId="17A124CE" w14:textId="1BC2CE1C" w:rsidR="00773F59" w:rsidRPr="00F9070A" w:rsidRDefault="00773F59" w:rsidP="00773F59">
      <w:pPr>
        <w:rPr>
          <w:sz w:val="20"/>
          <w:szCs w:val="20"/>
        </w:rPr>
      </w:pPr>
      <w:r w:rsidRPr="00F9070A">
        <w:rPr>
          <w:sz w:val="20"/>
          <w:szCs w:val="20"/>
        </w:rPr>
        <w:t xml:space="preserve">Key information from the Fact Find, that is immediately </w:t>
      </w:r>
      <w:r w:rsidR="00945409">
        <w:rPr>
          <w:sz w:val="20"/>
          <w:szCs w:val="20"/>
        </w:rPr>
        <w:t>‘</w:t>
      </w:r>
      <w:r w:rsidRPr="00F9070A">
        <w:rPr>
          <w:sz w:val="20"/>
          <w:szCs w:val="20"/>
        </w:rPr>
        <w:t>relevant</w:t>
      </w:r>
      <w:r w:rsidR="00945409">
        <w:rPr>
          <w:sz w:val="20"/>
          <w:szCs w:val="20"/>
        </w:rPr>
        <w:t>’</w:t>
      </w:r>
      <w:r w:rsidRPr="00F9070A">
        <w:rPr>
          <w:sz w:val="20"/>
          <w:szCs w:val="20"/>
        </w:rPr>
        <w:t xml:space="preserve"> to the Recommendations, should be brought forward from the </w:t>
      </w:r>
      <w:proofErr w:type="spellStart"/>
      <w:r>
        <w:rPr>
          <w:sz w:val="20"/>
          <w:szCs w:val="20"/>
        </w:rPr>
        <w:t>SoA</w:t>
      </w:r>
      <w:proofErr w:type="spellEnd"/>
      <w:r>
        <w:rPr>
          <w:sz w:val="20"/>
          <w:szCs w:val="20"/>
        </w:rPr>
        <w:t xml:space="preserve"> </w:t>
      </w:r>
      <w:r w:rsidRPr="00F9070A">
        <w:rPr>
          <w:sz w:val="20"/>
          <w:szCs w:val="20"/>
        </w:rPr>
        <w:t>Appendix and pr</w:t>
      </w:r>
      <w:r>
        <w:rPr>
          <w:sz w:val="20"/>
          <w:szCs w:val="20"/>
        </w:rPr>
        <w:t xml:space="preserve">ecede the recommendations. The information then sets </w:t>
      </w:r>
      <w:r w:rsidRPr="00F9070A">
        <w:rPr>
          <w:sz w:val="20"/>
          <w:szCs w:val="20"/>
        </w:rPr>
        <w:t xml:space="preserve">the immediate context for the </w:t>
      </w:r>
      <w:r>
        <w:rPr>
          <w:sz w:val="20"/>
          <w:szCs w:val="20"/>
        </w:rPr>
        <w:t xml:space="preserve">advice </w:t>
      </w:r>
      <w:r w:rsidRPr="00F9070A">
        <w:rPr>
          <w:sz w:val="20"/>
          <w:szCs w:val="20"/>
        </w:rPr>
        <w:t xml:space="preserve">that </w:t>
      </w:r>
      <w:r>
        <w:rPr>
          <w:sz w:val="20"/>
          <w:szCs w:val="20"/>
        </w:rPr>
        <w:t xml:space="preserve">will </w:t>
      </w:r>
      <w:r w:rsidRPr="00F9070A">
        <w:rPr>
          <w:sz w:val="20"/>
          <w:szCs w:val="20"/>
        </w:rPr>
        <w:t>follow.</w:t>
      </w:r>
    </w:p>
    <w:p w14:paraId="1C0DAD82" w14:textId="77777777" w:rsidR="00773F59" w:rsidRDefault="00773F59" w:rsidP="00773F59">
      <w:pPr>
        <w:pStyle w:val="Default"/>
        <w:rPr>
          <w:sz w:val="22"/>
          <w:szCs w:val="22"/>
        </w:rPr>
      </w:pPr>
    </w:p>
    <w:p w14:paraId="53C61051" w14:textId="764C4B89" w:rsidR="00773F59" w:rsidRDefault="00773F59" w:rsidP="00773F59">
      <w:pPr>
        <w:rPr>
          <w:sz w:val="20"/>
          <w:szCs w:val="20"/>
        </w:rPr>
      </w:pPr>
      <w:r w:rsidRPr="005E3E58">
        <w:rPr>
          <w:sz w:val="20"/>
          <w:szCs w:val="20"/>
        </w:rPr>
        <w:t xml:space="preserve">For example, superannuation </w:t>
      </w:r>
      <w:r w:rsidR="00FD208B">
        <w:rPr>
          <w:sz w:val="20"/>
          <w:szCs w:val="20"/>
        </w:rPr>
        <w:t>‘</w:t>
      </w:r>
      <w:r w:rsidRPr="005E3E58">
        <w:rPr>
          <w:sz w:val="20"/>
          <w:szCs w:val="20"/>
        </w:rPr>
        <w:t>pension</w:t>
      </w:r>
      <w:r w:rsidR="00FD208B">
        <w:rPr>
          <w:sz w:val="20"/>
          <w:szCs w:val="20"/>
        </w:rPr>
        <w:t>’</w:t>
      </w:r>
      <w:r w:rsidRPr="005E3E58">
        <w:rPr>
          <w:sz w:val="20"/>
          <w:szCs w:val="20"/>
        </w:rPr>
        <w:t xml:space="preserve"> advice should </w:t>
      </w:r>
      <w:r w:rsidRPr="00FD208B">
        <w:rPr>
          <w:sz w:val="20"/>
          <w:szCs w:val="20"/>
          <w:u w:val="single"/>
        </w:rPr>
        <w:t>at least</w:t>
      </w:r>
      <w:r>
        <w:rPr>
          <w:sz w:val="20"/>
          <w:szCs w:val="20"/>
        </w:rPr>
        <w:t xml:space="preserve"> </w:t>
      </w:r>
      <w:r w:rsidRPr="005E3E58">
        <w:rPr>
          <w:sz w:val="20"/>
          <w:szCs w:val="20"/>
        </w:rPr>
        <w:t xml:space="preserve">be preceded by the current </w:t>
      </w:r>
      <w:r w:rsidR="00FD208B">
        <w:rPr>
          <w:sz w:val="20"/>
          <w:szCs w:val="20"/>
        </w:rPr>
        <w:t>‘</w:t>
      </w:r>
      <w:r w:rsidRPr="005E3E58">
        <w:rPr>
          <w:sz w:val="20"/>
          <w:szCs w:val="20"/>
        </w:rPr>
        <w:t>net cashflow</w:t>
      </w:r>
      <w:r w:rsidR="00FD208B">
        <w:rPr>
          <w:sz w:val="20"/>
          <w:szCs w:val="20"/>
        </w:rPr>
        <w:t>’</w:t>
      </w:r>
      <w:r w:rsidRPr="005E3E58">
        <w:rPr>
          <w:sz w:val="20"/>
          <w:szCs w:val="20"/>
        </w:rPr>
        <w:t xml:space="preserve"> position of the client. </w:t>
      </w:r>
    </w:p>
    <w:p w14:paraId="706CE730" w14:textId="71A1BB43" w:rsidR="00773F59" w:rsidRDefault="00773F59" w:rsidP="00773F59">
      <w:pPr>
        <w:rPr>
          <w:sz w:val="20"/>
          <w:szCs w:val="20"/>
        </w:rPr>
      </w:pPr>
      <w:r>
        <w:rPr>
          <w:sz w:val="20"/>
          <w:szCs w:val="20"/>
        </w:rPr>
        <w:t xml:space="preserve">For example, </w:t>
      </w:r>
      <w:r w:rsidR="00FD208B">
        <w:rPr>
          <w:sz w:val="20"/>
          <w:szCs w:val="20"/>
        </w:rPr>
        <w:t>‘</w:t>
      </w:r>
      <w:r>
        <w:rPr>
          <w:sz w:val="20"/>
          <w:szCs w:val="20"/>
        </w:rPr>
        <w:t>investment</w:t>
      </w:r>
      <w:r w:rsidR="00FD208B">
        <w:rPr>
          <w:sz w:val="20"/>
          <w:szCs w:val="20"/>
        </w:rPr>
        <w:t>’</w:t>
      </w:r>
      <w:r>
        <w:rPr>
          <w:sz w:val="20"/>
          <w:szCs w:val="20"/>
        </w:rPr>
        <w:t xml:space="preserve"> advice </w:t>
      </w:r>
      <w:r w:rsidRPr="005E3E58">
        <w:rPr>
          <w:sz w:val="20"/>
          <w:szCs w:val="20"/>
        </w:rPr>
        <w:t xml:space="preserve">should </w:t>
      </w:r>
      <w:r w:rsidRPr="00FD208B">
        <w:rPr>
          <w:sz w:val="20"/>
          <w:szCs w:val="20"/>
          <w:u w:val="single"/>
        </w:rPr>
        <w:t>at least</w:t>
      </w:r>
      <w:r>
        <w:rPr>
          <w:sz w:val="20"/>
          <w:szCs w:val="20"/>
        </w:rPr>
        <w:t xml:space="preserve"> </w:t>
      </w:r>
      <w:r w:rsidRPr="005E3E58">
        <w:rPr>
          <w:sz w:val="20"/>
          <w:szCs w:val="20"/>
        </w:rPr>
        <w:t>be preceded by the current</w:t>
      </w:r>
      <w:r>
        <w:rPr>
          <w:sz w:val="20"/>
          <w:szCs w:val="20"/>
        </w:rPr>
        <w:t xml:space="preserve"> </w:t>
      </w:r>
      <w:r w:rsidR="00FD208B">
        <w:rPr>
          <w:sz w:val="20"/>
          <w:szCs w:val="20"/>
        </w:rPr>
        <w:t>‘</w:t>
      </w:r>
      <w:r>
        <w:rPr>
          <w:sz w:val="20"/>
          <w:szCs w:val="20"/>
        </w:rPr>
        <w:t>net investment asset</w:t>
      </w:r>
      <w:r w:rsidR="00FD208B">
        <w:rPr>
          <w:sz w:val="20"/>
          <w:szCs w:val="20"/>
        </w:rPr>
        <w:t xml:space="preserve"> values</w:t>
      </w:r>
      <w:r w:rsidR="00945409">
        <w:rPr>
          <w:sz w:val="20"/>
          <w:szCs w:val="20"/>
        </w:rPr>
        <w:t>’</w:t>
      </w:r>
      <w:r w:rsidRPr="005E3E58">
        <w:rPr>
          <w:sz w:val="20"/>
          <w:szCs w:val="20"/>
        </w:rPr>
        <w:t xml:space="preserve">. </w:t>
      </w:r>
    </w:p>
    <w:p w14:paraId="1CEE0EA1" w14:textId="77777777" w:rsidR="00773F59" w:rsidRDefault="00773F59" w:rsidP="00773F59">
      <w:pPr>
        <w:rPr>
          <w:sz w:val="20"/>
          <w:szCs w:val="20"/>
        </w:rPr>
      </w:pPr>
    </w:p>
    <w:p w14:paraId="73B4096E" w14:textId="77777777" w:rsidR="00773F59" w:rsidRPr="005E3E58" w:rsidRDefault="00773F59" w:rsidP="00773F59">
      <w:pPr>
        <w:rPr>
          <w:sz w:val="20"/>
          <w:szCs w:val="20"/>
        </w:rPr>
      </w:pPr>
      <w:r>
        <w:rPr>
          <w:sz w:val="20"/>
          <w:szCs w:val="20"/>
        </w:rPr>
        <w:t>This will aid the clarity of the advice.</w:t>
      </w:r>
    </w:p>
    <w:p w14:paraId="682FD3F1" w14:textId="6499E0E4" w:rsidR="009F5CD7" w:rsidRDefault="009F5CD7" w:rsidP="009F5CD7">
      <w:pPr>
        <w:rPr>
          <w:sz w:val="20"/>
          <w:szCs w:val="20"/>
        </w:rPr>
      </w:pPr>
    </w:p>
    <w:p w14:paraId="7E5565DD" w14:textId="4AA07E8F" w:rsidR="00945409" w:rsidRDefault="00945409" w:rsidP="009F5CD7">
      <w:pPr>
        <w:rPr>
          <w:sz w:val="20"/>
          <w:szCs w:val="20"/>
        </w:rPr>
      </w:pPr>
      <w:r>
        <w:rPr>
          <w:sz w:val="20"/>
          <w:szCs w:val="20"/>
        </w:rPr>
        <w:t xml:space="preserve">Typically, Name/DOB/Employment status are always sufficiently ‘relevant’ to be brought forward into this section of the </w:t>
      </w:r>
      <w:proofErr w:type="spellStart"/>
      <w:r>
        <w:rPr>
          <w:sz w:val="20"/>
          <w:szCs w:val="20"/>
        </w:rPr>
        <w:t>SoA</w:t>
      </w:r>
      <w:proofErr w:type="spellEnd"/>
      <w:r>
        <w:rPr>
          <w:sz w:val="20"/>
          <w:szCs w:val="20"/>
        </w:rPr>
        <w:t>.</w:t>
      </w:r>
    </w:p>
    <w:p w14:paraId="692E7489" w14:textId="77777777" w:rsidR="00945409" w:rsidRPr="009F5CD7" w:rsidRDefault="00945409" w:rsidP="009F5CD7">
      <w:pPr>
        <w:rPr>
          <w:sz w:val="20"/>
          <w:szCs w:val="20"/>
        </w:rPr>
      </w:pPr>
    </w:p>
    <w:p w14:paraId="21A405DA" w14:textId="51BFD998" w:rsidR="00F71A2A" w:rsidRPr="009F5CD7" w:rsidRDefault="00F71A2A" w:rsidP="009F5CD7">
      <w:pPr>
        <w:rPr>
          <w:sz w:val="20"/>
          <w:szCs w:val="20"/>
        </w:rPr>
      </w:pPr>
      <w:r w:rsidRPr="009F5CD7">
        <w:rPr>
          <w:sz w:val="20"/>
          <w:szCs w:val="20"/>
        </w:rPr>
        <w:t xml:space="preserve">At the end of the “Relevant Personal Information” section, choose which of the warnings is appropriate, either: </w:t>
      </w:r>
    </w:p>
    <w:p w14:paraId="2C814853" w14:textId="73BB4FBE" w:rsidR="00F71A2A" w:rsidRPr="009F5CD7" w:rsidRDefault="00F71A2A" w:rsidP="009F5CD7">
      <w:pPr>
        <w:rPr>
          <w:sz w:val="20"/>
          <w:szCs w:val="20"/>
        </w:rPr>
      </w:pPr>
      <w:r w:rsidRPr="009F5CD7">
        <w:rPr>
          <w:sz w:val="20"/>
          <w:szCs w:val="20"/>
        </w:rPr>
        <w:tab/>
        <w:t xml:space="preserve">Option 1 - a general warning where we have the relevant information on the file; </w:t>
      </w:r>
    </w:p>
    <w:p w14:paraId="76C0609B" w14:textId="04245184" w:rsidR="00F71A2A" w:rsidRPr="009F5CD7" w:rsidRDefault="00F71A2A" w:rsidP="009F5CD7">
      <w:pPr>
        <w:rPr>
          <w:sz w:val="20"/>
          <w:szCs w:val="20"/>
        </w:rPr>
      </w:pPr>
      <w:r w:rsidRPr="009F5CD7">
        <w:rPr>
          <w:sz w:val="20"/>
          <w:szCs w:val="20"/>
        </w:rPr>
        <w:tab/>
      </w:r>
      <w:r w:rsidR="00656F68">
        <w:rPr>
          <w:sz w:val="20"/>
          <w:szCs w:val="20"/>
        </w:rPr>
        <w:tab/>
      </w:r>
      <w:r w:rsidRPr="009F5CD7">
        <w:rPr>
          <w:sz w:val="20"/>
          <w:szCs w:val="20"/>
        </w:rPr>
        <w:t xml:space="preserve">or </w:t>
      </w:r>
    </w:p>
    <w:p w14:paraId="4D470CF3" w14:textId="5A1C49C9" w:rsidR="00F71A2A" w:rsidRPr="009F5CD7" w:rsidRDefault="00F71A2A" w:rsidP="009F5CD7">
      <w:pPr>
        <w:rPr>
          <w:sz w:val="20"/>
          <w:szCs w:val="20"/>
        </w:rPr>
      </w:pPr>
      <w:r w:rsidRPr="009F5CD7">
        <w:rPr>
          <w:sz w:val="20"/>
          <w:szCs w:val="20"/>
        </w:rPr>
        <w:tab/>
        <w:t xml:space="preserve">Option 2 - where the client declines to provide the information or has provided information </w:t>
      </w:r>
      <w:r w:rsidR="005E57A4" w:rsidRPr="009F5CD7">
        <w:rPr>
          <w:sz w:val="20"/>
          <w:szCs w:val="20"/>
        </w:rPr>
        <w:tab/>
      </w:r>
      <w:r w:rsidR="005E57A4" w:rsidRPr="009F5CD7">
        <w:rPr>
          <w:sz w:val="20"/>
          <w:szCs w:val="20"/>
        </w:rPr>
        <w:tab/>
      </w:r>
      <w:r w:rsidRPr="009F5CD7">
        <w:rPr>
          <w:sz w:val="20"/>
          <w:szCs w:val="20"/>
        </w:rPr>
        <w:t xml:space="preserve">that you believe is inaccurate. </w:t>
      </w:r>
    </w:p>
    <w:p w14:paraId="0B843F7D" w14:textId="77777777" w:rsidR="00F71A2A" w:rsidRPr="009F5CD7" w:rsidRDefault="00F71A2A" w:rsidP="009F5CD7">
      <w:pPr>
        <w:rPr>
          <w:sz w:val="20"/>
          <w:szCs w:val="20"/>
        </w:rPr>
      </w:pPr>
    </w:p>
    <w:p w14:paraId="7D57440E" w14:textId="1302B38E" w:rsidR="00656F68" w:rsidRPr="00F9070A" w:rsidRDefault="00656F68" w:rsidP="00656F68">
      <w:pPr>
        <w:pStyle w:val="Default"/>
        <w:rPr>
          <w:b/>
          <w:bCs/>
          <w:sz w:val="20"/>
          <w:szCs w:val="20"/>
        </w:rPr>
      </w:pPr>
      <w:r w:rsidRPr="00F9070A">
        <w:rPr>
          <w:b/>
          <w:bCs/>
          <w:sz w:val="20"/>
          <w:szCs w:val="20"/>
        </w:rPr>
        <w:t xml:space="preserve">The warning </w:t>
      </w:r>
      <w:r>
        <w:rPr>
          <w:b/>
          <w:bCs/>
          <w:sz w:val="20"/>
          <w:szCs w:val="20"/>
        </w:rPr>
        <w:t xml:space="preserve">essentially </w:t>
      </w:r>
      <w:r w:rsidRPr="00F9070A">
        <w:rPr>
          <w:b/>
          <w:bCs/>
          <w:sz w:val="20"/>
          <w:szCs w:val="20"/>
        </w:rPr>
        <w:t>says that the client should carefully review the facts for accuracy and completeness; otherwise the quality of the recommendations may be affected.</w:t>
      </w:r>
    </w:p>
    <w:p w14:paraId="20AF3A2B" w14:textId="77777777" w:rsidR="00656F68" w:rsidRDefault="00656F68" w:rsidP="009F5CD7">
      <w:pPr>
        <w:rPr>
          <w:sz w:val="20"/>
          <w:szCs w:val="20"/>
        </w:rPr>
      </w:pPr>
    </w:p>
    <w:p w14:paraId="6C9D8AC8" w14:textId="5FB43DAF" w:rsidR="00F71A2A" w:rsidRPr="009F5CD7" w:rsidRDefault="00F71A2A" w:rsidP="009F5CD7">
      <w:pPr>
        <w:rPr>
          <w:sz w:val="20"/>
          <w:szCs w:val="20"/>
        </w:rPr>
      </w:pPr>
      <w:r w:rsidRPr="009F5CD7">
        <w:rPr>
          <w:sz w:val="20"/>
          <w:szCs w:val="20"/>
        </w:rPr>
        <w:t xml:space="preserve">Note: Whilst the client can decline to provide information, the adviser is still required to make all reasonable enquiries. </w:t>
      </w:r>
    </w:p>
    <w:p w14:paraId="44522A1C" w14:textId="77777777" w:rsidR="00D76E2B" w:rsidRDefault="00D76E2B" w:rsidP="00461FC0">
      <w:pPr>
        <w:rPr>
          <w:rFonts w:eastAsia="Times New Roman"/>
          <w:b/>
          <w:sz w:val="28"/>
          <w:szCs w:val="28"/>
        </w:rPr>
      </w:pPr>
    </w:p>
    <w:p w14:paraId="7CBFBE5C" w14:textId="77777777" w:rsidR="00461FC0" w:rsidRDefault="00461FC0" w:rsidP="00FB2226">
      <w:pPr>
        <w:pStyle w:val="Heading2"/>
      </w:pPr>
      <w:bookmarkStart w:id="11" w:name="_Toc36642364"/>
      <w:r w:rsidRPr="00461FC0">
        <w:rPr>
          <w:rFonts w:eastAsia="Times New Roman"/>
          <w:b/>
          <w:sz w:val="28"/>
          <w:szCs w:val="28"/>
        </w:rPr>
        <w:t xml:space="preserve">Adding </w:t>
      </w:r>
      <w:r>
        <w:rPr>
          <w:rFonts w:eastAsia="Times New Roman"/>
          <w:b/>
          <w:sz w:val="28"/>
          <w:szCs w:val="28"/>
        </w:rPr>
        <w:t>“</w:t>
      </w:r>
      <w:r w:rsidRPr="00461FC0">
        <w:rPr>
          <w:rFonts w:eastAsia="Times New Roman"/>
          <w:b/>
          <w:sz w:val="28"/>
          <w:szCs w:val="28"/>
        </w:rPr>
        <w:t>Background Information</w:t>
      </w:r>
      <w:r>
        <w:rPr>
          <w:rFonts w:eastAsia="Times New Roman"/>
          <w:b/>
          <w:sz w:val="28"/>
          <w:szCs w:val="28"/>
        </w:rPr>
        <w:t>”</w:t>
      </w:r>
      <w:bookmarkEnd w:id="11"/>
    </w:p>
    <w:p w14:paraId="62F6C236" w14:textId="77777777" w:rsidR="00461FC0" w:rsidRDefault="00461FC0" w:rsidP="00461FC0"/>
    <w:p w14:paraId="2F8575F3" w14:textId="77777777" w:rsidR="00461FC0" w:rsidRPr="005662CC" w:rsidRDefault="00461FC0" w:rsidP="00461FC0">
      <w:pPr>
        <w:rPr>
          <w:sz w:val="20"/>
          <w:szCs w:val="20"/>
        </w:rPr>
      </w:pPr>
      <w:r w:rsidRPr="005662CC">
        <w:rPr>
          <w:sz w:val="20"/>
          <w:szCs w:val="20"/>
        </w:rPr>
        <w:t xml:space="preserve">Sometimes, it is desirable to recount the broad outline of client discussions. These might serve to provide a stronger context for the </w:t>
      </w:r>
      <w:proofErr w:type="spellStart"/>
      <w:r w:rsidRPr="005662CC">
        <w:rPr>
          <w:sz w:val="20"/>
          <w:szCs w:val="20"/>
        </w:rPr>
        <w:t>SoA</w:t>
      </w:r>
      <w:proofErr w:type="spellEnd"/>
      <w:r w:rsidRPr="005662CC">
        <w:rPr>
          <w:sz w:val="20"/>
          <w:szCs w:val="20"/>
        </w:rPr>
        <w:t xml:space="preserve"> </w:t>
      </w:r>
      <w:proofErr w:type="spellStart"/>
      <w:r w:rsidRPr="005662CC">
        <w:rPr>
          <w:sz w:val="20"/>
          <w:szCs w:val="20"/>
        </w:rPr>
        <w:t>ie</w:t>
      </w:r>
      <w:proofErr w:type="spellEnd"/>
      <w:r w:rsidRPr="005662CC">
        <w:rPr>
          <w:sz w:val="20"/>
          <w:szCs w:val="20"/>
        </w:rPr>
        <w:t>. what is included, what was not included … and why.</w:t>
      </w:r>
    </w:p>
    <w:p w14:paraId="2E0AA712" w14:textId="77777777" w:rsidR="00461FC0" w:rsidRPr="005662CC" w:rsidRDefault="00461FC0" w:rsidP="00461FC0">
      <w:pPr>
        <w:rPr>
          <w:sz w:val="20"/>
          <w:szCs w:val="20"/>
        </w:rPr>
      </w:pPr>
    </w:p>
    <w:p w14:paraId="69B8356D" w14:textId="77777777" w:rsidR="00461FC0" w:rsidRPr="005662CC" w:rsidRDefault="00461FC0" w:rsidP="00461FC0">
      <w:pPr>
        <w:rPr>
          <w:sz w:val="20"/>
          <w:szCs w:val="20"/>
        </w:rPr>
      </w:pPr>
      <w:r w:rsidRPr="005662CC">
        <w:rPr>
          <w:sz w:val="20"/>
          <w:szCs w:val="20"/>
        </w:rPr>
        <w:t>For example:</w:t>
      </w:r>
    </w:p>
    <w:p w14:paraId="5AE69945" w14:textId="77777777" w:rsidR="00461FC0" w:rsidRPr="005662CC" w:rsidRDefault="00461FC0" w:rsidP="00461FC0">
      <w:pPr>
        <w:rPr>
          <w:sz w:val="20"/>
          <w:szCs w:val="20"/>
        </w:rPr>
      </w:pPr>
      <w:proofErr w:type="gramStart"/>
      <w:r w:rsidRPr="005662CC">
        <w:rPr>
          <w:sz w:val="20"/>
          <w:szCs w:val="20"/>
        </w:rPr>
        <w:t>“ When</w:t>
      </w:r>
      <w:proofErr w:type="gramEnd"/>
      <w:r w:rsidRPr="005662CC">
        <w:rPr>
          <w:sz w:val="20"/>
          <w:szCs w:val="20"/>
        </w:rPr>
        <w:t xml:space="preserve"> we met, our discussion was mainly around superannuation. However, you raised a number of issues for which you might wish to receive advice at some future date. These included:</w:t>
      </w:r>
    </w:p>
    <w:p w14:paraId="5B92E3E0" w14:textId="77777777" w:rsidR="00461FC0" w:rsidRPr="005662CC" w:rsidRDefault="00461FC0" w:rsidP="00461FC0">
      <w:pPr>
        <w:pStyle w:val="ListParagraph"/>
        <w:numPr>
          <w:ilvl w:val="0"/>
          <w:numId w:val="18"/>
        </w:numPr>
        <w:rPr>
          <w:sz w:val="20"/>
          <w:szCs w:val="20"/>
        </w:rPr>
      </w:pPr>
      <w:r w:rsidRPr="005662CC">
        <w:rPr>
          <w:sz w:val="20"/>
          <w:szCs w:val="20"/>
        </w:rPr>
        <w:t>downsizing the current home</w:t>
      </w:r>
    </w:p>
    <w:p w14:paraId="2D3CF339" w14:textId="77777777" w:rsidR="00461FC0" w:rsidRPr="005662CC" w:rsidRDefault="00461FC0" w:rsidP="00461FC0">
      <w:pPr>
        <w:pStyle w:val="ListParagraph"/>
        <w:numPr>
          <w:ilvl w:val="0"/>
          <w:numId w:val="18"/>
        </w:numPr>
        <w:rPr>
          <w:sz w:val="20"/>
          <w:szCs w:val="20"/>
        </w:rPr>
      </w:pPr>
      <w:r w:rsidRPr="005662CC">
        <w:rPr>
          <w:sz w:val="20"/>
          <w:szCs w:val="20"/>
        </w:rPr>
        <w:t>budgeting for future holidays</w:t>
      </w:r>
    </w:p>
    <w:p w14:paraId="164BAC4C" w14:textId="77777777" w:rsidR="00461FC0" w:rsidRPr="005662CC" w:rsidRDefault="00461FC0" w:rsidP="00461FC0">
      <w:pPr>
        <w:rPr>
          <w:sz w:val="20"/>
          <w:szCs w:val="20"/>
        </w:rPr>
      </w:pPr>
      <w:r w:rsidRPr="005662CC">
        <w:rPr>
          <w:sz w:val="20"/>
          <w:szCs w:val="20"/>
        </w:rPr>
        <w:t>Furthermore, you discussed …. “</w:t>
      </w:r>
    </w:p>
    <w:p w14:paraId="701DAA3C" w14:textId="77777777" w:rsidR="00461FC0" w:rsidRPr="005662CC" w:rsidRDefault="00461FC0" w:rsidP="00461FC0">
      <w:pPr>
        <w:rPr>
          <w:sz w:val="20"/>
          <w:szCs w:val="20"/>
        </w:rPr>
      </w:pPr>
    </w:p>
    <w:p w14:paraId="3D18BCB4" w14:textId="2F90FDF4" w:rsidR="00461FC0" w:rsidRPr="005662CC" w:rsidRDefault="00461FC0" w:rsidP="00461FC0">
      <w:pPr>
        <w:rPr>
          <w:sz w:val="20"/>
          <w:szCs w:val="20"/>
        </w:rPr>
      </w:pPr>
      <w:r w:rsidRPr="005662CC">
        <w:rPr>
          <w:sz w:val="20"/>
          <w:szCs w:val="20"/>
        </w:rPr>
        <w:t xml:space="preserve">The inclusion of a new </w:t>
      </w:r>
      <w:proofErr w:type="spellStart"/>
      <w:r w:rsidRPr="005662CC">
        <w:rPr>
          <w:sz w:val="20"/>
          <w:szCs w:val="20"/>
        </w:rPr>
        <w:t>SoA</w:t>
      </w:r>
      <w:proofErr w:type="spellEnd"/>
      <w:r w:rsidRPr="005662CC">
        <w:rPr>
          <w:sz w:val="20"/>
          <w:szCs w:val="20"/>
        </w:rPr>
        <w:t xml:space="preserve"> section “</w:t>
      </w:r>
      <w:r w:rsidR="00F447A9" w:rsidRPr="005662CC">
        <w:rPr>
          <w:sz w:val="20"/>
          <w:szCs w:val="20"/>
        </w:rPr>
        <w:t>&lt;Title&gt;</w:t>
      </w:r>
      <w:r w:rsidRPr="005662CC">
        <w:rPr>
          <w:sz w:val="20"/>
          <w:szCs w:val="20"/>
        </w:rPr>
        <w:t>” is allowable</w:t>
      </w:r>
      <w:r w:rsidR="00743C0A" w:rsidRPr="005662CC">
        <w:rPr>
          <w:sz w:val="20"/>
          <w:szCs w:val="20"/>
        </w:rPr>
        <w:t xml:space="preserve"> and may be valuable</w:t>
      </w:r>
      <w:r w:rsidRPr="005662CC">
        <w:rPr>
          <w:sz w:val="20"/>
          <w:szCs w:val="20"/>
        </w:rPr>
        <w:t>.</w:t>
      </w:r>
      <w:r w:rsidR="00813E4E" w:rsidRPr="005662CC">
        <w:rPr>
          <w:sz w:val="20"/>
          <w:szCs w:val="20"/>
        </w:rPr>
        <w:t xml:space="preserve">  Alternatively, it could be a sub-heading in the </w:t>
      </w:r>
      <w:r w:rsidR="0092547A">
        <w:rPr>
          <w:sz w:val="20"/>
          <w:szCs w:val="20"/>
        </w:rPr>
        <w:t>Relevant Personal Information</w:t>
      </w:r>
      <w:r w:rsidR="00813E4E" w:rsidRPr="005662CC">
        <w:rPr>
          <w:sz w:val="20"/>
          <w:szCs w:val="20"/>
        </w:rPr>
        <w:t xml:space="preserve"> section (say).</w:t>
      </w:r>
    </w:p>
    <w:p w14:paraId="790C176F" w14:textId="77777777" w:rsidR="00743C0A" w:rsidRPr="005662CC" w:rsidRDefault="00743C0A" w:rsidP="00461FC0">
      <w:pPr>
        <w:rPr>
          <w:sz w:val="20"/>
          <w:szCs w:val="20"/>
        </w:rPr>
      </w:pPr>
    </w:p>
    <w:p w14:paraId="5FEBF98E" w14:textId="4D31D183" w:rsidR="00461FC0" w:rsidRPr="005662CC" w:rsidRDefault="00461FC0" w:rsidP="00461FC0">
      <w:pPr>
        <w:rPr>
          <w:sz w:val="20"/>
          <w:szCs w:val="20"/>
        </w:rPr>
      </w:pPr>
      <w:r w:rsidRPr="005662CC">
        <w:rPr>
          <w:sz w:val="20"/>
          <w:szCs w:val="20"/>
        </w:rPr>
        <w:t xml:space="preserve">There’s flexibility where this </w:t>
      </w:r>
      <w:r w:rsidR="009C11C9">
        <w:rPr>
          <w:sz w:val="20"/>
          <w:szCs w:val="20"/>
        </w:rPr>
        <w:t>information</w:t>
      </w:r>
      <w:r w:rsidRPr="005662CC">
        <w:rPr>
          <w:sz w:val="20"/>
          <w:szCs w:val="20"/>
        </w:rPr>
        <w:t xml:space="preserve"> </w:t>
      </w:r>
      <w:r w:rsidR="00743C0A" w:rsidRPr="005662CC">
        <w:rPr>
          <w:sz w:val="20"/>
          <w:szCs w:val="20"/>
        </w:rPr>
        <w:t>could</w:t>
      </w:r>
      <w:r w:rsidRPr="005662CC">
        <w:rPr>
          <w:sz w:val="20"/>
          <w:szCs w:val="20"/>
        </w:rPr>
        <w:t xml:space="preserve"> appear</w:t>
      </w:r>
      <w:r w:rsidR="00743C0A" w:rsidRPr="005662CC">
        <w:rPr>
          <w:sz w:val="20"/>
          <w:szCs w:val="20"/>
        </w:rPr>
        <w:t xml:space="preserve"> but it should typically precede the Risk Profiling so that all the client information/</w:t>
      </w:r>
      <w:r w:rsidR="009C11C9">
        <w:rPr>
          <w:sz w:val="20"/>
          <w:szCs w:val="20"/>
        </w:rPr>
        <w:t>objectives</w:t>
      </w:r>
      <w:r w:rsidR="00743C0A" w:rsidRPr="005662CC">
        <w:rPr>
          <w:sz w:val="20"/>
          <w:szCs w:val="20"/>
        </w:rPr>
        <w:t>/context have been disclosed.</w:t>
      </w:r>
    </w:p>
    <w:p w14:paraId="7AD19CB7" w14:textId="77777777" w:rsidR="00813E4E" w:rsidRPr="005662CC" w:rsidRDefault="00813E4E" w:rsidP="00461FC0">
      <w:pPr>
        <w:rPr>
          <w:sz w:val="20"/>
          <w:szCs w:val="20"/>
        </w:rPr>
      </w:pPr>
    </w:p>
    <w:p w14:paraId="56761A68" w14:textId="6A75238D" w:rsidR="00743C0A" w:rsidRDefault="00743C0A" w:rsidP="00461FC0">
      <w:pPr>
        <w:rPr>
          <w:sz w:val="20"/>
          <w:szCs w:val="20"/>
        </w:rPr>
      </w:pPr>
      <w:r w:rsidRPr="005662CC">
        <w:rPr>
          <w:sz w:val="20"/>
          <w:szCs w:val="20"/>
        </w:rPr>
        <w:t xml:space="preserve">This will ensure nothing </w:t>
      </w:r>
      <w:r w:rsidR="003755E5" w:rsidRPr="005662CC">
        <w:rPr>
          <w:sz w:val="20"/>
          <w:szCs w:val="20"/>
        </w:rPr>
        <w:t xml:space="preserve">relevant </w:t>
      </w:r>
      <w:r w:rsidRPr="005662CC">
        <w:rPr>
          <w:sz w:val="20"/>
          <w:szCs w:val="20"/>
        </w:rPr>
        <w:t>appears ‘out-of-the-blue’ in the Recommendations.</w:t>
      </w:r>
    </w:p>
    <w:p w14:paraId="2AE1D953" w14:textId="1D06329D" w:rsidR="00343B1C" w:rsidRDefault="00343B1C" w:rsidP="00461FC0">
      <w:pPr>
        <w:rPr>
          <w:sz w:val="20"/>
          <w:szCs w:val="20"/>
        </w:rPr>
      </w:pPr>
    </w:p>
    <w:p w14:paraId="11D06FE7" w14:textId="77777777" w:rsidR="009F3E22" w:rsidRDefault="009F3E22" w:rsidP="00461FC0">
      <w:pPr>
        <w:rPr>
          <w:sz w:val="20"/>
          <w:szCs w:val="20"/>
        </w:rPr>
      </w:pPr>
    </w:p>
    <w:p w14:paraId="06C283BE" w14:textId="5F30087A" w:rsidR="00343B1C" w:rsidRPr="000A469A" w:rsidRDefault="00343B1C" w:rsidP="000A469A">
      <w:pPr>
        <w:pStyle w:val="Heading2"/>
        <w:rPr>
          <w:rFonts w:eastAsia="Times New Roman"/>
          <w:b/>
          <w:sz w:val="28"/>
          <w:szCs w:val="28"/>
        </w:rPr>
      </w:pPr>
      <w:bookmarkStart w:id="12" w:name="_Toc36642365"/>
      <w:r w:rsidRPr="000A469A">
        <w:rPr>
          <w:rFonts w:eastAsia="Times New Roman"/>
          <w:b/>
          <w:sz w:val="28"/>
          <w:szCs w:val="28"/>
        </w:rPr>
        <w:t>Risk Profile</w:t>
      </w:r>
      <w:bookmarkEnd w:id="12"/>
    </w:p>
    <w:p w14:paraId="0BDFE06D" w14:textId="023AE692" w:rsidR="000C6DB1" w:rsidRDefault="00461FC0" w:rsidP="000C6DB1">
      <w:r>
        <w:t xml:space="preserve"> </w:t>
      </w:r>
    </w:p>
    <w:p w14:paraId="4B645482" w14:textId="667197B9" w:rsidR="00343B1C" w:rsidRPr="00F968E4" w:rsidRDefault="00343B1C" w:rsidP="00F968E4">
      <w:pPr>
        <w:rPr>
          <w:sz w:val="20"/>
          <w:szCs w:val="20"/>
        </w:rPr>
      </w:pPr>
      <w:r w:rsidRPr="00F968E4">
        <w:rPr>
          <w:sz w:val="20"/>
          <w:szCs w:val="20"/>
        </w:rPr>
        <w:t xml:space="preserve">Selected “Risk Profile” tables allow you to choose a specific template table that reflects the specific client(s) risk assessment. Please delete the other individual risk profile tables that do not apply to the client. </w:t>
      </w:r>
    </w:p>
    <w:p w14:paraId="2ED68221" w14:textId="77777777" w:rsidR="00B44235" w:rsidRPr="00F968E4" w:rsidRDefault="00B44235" w:rsidP="00F968E4">
      <w:pPr>
        <w:rPr>
          <w:sz w:val="20"/>
          <w:szCs w:val="20"/>
        </w:rPr>
      </w:pPr>
    </w:p>
    <w:p w14:paraId="363B884A" w14:textId="77777777" w:rsidR="00B44235" w:rsidRPr="00F968E4" w:rsidRDefault="00B44235" w:rsidP="00F968E4">
      <w:pPr>
        <w:rPr>
          <w:sz w:val="20"/>
          <w:szCs w:val="20"/>
        </w:rPr>
      </w:pPr>
      <w:r w:rsidRPr="00F968E4">
        <w:rPr>
          <w:sz w:val="20"/>
          <w:szCs w:val="20"/>
        </w:rPr>
        <w:lastRenderedPageBreak/>
        <w:t xml:space="preserve">There are also </w:t>
      </w:r>
    </w:p>
    <w:p w14:paraId="2D0A4F0C" w14:textId="360EE385" w:rsidR="00B44235" w:rsidRDefault="00B44235" w:rsidP="00F968E4">
      <w:pPr>
        <w:pStyle w:val="ListParagraph"/>
        <w:numPr>
          <w:ilvl w:val="0"/>
          <w:numId w:val="18"/>
        </w:numPr>
        <w:rPr>
          <w:sz w:val="20"/>
          <w:szCs w:val="20"/>
        </w:rPr>
      </w:pPr>
      <w:r w:rsidRPr="00F968E4">
        <w:rPr>
          <w:sz w:val="20"/>
          <w:szCs w:val="20"/>
        </w:rPr>
        <w:t xml:space="preserve">a Strategic Asset Allocation table </w:t>
      </w:r>
    </w:p>
    <w:p w14:paraId="743B3AA8" w14:textId="77777777" w:rsidR="005F7BEE" w:rsidRPr="00F968E4" w:rsidRDefault="005F7BEE" w:rsidP="005F7BEE">
      <w:pPr>
        <w:pStyle w:val="ListParagraph"/>
        <w:rPr>
          <w:sz w:val="20"/>
          <w:szCs w:val="20"/>
        </w:rPr>
      </w:pPr>
    </w:p>
    <w:p w14:paraId="195C4309" w14:textId="014E5C99" w:rsidR="007F1AE8" w:rsidRDefault="00B44235" w:rsidP="00F968E4">
      <w:pPr>
        <w:pStyle w:val="ListParagraph"/>
        <w:numPr>
          <w:ilvl w:val="0"/>
          <w:numId w:val="18"/>
        </w:numPr>
        <w:rPr>
          <w:sz w:val="20"/>
          <w:szCs w:val="20"/>
        </w:rPr>
      </w:pPr>
      <w:r w:rsidRPr="00F968E4">
        <w:rPr>
          <w:sz w:val="20"/>
          <w:szCs w:val="20"/>
        </w:rPr>
        <w:t xml:space="preserve">an </w:t>
      </w:r>
      <w:r w:rsidR="00343B1C" w:rsidRPr="00F968E4">
        <w:rPr>
          <w:sz w:val="20"/>
          <w:szCs w:val="20"/>
        </w:rPr>
        <w:t>aggregat</w:t>
      </w:r>
      <w:r w:rsidRPr="00F968E4">
        <w:rPr>
          <w:sz w:val="20"/>
          <w:szCs w:val="20"/>
        </w:rPr>
        <w:t>e table of</w:t>
      </w:r>
      <w:r w:rsidR="00343B1C" w:rsidRPr="00F968E4">
        <w:rPr>
          <w:sz w:val="20"/>
          <w:szCs w:val="20"/>
        </w:rPr>
        <w:t xml:space="preserve"> all the possible Risk Profiles</w:t>
      </w:r>
      <w:r w:rsidRPr="00F968E4">
        <w:rPr>
          <w:sz w:val="20"/>
          <w:szCs w:val="20"/>
        </w:rPr>
        <w:t>.</w:t>
      </w:r>
      <w:r w:rsidR="00F968E4">
        <w:rPr>
          <w:sz w:val="20"/>
          <w:szCs w:val="20"/>
        </w:rPr>
        <w:t xml:space="preserve"> </w:t>
      </w:r>
    </w:p>
    <w:p w14:paraId="630ACE6D" w14:textId="6000CA43" w:rsidR="00343B1C" w:rsidRPr="00F968E4" w:rsidRDefault="00343B1C" w:rsidP="007F1AE8">
      <w:pPr>
        <w:pStyle w:val="ListParagraph"/>
        <w:rPr>
          <w:sz w:val="20"/>
          <w:szCs w:val="20"/>
        </w:rPr>
      </w:pPr>
      <w:r w:rsidRPr="00F968E4">
        <w:rPr>
          <w:sz w:val="20"/>
          <w:szCs w:val="20"/>
        </w:rPr>
        <w:t xml:space="preserve">In this way, a client may compare his/her risk description against other descriptions. </w:t>
      </w:r>
    </w:p>
    <w:p w14:paraId="69D6CA61" w14:textId="77777777" w:rsidR="00B44235" w:rsidRPr="00F968E4" w:rsidRDefault="00B44235" w:rsidP="00F968E4">
      <w:pPr>
        <w:rPr>
          <w:sz w:val="20"/>
          <w:szCs w:val="20"/>
        </w:rPr>
      </w:pPr>
    </w:p>
    <w:p w14:paraId="28AC2404" w14:textId="578A7810" w:rsidR="00343B1C" w:rsidRPr="00F968E4" w:rsidRDefault="00343B1C" w:rsidP="00343B1C">
      <w:pPr>
        <w:rPr>
          <w:sz w:val="20"/>
          <w:szCs w:val="20"/>
        </w:rPr>
      </w:pPr>
      <w:r w:rsidRPr="00F968E4">
        <w:rPr>
          <w:sz w:val="20"/>
          <w:szCs w:val="20"/>
        </w:rPr>
        <w:t xml:space="preserve">You need to record </w:t>
      </w:r>
      <w:r w:rsidR="00B44235" w:rsidRPr="00F968E4">
        <w:rPr>
          <w:sz w:val="20"/>
          <w:szCs w:val="20"/>
        </w:rPr>
        <w:t xml:space="preserve">in the Client file </w:t>
      </w:r>
      <w:r w:rsidRPr="00F968E4">
        <w:rPr>
          <w:sz w:val="20"/>
          <w:szCs w:val="20"/>
        </w:rPr>
        <w:t xml:space="preserve">both how you arrived at the risk profile, and why you believe it is appropriate. </w:t>
      </w:r>
    </w:p>
    <w:p w14:paraId="510A4A79" w14:textId="4B7F873F" w:rsidR="00B44235" w:rsidRDefault="00B44235" w:rsidP="00343B1C">
      <w:pPr>
        <w:rPr>
          <w:rFonts w:eastAsia="Times New Roman"/>
          <w:b/>
        </w:rPr>
      </w:pPr>
    </w:p>
    <w:p w14:paraId="26B16481" w14:textId="51807F2D" w:rsidR="00AD1013" w:rsidRPr="00060F89" w:rsidRDefault="00461FC0" w:rsidP="00FB2226">
      <w:pPr>
        <w:pStyle w:val="Heading2"/>
        <w:rPr>
          <w:rFonts w:eastAsia="Times New Roman"/>
          <w:b/>
          <w:sz w:val="28"/>
          <w:szCs w:val="28"/>
        </w:rPr>
      </w:pPr>
      <w:bookmarkStart w:id="13" w:name="_Toc36642366"/>
      <w:r>
        <w:rPr>
          <w:rFonts w:eastAsia="Times New Roman"/>
          <w:b/>
          <w:sz w:val="28"/>
          <w:szCs w:val="28"/>
        </w:rPr>
        <w:t>Strategy</w:t>
      </w:r>
      <w:r w:rsidR="00AD1013" w:rsidRPr="00060F89">
        <w:rPr>
          <w:rFonts w:eastAsia="Times New Roman"/>
          <w:b/>
          <w:sz w:val="28"/>
          <w:szCs w:val="28"/>
        </w:rPr>
        <w:t xml:space="preserve"> </w:t>
      </w:r>
      <w:r w:rsidR="004E1880" w:rsidRPr="00060F89">
        <w:rPr>
          <w:rFonts w:eastAsia="Times New Roman"/>
          <w:b/>
          <w:sz w:val="28"/>
          <w:szCs w:val="28"/>
        </w:rPr>
        <w:t>Recommendations (</w:t>
      </w:r>
      <w:r w:rsidR="00060F89">
        <w:rPr>
          <w:rFonts w:eastAsia="Times New Roman"/>
          <w:b/>
          <w:sz w:val="28"/>
          <w:szCs w:val="28"/>
        </w:rPr>
        <w:t>Tabular Format</w:t>
      </w:r>
      <w:r w:rsidR="00AB1BD7" w:rsidRPr="00060F89">
        <w:rPr>
          <w:rFonts w:eastAsia="Times New Roman"/>
          <w:b/>
          <w:sz w:val="28"/>
          <w:szCs w:val="28"/>
        </w:rPr>
        <w:t>)</w:t>
      </w:r>
      <w:bookmarkEnd w:id="13"/>
    </w:p>
    <w:p w14:paraId="2F18D876" w14:textId="1649967B" w:rsidR="00AD1013" w:rsidRDefault="00AD1013" w:rsidP="00AD1013">
      <w:pPr>
        <w:rPr>
          <w:sz w:val="20"/>
          <w:szCs w:val="20"/>
        </w:rPr>
      </w:pPr>
      <w:r w:rsidRPr="005662CC">
        <w:rPr>
          <w:sz w:val="20"/>
          <w:szCs w:val="20"/>
        </w:rPr>
        <w:t xml:space="preserve">It </w:t>
      </w:r>
      <w:r w:rsidR="000D5B40">
        <w:rPr>
          <w:sz w:val="20"/>
          <w:szCs w:val="20"/>
        </w:rPr>
        <w:t>i</w:t>
      </w:r>
      <w:r w:rsidRPr="005662CC">
        <w:rPr>
          <w:sz w:val="20"/>
          <w:szCs w:val="20"/>
        </w:rPr>
        <w:t xml:space="preserve">s intended that the </w:t>
      </w:r>
      <w:r w:rsidR="000D5B40">
        <w:rPr>
          <w:sz w:val="20"/>
          <w:szCs w:val="20"/>
        </w:rPr>
        <w:t>S</w:t>
      </w:r>
      <w:r w:rsidRPr="005662CC">
        <w:rPr>
          <w:sz w:val="20"/>
          <w:szCs w:val="20"/>
        </w:rPr>
        <w:t xml:space="preserve">trategy </w:t>
      </w:r>
      <w:r w:rsidR="000D5B40">
        <w:rPr>
          <w:sz w:val="20"/>
          <w:szCs w:val="20"/>
        </w:rPr>
        <w:t>T</w:t>
      </w:r>
      <w:r w:rsidRPr="005662CC">
        <w:rPr>
          <w:sz w:val="20"/>
          <w:szCs w:val="20"/>
        </w:rPr>
        <w:t xml:space="preserve">ext </w:t>
      </w:r>
      <w:r w:rsidR="00B23C4C">
        <w:rPr>
          <w:sz w:val="20"/>
          <w:szCs w:val="20"/>
        </w:rPr>
        <w:t xml:space="preserve">library </w:t>
      </w:r>
      <w:r w:rsidRPr="005662CC">
        <w:rPr>
          <w:sz w:val="20"/>
          <w:szCs w:val="20"/>
        </w:rPr>
        <w:t>fragment</w:t>
      </w:r>
      <w:r w:rsidR="000D5B40">
        <w:rPr>
          <w:sz w:val="20"/>
          <w:szCs w:val="20"/>
        </w:rPr>
        <w:t>s</w:t>
      </w:r>
      <w:r w:rsidRPr="005662CC">
        <w:rPr>
          <w:sz w:val="20"/>
          <w:szCs w:val="20"/>
        </w:rPr>
        <w:t xml:space="preserve"> w</w:t>
      </w:r>
      <w:r w:rsidR="000D5B40">
        <w:rPr>
          <w:sz w:val="20"/>
          <w:szCs w:val="20"/>
        </w:rPr>
        <w:t>ill</w:t>
      </w:r>
      <w:r w:rsidRPr="005662CC">
        <w:rPr>
          <w:sz w:val="20"/>
          <w:szCs w:val="20"/>
        </w:rPr>
        <w:t xml:space="preserve"> be cut-and-paste into the relevant rows.</w:t>
      </w:r>
    </w:p>
    <w:p w14:paraId="0496D1D1" w14:textId="77777777" w:rsidR="00926258" w:rsidRPr="005662CC" w:rsidRDefault="00926258" w:rsidP="00AD1013">
      <w:pPr>
        <w:rPr>
          <w:sz w:val="20"/>
          <w:szCs w:val="20"/>
        </w:rPr>
      </w:pPr>
    </w:p>
    <w:p w14:paraId="6735049A" w14:textId="74863745" w:rsidR="00AD1013" w:rsidRPr="005662CC" w:rsidRDefault="00AD1013" w:rsidP="00AD1013">
      <w:pPr>
        <w:pStyle w:val="ListParagraph"/>
        <w:numPr>
          <w:ilvl w:val="0"/>
          <w:numId w:val="2"/>
        </w:numPr>
        <w:rPr>
          <w:sz w:val="20"/>
          <w:szCs w:val="20"/>
        </w:rPr>
      </w:pPr>
      <w:r w:rsidRPr="005662CC">
        <w:rPr>
          <w:b/>
          <w:sz w:val="20"/>
          <w:szCs w:val="20"/>
        </w:rPr>
        <w:t>Title</w:t>
      </w:r>
      <w:r w:rsidRPr="005662CC">
        <w:rPr>
          <w:sz w:val="20"/>
          <w:szCs w:val="20"/>
        </w:rPr>
        <w:t xml:space="preserve"> </w:t>
      </w:r>
      <w:r w:rsidR="002D02A7">
        <w:rPr>
          <w:b/>
          <w:sz w:val="20"/>
          <w:szCs w:val="20"/>
        </w:rPr>
        <w:t>r</w:t>
      </w:r>
      <w:r w:rsidR="002D02A7" w:rsidRPr="002D02A7">
        <w:rPr>
          <w:b/>
          <w:sz w:val="20"/>
          <w:szCs w:val="20"/>
        </w:rPr>
        <w:t>ow</w:t>
      </w:r>
      <w:r w:rsidR="002D02A7">
        <w:rPr>
          <w:sz w:val="20"/>
          <w:szCs w:val="20"/>
        </w:rPr>
        <w:t xml:space="preserve"> </w:t>
      </w:r>
      <w:r w:rsidRPr="005662CC">
        <w:rPr>
          <w:sz w:val="20"/>
          <w:szCs w:val="20"/>
        </w:rPr>
        <w:t xml:space="preserve">… </w:t>
      </w:r>
      <w:r w:rsidR="00C905AC" w:rsidRPr="005662CC">
        <w:rPr>
          <w:sz w:val="20"/>
          <w:szCs w:val="20"/>
        </w:rPr>
        <w:t>self-evident</w:t>
      </w:r>
      <w:r w:rsidR="00BD1660" w:rsidRPr="005662CC">
        <w:rPr>
          <w:sz w:val="20"/>
          <w:szCs w:val="20"/>
        </w:rPr>
        <w:t>; but it can come from the text fragment or be more evocative</w:t>
      </w:r>
    </w:p>
    <w:p w14:paraId="77FE6AB3" w14:textId="77777777" w:rsidR="00BD1660" w:rsidRPr="005662CC" w:rsidRDefault="00BD1660" w:rsidP="00BD1660">
      <w:pPr>
        <w:pStyle w:val="ListParagraph"/>
        <w:ind w:firstLine="720"/>
        <w:rPr>
          <w:sz w:val="20"/>
          <w:szCs w:val="20"/>
        </w:rPr>
      </w:pPr>
      <w:proofErr w:type="spellStart"/>
      <w:r w:rsidRPr="005662CC">
        <w:rPr>
          <w:sz w:val="20"/>
          <w:szCs w:val="20"/>
        </w:rPr>
        <w:t>eg.</w:t>
      </w:r>
      <w:proofErr w:type="spellEnd"/>
      <w:r w:rsidRPr="005662CC">
        <w:rPr>
          <w:sz w:val="20"/>
          <w:szCs w:val="20"/>
        </w:rPr>
        <w:t xml:space="preserve"> “Providing income for your</w:t>
      </w:r>
      <w:r w:rsidR="00E53B4D" w:rsidRPr="005662CC">
        <w:rPr>
          <w:sz w:val="20"/>
          <w:szCs w:val="20"/>
        </w:rPr>
        <w:t xml:space="preserve"> family when</w:t>
      </w:r>
      <w:r w:rsidRPr="005662CC">
        <w:rPr>
          <w:sz w:val="20"/>
          <w:szCs w:val="20"/>
        </w:rPr>
        <w:t xml:space="preserve"> you die”</w:t>
      </w:r>
    </w:p>
    <w:p w14:paraId="76503E4C" w14:textId="5C03436E" w:rsidR="00AD1013" w:rsidRDefault="00AD1013" w:rsidP="00AD1013">
      <w:pPr>
        <w:pStyle w:val="ListParagraph"/>
        <w:rPr>
          <w:sz w:val="20"/>
          <w:szCs w:val="20"/>
        </w:rPr>
      </w:pPr>
    </w:p>
    <w:p w14:paraId="043ECC6C" w14:textId="74FC0E6B" w:rsidR="002D02A7" w:rsidRDefault="002D02A7" w:rsidP="00AD1013">
      <w:pPr>
        <w:pStyle w:val="ListParagraph"/>
        <w:rPr>
          <w:sz w:val="20"/>
          <w:szCs w:val="20"/>
        </w:rPr>
      </w:pPr>
      <w:r>
        <w:rPr>
          <w:sz w:val="20"/>
          <w:szCs w:val="20"/>
        </w:rPr>
        <w:t>The Title cannot be used to substitute for information that should rightfully appear in either of ‘ii’ or ‘iii</w:t>
      </w:r>
      <w:proofErr w:type="gramStart"/>
      <w:r>
        <w:rPr>
          <w:sz w:val="20"/>
          <w:szCs w:val="20"/>
        </w:rPr>
        <w:t>’  below</w:t>
      </w:r>
      <w:proofErr w:type="gramEnd"/>
      <w:r>
        <w:rPr>
          <w:sz w:val="20"/>
          <w:szCs w:val="20"/>
        </w:rPr>
        <w:t>.</w:t>
      </w:r>
    </w:p>
    <w:p w14:paraId="1C92B4F3" w14:textId="77777777" w:rsidR="000D5B40" w:rsidRPr="005662CC" w:rsidRDefault="000D5B40" w:rsidP="00AD1013">
      <w:pPr>
        <w:pStyle w:val="ListParagraph"/>
        <w:rPr>
          <w:sz w:val="20"/>
          <w:szCs w:val="20"/>
        </w:rPr>
      </w:pPr>
    </w:p>
    <w:p w14:paraId="29C730A5" w14:textId="3E97CF84" w:rsidR="00B23C4C" w:rsidRDefault="00AD1013" w:rsidP="00AD1013">
      <w:pPr>
        <w:pStyle w:val="ListParagraph"/>
        <w:numPr>
          <w:ilvl w:val="0"/>
          <w:numId w:val="2"/>
        </w:numPr>
        <w:rPr>
          <w:sz w:val="20"/>
          <w:szCs w:val="20"/>
        </w:rPr>
      </w:pPr>
      <w:r w:rsidRPr="005662CC">
        <w:rPr>
          <w:b/>
          <w:sz w:val="20"/>
          <w:szCs w:val="20"/>
        </w:rPr>
        <w:t>Explanation</w:t>
      </w:r>
      <w:r w:rsidR="002D02A7">
        <w:rPr>
          <w:b/>
          <w:sz w:val="20"/>
          <w:szCs w:val="20"/>
        </w:rPr>
        <w:t xml:space="preserve"> row</w:t>
      </w:r>
      <w:r w:rsidRPr="005662CC">
        <w:rPr>
          <w:sz w:val="20"/>
          <w:szCs w:val="20"/>
        </w:rPr>
        <w:t xml:space="preserve"> …</w:t>
      </w:r>
      <w:r w:rsidR="002D02A7">
        <w:rPr>
          <w:sz w:val="20"/>
          <w:szCs w:val="20"/>
        </w:rPr>
        <w:t xml:space="preserve"> </w:t>
      </w:r>
      <w:r w:rsidR="00F72481">
        <w:rPr>
          <w:sz w:val="20"/>
          <w:szCs w:val="20"/>
        </w:rPr>
        <w:t xml:space="preserve">Notionally </w:t>
      </w:r>
      <w:r w:rsidR="00F72481" w:rsidRPr="005662CC">
        <w:rPr>
          <w:sz w:val="20"/>
          <w:szCs w:val="20"/>
        </w:rPr>
        <w:t>&lt;</w:t>
      </w:r>
      <w:r w:rsidR="00B23C4C">
        <w:rPr>
          <w:sz w:val="20"/>
          <w:szCs w:val="20"/>
        </w:rPr>
        <w:t>D</w:t>
      </w:r>
      <w:r w:rsidR="002D02A7">
        <w:rPr>
          <w:sz w:val="20"/>
          <w:szCs w:val="20"/>
        </w:rPr>
        <w:t>O</w:t>
      </w:r>
      <w:r w:rsidR="00B23C4C">
        <w:rPr>
          <w:sz w:val="20"/>
          <w:szCs w:val="20"/>
        </w:rPr>
        <w:t xml:space="preserve"> T</w:t>
      </w:r>
      <w:r w:rsidR="002D02A7">
        <w:rPr>
          <w:sz w:val="20"/>
          <w:szCs w:val="20"/>
        </w:rPr>
        <w:t>HIS</w:t>
      </w:r>
      <w:r w:rsidR="00B23C4C">
        <w:rPr>
          <w:sz w:val="20"/>
          <w:szCs w:val="20"/>
        </w:rPr>
        <w:t>!&gt;</w:t>
      </w:r>
    </w:p>
    <w:p w14:paraId="7F72F1C0" w14:textId="3EDB5780" w:rsidR="00AD1013" w:rsidRPr="005662CC" w:rsidRDefault="00B23C4C" w:rsidP="00B23C4C">
      <w:pPr>
        <w:pStyle w:val="ListParagraph"/>
        <w:rPr>
          <w:sz w:val="20"/>
          <w:szCs w:val="20"/>
        </w:rPr>
      </w:pPr>
      <w:r>
        <w:rPr>
          <w:sz w:val="20"/>
          <w:szCs w:val="20"/>
        </w:rPr>
        <w:t>T</w:t>
      </w:r>
      <w:r w:rsidR="00AD1013" w:rsidRPr="005662CC">
        <w:rPr>
          <w:sz w:val="20"/>
          <w:szCs w:val="20"/>
        </w:rPr>
        <w:t xml:space="preserve">he part of the </w:t>
      </w:r>
      <w:r>
        <w:rPr>
          <w:sz w:val="20"/>
          <w:szCs w:val="20"/>
        </w:rPr>
        <w:t xml:space="preserve">recommendation </w:t>
      </w:r>
      <w:r w:rsidR="00AD1013" w:rsidRPr="005662CC">
        <w:rPr>
          <w:sz w:val="20"/>
          <w:szCs w:val="20"/>
        </w:rPr>
        <w:t xml:space="preserve">that carries the </w:t>
      </w:r>
      <w:r>
        <w:rPr>
          <w:sz w:val="20"/>
          <w:szCs w:val="20"/>
        </w:rPr>
        <w:t>action/</w:t>
      </w:r>
      <w:r w:rsidR="00AD1013" w:rsidRPr="005662CC">
        <w:rPr>
          <w:sz w:val="20"/>
          <w:szCs w:val="20"/>
        </w:rPr>
        <w:t xml:space="preserve">product/amounts involved.  </w:t>
      </w:r>
      <w:r w:rsidR="00F72481">
        <w:rPr>
          <w:sz w:val="20"/>
          <w:szCs w:val="20"/>
        </w:rPr>
        <w:t>Be v</w:t>
      </w:r>
      <w:r w:rsidR="00AD1013" w:rsidRPr="005662CC">
        <w:rPr>
          <w:sz w:val="20"/>
          <w:szCs w:val="20"/>
        </w:rPr>
        <w:t>ery brief</w:t>
      </w:r>
    </w:p>
    <w:p w14:paraId="77B15499" w14:textId="77777777" w:rsidR="00AD1013" w:rsidRPr="005662CC" w:rsidRDefault="00AD1013" w:rsidP="00BD1660">
      <w:pPr>
        <w:pStyle w:val="ListParagraph"/>
        <w:ind w:firstLine="720"/>
        <w:rPr>
          <w:sz w:val="20"/>
          <w:szCs w:val="20"/>
        </w:rPr>
      </w:pPr>
      <w:proofErr w:type="spellStart"/>
      <w:r w:rsidRPr="005662CC">
        <w:rPr>
          <w:sz w:val="20"/>
          <w:szCs w:val="20"/>
        </w:rPr>
        <w:t>eg.</w:t>
      </w:r>
      <w:proofErr w:type="spellEnd"/>
      <w:r w:rsidRPr="005662CC">
        <w:rPr>
          <w:sz w:val="20"/>
          <w:szCs w:val="20"/>
        </w:rPr>
        <w:t xml:space="preserve">  rollover $ from </w:t>
      </w:r>
      <w:proofErr w:type="gramStart"/>
      <w:r w:rsidRPr="005662CC">
        <w:rPr>
          <w:sz w:val="20"/>
          <w:szCs w:val="20"/>
        </w:rPr>
        <w:t>&lt;..</w:t>
      </w:r>
      <w:proofErr w:type="gramEnd"/>
      <w:r w:rsidRPr="005662CC">
        <w:rPr>
          <w:sz w:val="20"/>
          <w:szCs w:val="20"/>
        </w:rPr>
        <w:t>&gt; to &lt;…&gt;</w:t>
      </w:r>
    </w:p>
    <w:p w14:paraId="6907698A" w14:textId="77777777" w:rsidR="00AD1013" w:rsidRPr="005662CC" w:rsidRDefault="00AD1013" w:rsidP="00BD1660">
      <w:pPr>
        <w:pStyle w:val="ListParagraph"/>
        <w:ind w:firstLine="720"/>
        <w:rPr>
          <w:sz w:val="20"/>
          <w:szCs w:val="20"/>
        </w:rPr>
      </w:pPr>
      <w:proofErr w:type="spellStart"/>
      <w:r w:rsidRPr="005662CC">
        <w:rPr>
          <w:sz w:val="20"/>
          <w:szCs w:val="20"/>
        </w:rPr>
        <w:t>eg.</w:t>
      </w:r>
      <w:proofErr w:type="spellEnd"/>
      <w:r w:rsidRPr="005662CC">
        <w:rPr>
          <w:sz w:val="20"/>
          <w:szCs w:val="20"/>
        </w:rPr>
        <w:t xml:space="preserve"> apply &lt;insurance&gt; of $ with &lt;terms&gt; funded from &lt;…&gt;</w:t>
      </w:r>
    </w:p>
    <w:p w14:paraId="5C68CBFE" w14:textId="18861901" w:rsidR="00AD1013" w:rsidRDefault="00AD1013" w:rsidP="00AD1013">
      <w:pPr>
        <w:pStyle w:val="ListParagraph"/>
        <w:rPr>
          <w:sz w:val="20"/>
          <w:szCs w:val="20"/>
        </w:rPr>
      </w:pPr>
    </w:p>
    <w:p w14:paraId="6B7A05C4" w14:textId="77777777" w:rsidR="000D5B40" w:rsidRPr="005662CC" w:rsidRDefault="000D5B40" w:rsidP="00AD1013">
      <w:pPr>
        <w:pStyle w:val="ListParagraph"/>
        <w:rPr>
          <w:sz w:val="20"/>
          <w:szCs w:val="20"/>
        </w:rPr>
      </w:pPr>
    </w:p>
    <w:p w14:paraId="0613A22C" w14:textId="3F07439F" w:rsidR="00B23C4C" w:rsidRDefault="00AB1BD7" w:rsidP="00AD1013">
      <w:pPr>
        <w:pStyle w:val="ListParagraph"/>
        <w:numPr>
          <w:ilvl w:val="0"/>
          <w:numId w:val="2"/>
        </w:numPr>
        <w:rPr>
          <w:sz w:val="20"/>
          <w:szCs w:val="20"/>
        </w:rPr>
      </w:pPr>
      <w:r w:rsidRPr="005662CC">
        <w:rPr>
          <w:b/>
          <w:sz w:val="20"/>
          <w:szCs w:val="20"/>
        </w:rPr>
        <w:t>In Your best I</w:t>
      </w:r>
      <w:r w:rsidR="00AD1013" w:rsidRPr="005662CC">
        <w:rPr>
          <w:b/>
          <w:sz w:val="20"/>
          <w:szCs w:val="20"/>
        </w:rPr>
        <w:t>nterest</w:t>
      </w:r>
      <w:r w:rsidR="00AD1013" w:rsidRPr="005662CC">
        <w:rPr>
          <w:sz w:val="20"/>
          <w:szCs w:val="20"/>
        </w:rPr>
        <w:t xml:space="preserve"> </w:t>
      </w:r>
      <w:r w:rsidR="00F72481" w:rsidRPr="00F72481">
        <w:rPr>
          <w:b/>
          <w:sz w:val="20"/>
          <w:szCs w:val="20"/>
        </w:rPr>
        <w:t>row</w:t>
      </w:r>
      <w:r w:rsidR="00F72481">
        <w:rPr>
          <w:sz w:val="20"/>
          <w:szCs w:val="20"/>
        </w:rPr>
        <w:t xml:space="preserve"> </w:t>
      </w:r>
      <w:r w:rsidR="00AD1013" w:rsidRPr="005662CC">
        <w:rPr>
          <w:sz w:val="20"/>
          <w:szCs w:val="20"/>
        </w:rPr>
        <w:t xml:space="preserve">… </w:t>
      </w:r>
      <w:r w:rsidR="00B23C4C">
        <w:rPr>
          <w:sz w:val="20"/>
          <w:szCs w:val="20"/>
        </w:rPr>
        <w:t>the rationale for &lt;Do This!&gt;</w:t>
      </w:r>
    </w:p>
    <w:p w14:paraId="3B66A897" w14:textId="32D28EDB" w:rsidR="00AD1013" w:rsidRDefault="00B23C4C" w:rsidP="00B23C4C">
      <w:pPr>
        <w:pStyle w:val="ListParagraph"/>
        <w:rPr>
          <w:sz w:val="20"/>
          <w:szCs w:val="20"/>
        </w:rPr>
      </w:pPr>
      <w:r>
        <w:rPr>
          <w:sz w:val="20"/>
          <w:szCs w:val="20"/>
        </w:rPr>
        <w:t>F</w:t>
      </w:r>
      <w:r w:rsidR="00AD1013" w:rsidRPr="005662CC">
        <w:rPr>
          <w:sz w:val="20"/>
          <w:szCs w:val="20"/>
        </w:rPr>
        <w:t xml:space="preserve">ully tailored for every </w:t>
      </w:r>
      <w:proofErr w:type="spellStart"/>
      <w:r w:rsidR="00AD1013" w:rsidRPr="005662CC">
        <w:rPr>
          <w:sz w:val="20"/>
          <w:szCs w:val="20"/>
        </w:rPr>
        <w:t>S</w:t>
      </w:r>
      <w:r w:rsidR="00AB1BD7" w:rsidRPr="005662CC">
        <w:rPr>
          <w:sz w:val="20"/>
          <w:szCs w:val="20"/>
        </w:rPr>
        <w:t>oA</w:t>
      </w:r>
      <w:proofErr w:type="spellEnd"/>
      <w:r w:rsidR="00AB1BD7" w:rsidRPr="005662CC">
        <w:rPr>
          <w:sz w:val="20"/>
          <w:szCs w:val="20"/>
        </w:rPr>
        <w:t xml:space="preserve"> … linking </w:t>
      </w:r>
      <w:r w:rsidR="00F72481">
        <w:rPr>
          <w:sz w:val="20"/>
          <w:szCs w:val="20"/>
        </w:rPr>
        <w:t xml:space="preserve">the </w:t>
      </w:r>
      <w:r w:rsidR="00C905AC" w:rsidRPr="005662CC">
        <w:rPr>
          <w:sz w:val="20"/>
          <w:szCs w:val="20"/>
        </w:rPr>
        <w:t>“</w:t>
      </w:r>
      <w:r w:rsidR="00AB1BD7" w:rsidRPr="005662CC">
        <w:rPr>
          <w:sz w:val="20"/>
          <w:szCs w:val="20"/>
        </w:rPr>
        <w:t>Explanation</w:t>
      </w:r>
      <w:r w:rsidR="00C905AC" w:rsidRPr="005662CC">
        <w:rPr>
          <w:sz w:val="20"/>
          <w:szCs w:val="20"/>
        </w:rPr>
        <w:t>”</w:t>
      </w:r>
      <w:r w:rsidR="00AB1BD7" w:rsidRPr="005662CC">
        <w:rPr>
          <w:sz w:val="20"/>
          <w:szCs w:val="20"/>
        </w:rPr>
        <w:t xml:space="preserve"> to one, </w:t>
      </w:r>
      <w:r w:rsidR="00AD1013" w:rsidRPr="005662CC">
        <w:rPr>
          <w:sz w:val="20"/>
          <w:szCs w:val="20"/>
        </w:rPr>
        <w:t>or more</w:t>
      </w:r>
      <w:r w:rsidR="00AB1BD7" w:rsidRPr="005662CC">
        <w:rPr>
          <w:sz w:val="20"/>
          <w:szCs w:val="20"/>
        </w:rPr>
        <w:t xml:space="preserve">, </w:t>
      </w:r>
      <w:r w:rsidR="00AD1013" w:rsidRPr="005662CC">
        <w:rPr>
          <w:sz w:val="20"/>
          <w:szCs w:val="20"/>
        </w:rPr>
        <w:t>goals</w:t>
      </w:r>
      <w:r>
        <w:rPr>
          <w:sz w:val="20"/>
          <w:szCs w:val="20"/>
        </w:rPr>
        <w:t>/objectives</w:t>
      </w:r>
    </w:p>
    <w:p w14:paraId="680AC3BB" w14:textId="0003D280" w:rsidR="00B23C4C" w:rsidRDefault="00B23C4C" w:rsidP="00B23C4C">
      <w:pPr>
        <w:pStyle w:val="ListParagraph"/>
        <w:rPr>
          <w:sz w:val="20"/>
          <w:szCs w:val="20"/>
        </w:rPr>
      </w:pPr>
    </w:p>
    <w:p w14:paraId="2DAF2BC1" w14:textId="5D837CEF" w:rsidR="00B23C4C" w:rsidRPr="005662CC" w:rsidRDefault="00B23C4C" w:rsidP="00B23C4C">
      <w:pPr>
        <w:pStyle w:val="ListParagraph"/>
        <w:rPr>
          <w:sz w:val="20"/>
          <w:szCs w:val="20"/>
        </w:rPr>
      </w:pPr>
      <w:r>
        <w:rPr>
          <w:sz w:val="20"/>
          <w:szCs w:val="20"/>
        </w:rPr>
        <w:t xml:space="preserve">Notionally, &lt;IF YOU </w:t>
      </w:r>
      <w:r w:rsidR="002D02A7">
        <w:rPr>
          <w:sz w:val="20"/>
          <w:szCs w:val="20"/>
        </w:rPr>
        <w:t>‘</w:t>
      </w:r>
      <w:r>
        <w:rPr>
          <w:sz w:val="20"/>
          <w:szCs w:val="20"/>
        </w:rPr>
        <w:t>D</w:t>
      </w:r>
      <w:r w:rsidR="002D02A7">
        <w:rPr>
          <w:sz w:val="20"/>
          <w:szCs w:val="20"/>
        </w:rPr>
        <w:t>o</w:t>
      </w:r>
      <w:r>
        <w:rPr>
          <w:sz w:val="20"/>
          <w:szCs w:val="20"/>
        </w:rPr>
        <w:t xml:space="preserve"> T</w:t>
      </w:r>
      <w:r w:rsidR="002D02A7">
        <w:rPr>
          <w:sz w:val="20"/>
          <w:szCs w:val="20"/>
        </w:rPr>
        <w:t>his!’</w:t>
      </w:r>
      <w:r>
        <w:rPr>
          <w:sz w:val="20"/>
          <w:szCs w:val="20"/>
        </w:rPr>
        <w:t xml:space="preserve">, </w:t>
      </w:r>
      <w:r w:rsidR="002D02A7">
        <w:rPr>
          <w:sz w:val="20"/>
          <w:szCs w:val="20"/>
        </w:rPr>
        <w:t>IT</w:t>
      </w:r>
      <w:r>
        <w:rPr>
          <w:sz w:val="20"/>
          <w:szCs w:val="20"/>
        </w:rPr>
        <w:t xml:space="preserve"> ADDRESSES YOUR GOAL/OBJECTIVE OF …&gt;</w:t>
      </w:r>
    </w:p>
    <w:p w14:paraId="6C5E701C" w14:textId="77777777" w:rsidR="00AB1BD7" w:rsidRPr="005662CC" w:rsidRDefault="00AB1BD7" w:rsidP="00AD1013">
      <w:pPr>
        <w:pStyle w:val="ListParagraph"/>
        <w:rPr>
          <w:sz w:val="20"/>
          <w:szCs w:val="20"/>
        </w:rPr>
      </w:pPr>
    </w:p>
    <w:p w14:paraId="00F3A7B0" w14:textId="0A9B5315" w:rsidR="00B23C4C" w:rsidRDefault="00AD1013" w:rsidP="00AD1013">
      <w:pPr>
        <w:pStyle w:val="ListParagraph"/>
        <w:rPr>
          <w:sz w:val="20"/>
          <w:szCs w:val="20"/>
        </w:rPr>
      </w:pPr>
      <w:r w:rsidRPr="005662CC">
        <w:rPr>
          <w:sz w:val="20"/>
          <w:szCs w:val="20"/>
        </w:rPr>
        <w:t>Goals</w:t>
      </w:r>
      <w:r w:rsidR="00B23C4C">
        <w:rPr>
          <w:sz w:val="20"/>
          <w:szCs w:val="20"/>
        </w:rPr>
        <w:t>/Objectives</w:t>
      </w:r>
      <w:r w:rsidR="00F72481">
        <w:rPr>
          <w:sz w:val="20"/>
          <w:szCs w:val="20"/>
        </w:rPr>
        <w:t xml:space="preserve"> are evidenced </w:t>
      </w:r>
      <w:r w:rsidR="00B23C4C">
        <w:rPr>
          <w:sz w:val="20"/>
          <w:szCs w:val="20"/>
        </w:rPr>
        <w:t>i</w:t>
      </w:r>
      <w:r w:rsidRPr="005662CC">
        <w:rPr>
          <w:sz w:val="20"/>
          <w:szCs w:val="20"/>
        </w:rPr>
        <w:t>n</w:t>
      </w:r>
      <w:r w:rsidR="00B23C4C">
        <w:rPr>
          <w:sz w:val="20"/>
          <w:szCs w:val="20"/>
        </w:rPr>
        <w:t xml:space="preserve"> one or more of:</w:t>
      </w:r>
    </w:p>
    <w:p w14:paraId="59D97D7F" w14:textId="139AD3C2" w:rsidR="00B23C4C" w:rsidRDefault="00B23C4C" w:rsidP="0017294C">
      <w:pPr>
        <w:pStyle w:val="ListParagraph"/>
        <w:numPr>
          <w:ilvl w:val="0"/>
          <w:numId w:val="18"/>
        </w:numPr>
        <w:ind w:firstLine="131"/>
        <w:rPr>
          <w:sz w:val="20"/>
          <w:szCs w:val="20"/>
        </w:rPr>
      </w:pPr>
      <w:r>
        <w:rPr>
          <w:sz w:val="20"/>
          <w:szCs w:val="20"/>
        </w:rPr>
        <w:t>‘Client Voice’</w:t>
      </w:r>
    </w:p>
    <w:p w14:paraId="594986A4" w14:textId="77777777" w:rsidR="00B23C4C" w:rsidRDefault="00AD1013" w:rsidP="0017294C">
      <w:pPr>
        <w:pStyle w:val="ListParagraph"/>
        <w:numPr>
          <w:ilvl w:val="0"/>
          <w:numId w:val="18"/>
        </w:numPr>
        <w:ind w:firstLine="131"/>
        <w:rPr>
          <w:sz w:val="20"/>
          <w:szCs w:val="20"/>
        </w:rPr>
      </w:pPr>
      <w:r w:rsidRPr="005662CC">
        <w:rPr>
          <w:sz w:val="20"/>
          <w:szCs w:val="20"/>
        </w:rPr>
        <w:t xml:space="preserve">‘Agreed </w:t>
      </w:r>
      <w:r w:rsidR="00B23C4C">
        <w:rPr>
          <w:sz w:val="20"/>
          <w:szCs w:val="20"/>
        </w:rPr>
        <w:t>S</w:t>
      </w:r>
      <w:r w:rsidRPr="005662CC">
        <w:rPr>
          <w:sz w:val="20"/>
          <w:szCs w:val="20"/>
        </w:rPr>
        <w:t>cope</w:t>
      </w:r>
      <w:r w:rsidR="00B23C4C">
        <w:rPr>
          <w:sz w:val="20"/>
          <w:szCs w:val="20"/>
        </w:rPr>
        <w:t>’</w:t>
      </w:r>
    </w:p>
    <w:p w14:paraId="5B1DFFE5" w14:textId="3E3F6BB9" w:rsidR="00AD1013" w:rsidRPr="005662CC" w:rsidRDefault="00B23C4C" w:rsidP="0017294C">
      <w:pPr>
        <w:pStyle w:val="ListParagraph"/>
        <w:numPr>
          <w:ilvl w:val="0"/>
          <w:numId w:val="18"/>
        </w:numPr>
        <w:ind w:firstLine="131"/>
        <w:rPr>
          <w:sz w:val="20"/>
          <w:szCs w:val="20"/>
        </w:rPr>
      </w:pPr>
      <w:r>
        <w:rPr>
          <w:sz w:val="20"/>
          <w:szCs w:val="20"/>
        </w:rPr>
        <w:t xml:space="preserve"> Financial </w:t>
      </w:r>
      <w:r w:rsidR="00AB1BD7" w:rsidRPr="005662CC">
        <w:rPr>
          <w:sz w:val="20"/>
          <w:szCs w:val="20"/>
        </w:rPr>
        <w:t>‘O</w:t>
      </w:r>
      <w:r w:rsidR="00AD1013" w:rsidRPr="005662CC">
        <w:rPr>
          <w:sz w:val="20"/>
          <w:szCs w:val="20"/>
        </w:rPr>
        <w:t>bjectives</w:t>
      </w:r>
      <w:r w:rsidR="00AB1BD7" w:rsidRPr="005662CC">
        <w:rPr>
          <w:sz w:val="20"/>
          <w:szCs w:val="20"/>
        </w:rPr>
        <w:t>’</w:t>
      </w:r>
    </w:p>
    <w:p w14:paraId="28EEE69C" w14:textId="217E68FF" w:rsidR="00E53B4D" w:rsidRPr="0017294C" w:rsidRDefault="00E53B4D" w:rsidP="0017294C">
      <w:pPr>
        <w:ind w:firstLine="720"/>
        <w:rPr>
          <w:sz w:val="20"/>
          <w:szCs w:val="20"/>
        </w:rPr>
      </w:pPr>
      <w:proofErr w:type="spellStart"/>
      <w:r w:rsidRPr="0017294C">
        <w:rPr>
          <w:sz w:val="20"/>
          <w:szCs w:val="20"/>
        </w:rPr>
        <w:t>eg.</w:t>
      </w:r>
      <w:proofErr w:type="spellEnd"/>
      <w:r w:rsidRPr="0017294C">
        <w:rPr>
          <w:sz w:val="20"/>
          <w:szCs w:val="20"/>
        </w:rPr>
        <w:t xml:space="preserve"> This </w:t>
      </w:r>
      <w:r w:rsidR="00DF24F1">
        <w:rPr>
          <w:sz w:val="20"/>
          <w:szCs w:val="20"/>
        </w:rPr>
        <w:t>&lt;XXX&gt;</w:t>
      </w:r>
      <w:r w:rsidRPr="0017294C">
        <w:rPr>
          <w:sz w:val="20"/>
          <w:szCs w:val="20"/>
        </w:rPr>
        <w:t xml:space="preserve"> meets your </w:t>
      </w:r>
      <w:r w:rsidR="00C21116">
        <w:rPr>
          <w:sz w:val="20"/>
          <w:szCs w:val="20"/>
        </w:rPr>
        <w:t>objective</w:t>
      </w:r>
      <w:r w:rsidR="00AB1BD7" w:rsidRPr="0017294C">
        <w:rPr>
          <w:sz w:val="20"/>
          <w:szCs w:val="20"/>
        </w:rPr>
        <w:t xml:space="preserve"> </w:t>
      </w:r>
      <w:r w:rsidR="00B23C4C" w:rsidRPr="0017294C">
        <w:rPr>
          <w:sz w:val="20"/>
          <w:szCs w:val="20"/>
        </w:rPr>
        <w:t xml:space="preserve">for the family </w:t>
      </w:r>
      <w:r w:rsidR="00AB1BD7" w:rsidRPr="0017294C">
        <w:rPr>
          <w:sz w:val="20"/>
          <w:szCs w:val="20"/>
        </w:rPr>
        <w:t>to be debt free</w:t>
      </w:r>
      <w:r w:rsidR="00B23C4C" w:rsidRPr="0017294C">
        <w:rPr>
          <w:sz w:val="20"/>
          <w:szCs w:val="20"/>
        </w:rPr>
        <w:t xml:space="preserve"> if you were to die </w:t>
      </w:r>
      <w:r w:rsidR="00DF24F1">
        <w:rPr>
          <w:sz w:val="20"/>
          <w:szCs w:val="20"/>
        </w:rPr>
        <w:t>'</w:t>
      </w:r>
      <w:r w:rsidR="00B23C4C" w:rsidRPr="0017294C">
        <w:rPr>
          <w:sz w:val="20"/>
          <w:szCs w:val="20"/>
        </w:rPr>
        <w:t>today.</w:t>
      </w:r>
    </w:p>
    <w:p w14:paraId="219C0057" w14:textId="77777777" w:rsidR="00C75E85" w:rsidRDefault="00AB1BD7" w:rsidP="00AD1013">
      <w:pPr>
        <w:pStyle w:val="ListParagraph"/>
        <w:numPr>
          <w:ilvl w:val="0"/>
          <w:numId w:val="2"/>
        </w:numPr>
        <w:rPr>
          <w:sz w:val="20"/>
          <w:szCs w:val="20"/>
        </w:rPr>
      </w:pPr>
      <w:r w:rsidRPr="005662CC">
        <w:rPr>
          <w:b/>
          <w:sz w:val="20"/>
          <w:szCs w:val="20"/>
        </w:rPr>
        <w:t>Further Detail:</w:t>
      </w:r>
      <w:r w:rsidRPr="005662CC">
        <w:rPr>
          <w:sz w:val="20"/>
          <w:szCs w:val="20"/>
        </w:rPr>
        <w:t xml:space="preserve"> </w:t>
      </w:r>
      <w:r w:rsidR="00B23C4C">
        <w:rPr>
          <w:sz w:val="20"/>
          <w:szCs w:val="20"/>
        </w:rPr>
        <w:t xml:space="preserve">… anything else that you feel is worthwhile to say!  </w:t>
      </w:r>
    </w:p>
    <w:p w14:paraId="719FE54A" w14:textId="5D65B34A" w:rsidR="00AD1013" w:rsidRPr="005662CC" w:rsidRDefault="00B23C4C" w:rsidP="00C75E85">
      <w:pPr>
        <w:pStyle w:val="ListParagraph"/>
        <w:rPr>
          <w:sz w:val="20"/>
          <w:szCs w:val="20"/>
        </w:rPr>
      </w:pPr>
      <w:r>
        <w:rPr>
          <w:sz w:val="20"/>
          <w:szCs w:val="20"/>
        </w:rPr>
        <w:t xml:space="preserve">If you are using our strategy library, it is the remainder </w:t>
      </w:r>
      <w:r w:rsidR="00AD1013" w:rsidRPr="005662CC">
        <w:rPr>
          <w:sz w:val="20"/>
          <w:szCs w:val="20"/>
        </w:rPr>
        <w:t>of the strategy fragment</w:t>
      </w:r>
    </w:p>
    <w:p w14:paraId="1E2C4457" w14:textId="3BF28B99" w:rsidR="00AD1013" w:rsidRDefault="00AD1013" w:rsidP="000C6DB1">
      <w:pPr>
        <w:rPr>
          <w:rFonts w:eastAsia="Times New Roman"/>
          <w:b/>
          <w:sz w:val="20"/>
          <w:szCs w:val="20"/>
        </w:rPr>
      </w:pPr>
    </w:p>
    <w:tbl>
      <w:tblPr>
        <w:tblStyle w:val="TableGrid"/>
        <w:tblW w:w="0" w:type="auto"/>
        <w:tblInd w:w="76" w:type="dxa"/>
        <w:tblLook w:val="04A0" w:firstRow="1" w:lastRow="0" w:firstColumn="1" w:lastColumn="0" w:noHBand="0" w:noVBand="1"/>
      </w:tblPr>
      <w:tblGrid>
        <w:gridCol w:w="2634"/>
        <w:gridCol w:w="6306"/>
      </w:tblGrid>
      <w:tr w:rsidR="0041145C" w:rsidRPr="005662CC" w14:paraId="40DC93C8" w14:textId="77777777" w:rsidTr="00B9270D">
        <w:tc>
          <w:tcPr>
            <w:tcW w:w="2634" w:type="dxa"/>
          </w:tcPr>
          <w:p w14:paraId="23468C35" w14:textId="77777777" w:rsidR="0041145C" w:rsidRPr="005662CC" w:rsidRDefault="0041145C" w:rsidP="005A6BF6">
            <w:pPr>
              <w:pStyle w:val="TableHeader2"/>
              <w:rPr>
                <w:rFonts w:ascii="Calibri Light" w:hAnsi="Calibri Light"/>
              </w:rPr>
            </w:pPr>
            <w:r w:rsidRPr="005662CC">
              <w:rPr>
                <w:rFonts w:ascii="Calibri Light" w:hAnsi="Calibri Light"/>
              </w:rPr>
              <w:t>Recommendation #</w:t>
            </w:r>
            <w:r w:rsidR="00BE353B" w:rsidRPr="005662CC">
              <w:rPr>
                <w:rFonts w:ascii="Calibri Light" w:hAnsi="Calibri Light"/>
              </w:rPr>
              <w:t>3</w:t>
            </w:r>
          </w:p>
        </w:tc>
        <w:tc>
          <w:tcPr>
            <w:tcW w:w="6306" w:type="dxa"/>
          </w:tcPr>
          <w:p w14:paraId="647D957C" w14:textId="77777777" w:rsidR="0041145C" w:rsidRPr="005662CC" w:rsidRDefault="0041145C" w:rsidP="005A6BF6">
            <w:pPr>
              <w:pStyle w:val="TableHeader2"/>
              <w:rPr>
                <w:rFonts w:ascii="Calibri Light" w:hAnsi="Calibri Light"/>
              </w:rPr>
            </w:pPr>
          </w:p>
        </w:tc>
      </w:tr>
      <w:tr w:rsidR="0041145C" w:rsidRPr="005662CC" w14:paraId="527EAD94" w14:textId="77777777" w:rsidTr="00B9270D">
        <w:tc>
          <w:tcPr>
            <w:tcW w:w="2634" w:type="dxa"/>
          </w:tcPr>
          <w:p w14:paraId="691E4269" w14:textId="77777777" w:rsidR="0041145C" w:rsidRPr="005662CC" w:rsidRDefault="0041145C" w:rsidP="0041145C">
            <w:pPr>
              <w:pStyle w:val="Instructions"/>
              <w:rPr>
                <w:sz w:val="20"/>
                <w:szCs w:val="20"/>
              </w:rPr>
            </w:pPr>
            <w:r w:rsidRPr="005662CC">
              <w:rPr>
                <w:sz w:val="20"/>
                <w:szCs w:val="20"/>
              </w:rPr>
              <w:t>Title</w:t>
            </w:r>
          </w:p>
        </w:tc>
        <w:tc>
          <w:tcPr>
            <w:tcW w:w="6306" w:type="dxa"/>
          </w:tcPr>
          <w:p w14:paraId="48E69F6B" w14:textId="77777777" w:rsidR="0041145C" w:rsidRPr="005662CC" w:rsidRDefault="00BE353B" w:rsidP="0041145C">
            <w:pPr>
              <w:pStyle w:val="ListParagraph"/>
              <w:rPr>
                <w:rFonts w:eastAsiaTheme="minorHAnsi"/>
                <w:lang w:eastAsia="en-US"/>
              </w:rPr>
            </w:pPr>
            <w:r w:rsidRPr="005662CC">
              <w:rPr>
                <w:rFonts w:eastAsiaTheme="minorHAnsi"/>
                <w:lang w:eastAsia="en-US"/>
              </w:rPr>
              <w:t>Insurance_</w:t>
            </w:r>
            <w:r w:rsidR="00060F89" w:rsidRPr="005662CC">
              <w:rPr>
                <w:rFonts w:eastAsiaTheme="minorHAnsi"/>
                <w:lang w:eastAsia="en-US"/>
              </w:rPr>
              <w:t xml:space="preserve"> To provide</w:t>
            </w:r>
            <w:r w:rsidR="0041145C" w:rsidRPr="005662CC">
              <w:rPr>
                <w:rFonts w:eastAsiaTheme="minorHAnsi"/>
                <w:lang w:eastAsia="en-US"/>
              </w:rPr>
              <w:t xml:space="preserve"> income for your family when you die</w:t>
            </w:r>
          </w:p>
        </w:tc>
      </w:tr>
      <w:tr w:rsidR="0041145C" w:rsidRPr="005662CC" w14:paraId="47F277AC" w14:textId="77777777" w:rsidTr="00B9270D">
        <w:tc>
          <w:tcPr>
            <w:tcW w:w="2634" w:type="dxa"/>
          </w:tcPr>
          <w:p w14:paraId="60D5DB35" w14:textId="77777777" w:rsidR="0041145C" w:rsidRPr="005662CC" w:rsidRDefault="0041145C" w:rsidP="0041145C">
            <w:pPr>
              <w:pStyle w:val="Instructions"/>
              <w:rPr>
                <w:sz w:val="20"/>
                <w:szCs w:val="20"/>
              </w:rPr>
            </w:pPr>
            <w:r w:rsidRPr="005662CC">
              <w:rPr>
                <w:sz w:val="20"/>
                <w:szCs w:val="20"/>
              </w:rPr>
              <w:t>Explanation</w:t>
            </w:r>
          </w:p>
        </w:tc>
        <w:tc>
          <w:tcPr>
            <w:tcW w:w="6306" w:type="dxa"/>
          </w:tcPr>
          <w:p w14:paraId="0747754C" w14:textId="19BA37B1" w:rsidR="00C417DA" w:rsidRPr="005662CC" w:rsidRDefault="0041145C" w:rsidP="00C417DA">
            <w:pPr>
              <w:pStyle w:val="ListParagraph"/>
              <w:rPr>
                <w:rFonts w:eastAsiaTheme="minorHAnsi"/>
                <w:lang w:eastAsia="en-US"/>
              </w:rPr>
            </w:pPr>
            <w:r w:rsidRPr="005662CC">
              <w:rPr>
                <w:rFonts w:eastAsiaTheme="minorHAnsi"/>
                <w:lang w:eastAsia="en-US"/>
              </w:rPr>
              <w:t xml:space="preserve">Apply for </w:t>
            </w:r>
            <w:r w:rsidR="00C417DA" w:rsidRPr="005662CC">
              <w:rPr>
                <w:rFonts w:eastAsiaTheme="minorHAnsi"/>
                <w:lang w:eastAsia="en-US"/>
              </w:rPr>
              <w:t xml:space="preserve">a OneCare </w:t>
            </w:r>
            <w:r w:rsidRPr="005662CC">
              <w:rPr>
                <w:rFonts w:eastAsiaTheme="minorHAnsi"/>
                <w:lang w:eastAsia="en-US"/>
              </w:rPr>
              <w:t xml:space="preserve">Income </w:t>
            </w:r>
            <w:r w:rsidR="00C417DA" w:rsidRPr="005662CC">
              <w:rPr>
                <w:rFonts w:eastAsiaTheme="minorHAnsi"/>
                <w:lang w:eastAsia="en-US"/>
              </w:rPr>
              <w:t>Life Policy ($</w:t>
            </w:r>
            <w:r w:rsidR="00D03BDD">
              <w:rPr>
                <w:rFonts w:eastAsiaTheme="minorHAnsi"/>
                <w:lang w:eastAsia="en-US"/>
              </w:rPr>
              <w:t>800,000</w:t>
            </w:r>
            <w:r w:rsidR="00C417DA" w:rsidRPr="005662CC">
              <w:rPr>
                <w:rFonts w:eastAsiaTheme="minorHAnsi"/>
                <w:lang w:eastAsia="en-US"/>
              </w:rPr>
              <w:t>) from</w:t>
            </w:r>
            <w:r w:rsidRPr="005662CC">
              <w:rPr>
                <w:rFonts w:eastAsiaTheme="minorHAnsi"/>
                <w:lang w:eastAsia="en-US"/>
              </w:rPr>
              <w:t xml:space="preserve"> </w:t>
            </w:r>
            <w:r w:rsidR="00C417DA" w:rsidRPr="005662CC">
              <w:rPr>
                <w:rFonts w:eastAsiaTheme="minorHAnsi"/>
                <w:lang w:eastAsia="en-US"/>
              </w:rPr>
              <w:t xml:space="preserve">your </w:t>
            </w:r>
            <w:r w:rsidR="000A522D">
              <w:rPr>
                <w:rFonts w:eastAsiaTheme="minorHAnsi"/>
                <w:lang w:eastAsia="en-US"/>
              </w:rPr>
              <w:t xml:space="preserve">existing </w:t>
            </w:r>
            <w:r w:rsidR="00AC337C" w:rsidRPr="005662CC">
              <w:rPr>
                <w:rFonts w:eastAsiaTheme="minorHAnsi"/>
                <w:lang w:eastAsia="en-US"/>
              </w:rPr>
              <w:t>OnePath</w:t>
            </w:r>
            <w:r w:rsidR="00743D55">
              <w:rPr>
                <w:rFonts w:eastAsiaTheme="minorHAnsi"/>
                <w:lang w:eastAsia="en-US"/>
              </w:rPr>
              <w:t xml:space="preserve"> Frontier</w:t>
            </w:r>
            <w:r w:rsidR="00AC337C" w:rsidRPr="005662CC">
              <w:rPr>
                <w:rFonts w:eastAsiaTheme="minorHAnsi"/>
                <w:lang w:eastAsia="en-US"/>
              </w:rPr>
              <w:t xml:space="preserve"> superannuation:</w:t>
            </w:r>
            <w:r w:rsidR="00AC337C" w:rsidRPr="005662CC">
              <w:rPr>
                <w:rFonts w:eastAsiaTheme="minorHAnsi"/>
                <w:lang w:eastAsia="en-US"/>
              </w:rPr>
              <w:br/>
              <w:t xml:space="preserve">- </w:t>
            </w:r>
            <w:r w:rsidR="00C417DA" w:rsidRPr="005662CC">
              <w:rPr>
                <w:rFonts w:eastAsiaTheme="minorHAnsi"/>
                <w:lang w:eastAsia="en-US"/>
              </w:rPr>
              <w:t>extended terminal illness benefit</w:t>
            </w:r>
          </w:p>
          <w:p w14:paraId="5B6B8D72" w14:textId="77777777" w:rsidR="00AC337C" w:rsidRPr="005662CC" w:rsidRDefault="00AC337C" w:rsidP="00AC337C">
            <w:pPr>
              <w:pStyle w:val="ListParagraph"/>
              <w:rPr>
                <w:rFonts w:eastAsiaTheme="minorHAnsi"/>
                <w:lang w:eastAsia="en-US"/>
              </w:rPr>
            </w:pPr>
            <w:r w:rsidRPr="005662CC">
              <w:rPr>
                <w:rFonts w:eastAsiaTheme="minorHAnsi"/>
                <w:lang w:eastAsia="en-US"/>
              </w:rPr>
              <w:t>- serious disability premium waiver</w:t>
            </w:r>
          </w:p>
          <w:p w14:paraId="5DC92437" w14:textId="17F743FD" w:rsidR="00AC337C" w:rsidRDefault="00AC337C" w:rsidP="00C417DA">
            <w:pPr>
              <w:pStyle w:val="ListParagraph"/>
              <w:rPr>
                <w:rFonts w:eastAsiaTheme="minorHAnsi"/>
                <w:lang w:eastAsia="en-US"/>
              </w:rPr>
            </w:pPr>
            <w:r w:rsidRPr="005662CC">
              <w:rPr>
                <w:rFonts w:eastAsiaTheme="minorHAnsi"/>
                <w:lang w:eastAsia="en-US"/>
              </w:rPr>
              <w:t>- benefit indexation</w:t>
            </w:r>
          </w:p>
          <w:p w14:paraId="481E2807" w14:textId="7C2F0343" w:rsidR="000D5B40" w:rsidRPr="00D03BDD" w:rsidRDefault="00D03BDD" w:rsidP="00D03BDD">
            <w:pPr>
              <w:pStyle w:val="ListParagraph"/>
              <w:rPr>
                <w:rFonts w:eastAsiaTheme="minorHAnsi"/>
                <w:lang w:eastAsia="en-US"/>
              </w:rPr>
            </w:pPr>
            <w:r>
              <w:rPr>
                <w:rFonts w:eastAsiaTheme="minorHAnsi"/>
                <w:lang w:eastAsia="en-US"/>
              </w:rPr>
              <w:t>- etc</w:t>
            </w:r>
          </w:p>
        </w:tc>
      </w:tr>
      <w:tr w:rsidR="0041145C" w:rsidRPr="005662CC" w14:paraId="7C008620" w14:textId="77777777" w:rsidTr="00B9270D">
        <w:tc>
          <w:tcPr>
            <w:tcW w:w="2634" w:type="dxa"/>
          </w:tcPr>
          <w:p w14:paraId="3BE5E73D" w14:textId="77777777" w:rsidR="0041145C" w:rsidRPr="005662CC" w:rsidRDefault="0041145C" w:rsidP="0041145C">
            <w:pPr>
              <w:pStyle w:val="Instructions"/>
              <w:rPr>
                <w:sz w:val="20"/>
                <w:szCs w:val="20"/>
              </w:rPr>
            </w:pPr>
            <w:r w:rsidRPr="005662CC">
              <w:rPr>
                <w:sz w:val="20"/>
                <w:szCs w:val="20"/>
              </w:rPr>
              <w:t>In your Best Interest</w:t>
            </w:r>
          </w:p>
        </w:tc>
        <w:tc>
          <w:tcPr>
            <w:tcW w:w="6306" w:type="dxa"/>
          </w:tcPr>
          <w:p w14:paraId="335F0E8A" w14:textId="1880D0A1" w:rsidR="00CB6793" w:rsidRPr="005662CC" w:rsidRDefault="00CB6793" w:rsidP="00CB6793">
            <w:r>
              <w:t xml:space="preserve">This will provide </w:t>
            </w:r>
            <w:r w:rsidRPr="00CB6793">
              <w:t>$500,000 to discharge the mortgage</w:t>
            </w:r>
            <w:r>
              <w:t xml:space="preserve"> &amp; the </w:t>
            </w:r>
            <w:r>
              <w:t>estimate</w:t>
            </w:r>
            <w:r>
              <w:t>d</w:t>
            </w:r>
            <w:r>
              <w:t xml:space="preserve"> $300,000 needed for the secondary education of your two children.</w:t>
            </w:r>
          </w:p>
          <w:p w14:paraId="4AD22C76" w14:textId="45E63C9A" w:rsidR="000D5B40" w:rsidRPr="005662CC" w:rsidRDefault="000D5B40" w:rsidP="00AC337C">
            <w:pPr>
              <w:ind w:left="724"/>
              <w:rPr>
                <w:rFonts w:eastAsiaTheme="minorHAnsi"/>
                <w:lang w:eastAsia="en-US"/>
              </w:rPr>
            </w:pPr>
          </w:p>
        </w:tc>
      </w:tr>
      <w:tr w:rsidR="0041145C" w:rsidRPr="005662CC" w14:paraId="45B90EDC" w14:textId="77777777" w:rsidTr="00B9270D">
        <w:tc>
          <w:tcPr>
            <w:tcW w:w="2634" w:type="dxa"/>
          </w:tcPr>
          <w:p w14:paraId="3B2682F8" w14:textId="77777777" w:rsidR="0041145C" w:rsidRPr="005662CC" w:rsidRDefault="0041145C" w:rsidP="0041145C">
            <w:pPr>
              <w:pStyle w:val="Instructions"/>
              <w:rPr>
                <w:sz w:val="20"/>
                <w:szCs w:val="20"/>
              </w:rPr>
            </w:pPr>
            <w:r w:rsidRPr="005662CC">
              <w:rPr>
                <w:sz w:val="20"/>
                <w:szCs w:val="20"/>
              </w:rPr>
              <w:t>Further Detail</w:t>
            </w:r>
          </w:p>
        </w:tc>
        <w:tc>
          <w:tcPr>
            <w:tcW w:w="6306" w:type="dxa"/>
          </w:tcPr>
          <w:p w14:paraId="4F7B3BFC" w14:textId="77777777" w:rsidR="0041145C" w:rsidRPr="005662CC" w:rsidRDefault="00AC337C" w:rsidP="0041145C">
            <w:pPr>
              <w:pStyle w:val="ListParagraph"/>
              <w:rPr>
                <w:rFonts w:eastAsiaTheme="minorHAnsi"/>
                <w:lang w:eastAsia="en-US"/>
              </w:rPr>
            </w:pPr>
            <w:r w:rsidRPr="005662CC">
              <w:rPr>
                <w:rFonts w:eastAsiaTheme="minorHAnsi"/>
                <w:lang w:eastAsia="en-US"/>
              </w:rPr>
              <w:t>&lt;selected Life Cover strategy text&gt;</w:t>
            </w:r>
          </w:p>
        </w:tc>
      </w:tr>
    </w:tbl>
    <w:p w14:paraId="677BDF5E" w14:textId="77777777" w:rsidR="00AD1013" w:rsidRPr="000A469A" w:rsidRDefault="00AC337C" w:rsidP="00C417DA">
      <w:pPr>
        <w:pStyle w:val="ListParagraph"/>
        <w:numPr>
          <w:ilvl w:val="0"/>
          <w:numId w:val="14"/>
        </w:numPr>
        <w:rPr>
          <w:rFonts w:eastAsia="Times New Roman"/>
          <w:i/>
          <w:sz w:val="18"/>
          <w:szCs w:val="18"/>
        </w:rPr>
      </w:pPr>
      <w:r w:rsidRPr="000A469A">
        <w:rPr>
          <w:rFonts w:eastAsia="Times New Roman"/>
          <w:i/>
          <w:sz w:val="18"/>
          <w:szCs w:val="18"/>
        </w:rPr>
        <w:t>state</w:t>
      </w:r>
      <w:r w:rsidR="00C417DA" w:rsidRPr="000A469A">
        <w:rPr>
          <w:rFonts w:eastAsia="Times New Roman"/>
          <w:i/>
          <w:sz w:val="18"/>
          <w:szCs w:val="18"/>
        </w:rPr>
        <w:t xml:space="preserve"> key calculation assumptions</w:t>
      </w:r>
    </w:p>
    <w:p w14:paraId="614CB20B" w14:textId="0E2988BB" w:rsidR="00926258" w:rsidRDefault="00926258" w:rsidP="000A469A">
      <w:pPr>
        <w:rPr>
          <w:rFonts w:eastAsia="Times New Roman"/>
          <w:b/>
          <w:sz w:val="28"/>
          <w:szCs w:val="28"/>
        </w:rPr>
      </w:pPr>
    </w:p>
    <w:p w14:paraId="6A6F260D" w14:textId="4513C2CC" w:rsidR="00DE38F3" w:rsidRDefault="00DE38F3" w:rsidP="000A469A">
      <w:pPr>
        <w:rPr>
          <w:rFonts w:eastAsia="Times New Roman"/>
          <w:b/>
          <w:sz w:val="28"/>
          <w:szCs w:val="28"/>
        </w:rPr>
      </w:pPr>
    </w:p>
    <w:p w14:paraId="2224F28A" w14:textId="77777777" w:rsidR="00DE38F3" w:rsidRDefault="00DE38F3" w:rsidP="000A469A">
      <w:pPr>
        <w:rPr>
          <w:rFonts w:eastAsia="Times New Roman"/>
          <w:b/>
          <w:sz w:val="28"/>
          <w:szCs w:val="28"/>
        </w:rPr>
      </w:pPr>
    </w:p>
    <w:tbl>
      <w:tblPr>
        <w:tblStyle w:val="TableGrid"/>
        <w:tblW w:w="0" w:type="auto"/>
        <w:tblInd w:w="76" w:type="dxa"/>
        <w:tblLook w:val="04A0" w:firstRow="1" w:lastRow="0" w:firstColumn="1" w:lastColumn="0" w:noHBand="0" w:noVBand="1"/>
      </w:tblPr>
      <w:tblGrid>
        <w:gridCol w:w="2634"/>
        <w:gridCol w:w="6306"/>
      </w:tblGrid>
      <w:tr w:rsidR="00A15BC0" w:rsidRPr="005662CC" w14:paraId="01E65081" w14:textId="77777777" w:rsidTr="00F672C4">
        <w:tc>
          <w:tcPr>
            <w:tcW w:w="2634" w:type="dxa"/>
          </w:tcPr>
          <w:p w14:paraId="7D36CF6C" w14:textId="034DDF5F" w:rsidR="00A15BC0" w:rsidRPr="005662CC" w:rsidRDefault="00A15BC0" w:rsidP="00F672C4">
            <w:pPr>
              <w:pStyle w:val="TableHeader2"/>
              <w:rPr>
                <w:rFonts w:ascii="Calibri Light" w:hAnsi="Calibri Light"/>
              </w:rPr>
            </w:pPr>
            <w:r w:rsidRPr="005662CC">
              <w:rPr>
                <w:rFonts w:ascii="Calibri Light" w:hAnsi="Calibri Light"/>
              </w:rPr>
              <w:lastRenderedPageBreak/>
              <w:t>Recommendation #</w:t>
            </w:r>
            <w:r>
              <w:rPr>
                <w:rFonts w:ascii="Calibri Light" w:hAnsi="Calibri Light"/>
              </w:rPr>
              <w:t>4</w:t>
            </w:r>
          </w:p>
        </w:tc>
        <w:tc>
          <w:tcPr>
            <w:tcW w:w="6306" w:type="dxa"/>
          </w:tcPr>
          <w:p w14:paraId="3AC064C3" w14:textId="77777777" w:rsidR="00A15BC0" w:rsidRPr="005662CC" w:rsidRDefault="00A15BC0" w:rsidP="00F672C4">
            <w:pPr>
              <w:pStyle w:val="TableHeader2"/>
              <w:rPr>
                <w:rFonts w:ascii="Calibri Light" w:hAnsi="Calibri Light"/>
              </w:rPr>
            </w:pPr>
          </w:p>
        </w:tc>
      </w:tr>
      <w:tr w:rsidR="00A15BC0" w:rsidRPr="005662CC" w14:paraId="591287FB" w14:textId="77777777" w:rsidTr="00F672C4">
        <w:tc>
          <w:tcPr>
            <w:tcW w:w="2634" w:type="dxa"/>
          </w:tcPr>
          <w:p w14:paraId="7BAB1929" w14:textId="77777777" w:rsidR="00A15BC0" w:rsidRPr="005662CC" w:rsidRDefault="00A15BC0" w:rsidP="00F672C4">
            <w:pPr>
              <w:pStyle w:val="Instructions"/>
              <w:rPr>
                <w:sz w:val="20"/>
                <w:szCs w:val="20"/>
              </w:rPr>
            </w:pPr>
            <w:r w:rsidRPr="005662CC">
              <w:rPr>
                <w:sz w:val="20"/>
                <w:szCs w:val="20"/>
              </w:rPr>
              <w:t>Title</w:t>
            </w:r>
          </w:p>
        </w:tc>
        <w:tc>
          <w:tcPr>
            <w:tcW w:w="6306" w:type="dxa"/>
          </w:tcPr>
          <w:p w14:paraId="6DF131DB" w14:textId="12BD9139" w:rsidR="00A15BC0" w:rsidRPr="005662CC" w:rsidRDefault="00F672C4" w:rsidP="00F672C4">
            <w:pPr>
              <w:pStyle w:val="ListParagraph"/>
              <w:ind w:left="867"/>
              <w:rPr>
                <w:rFonts w:eastAsiaTheme="minorHAnsi"/>
                <w:lang w:eastAsia="en-US"/>
              </w:rPr>
            </w:pPr>
            <w:r>
              <w:rPr>
                <w:rFonts w:eastAsiaTheme="minorHAnsi"/>
                <w:lang w:eastAsia="en-US"/>
              </w:rPr>
              <w:t>&lt;Title&gt;</w:t>
            </w:r>
          </w:p>
        </w:tc>
      </w:tr>
      <w:tr w:rsidR="00F672C4" w:rsidRPr="005662CC" w14:paraId="7EB40D50" w14:textId="77777777" w:rsidTr="00F672C4">
        <w:tc>
          <w:tcPr>
            <w:tcW w:w="2634" w:type="dxa"/>
          </w:tcPr>
          <w:p w14:paraId="36F797E7" w14:textId="77777777" w:rsidR="00F672C4" w:rsidRPr="005662CC" w:rsidRDefault="00F672C4" w:rsidP="00F672C4">
            <w:pPr>
              <w:pStyle w:val="Instructions"/>
              <w:rPr>
                <w:sz w:val="20"/>
                <w:szCs w:val="20"/>
              </w:rPr>
            </w:pPr>
            <w:r w:rsidRPr="005662CC">
              <w:rPr>
                <w:sz w:val="20"/>
                <w:szCs w:val="20"/>
              </w:rPr>
              <w:t>Explanation</w:t>
            </w:r>
          </w:p>
        </w:tc>
        <w:tc>
          <w:tcPr>
            <w:tcW w:w="6306" w:type="dxa"/>
          </w:tcPr>
          <w:p w14:paraId="02FF1D70" w14:textId="45503A02" w:rsidR="00F672C4" w:rsidRDefault="00F672C4" w:rsidP="00F672C4">
            <w:pPr>
              <w:pStyle w:val="ListParagraph"/>
              <w:rPr>
                <w:rFonts w:eastAsiaTheme="minorHAnsi"/>
                <w:lang w:eastAsia="en-US"/>
              </w:rPr>
            </w:pPr>
            <w:r>
              <w:rPr>
                <w:rFonts w:eastAsiaTheme="minorHAnsi"/>
                <w:lang w:eastAsia="en-US"/>
              </w:rPr>
              <w:t>Invest $30,000 into the</w:t>
            </w:r>
            <w:r w:rsidR="005E4D86">
              <w:rPr>
                <w:rFonts w:eastAsiaTheme="minorHAnsi"/>
                <w:lang w:eastAsia="en-US"/>
              </w:rPr>
              <w:t xml:space="preserve"> existing</w:t>
            </w:r>
            <w:r>
              <w:rPr>
                <w:rFonts w:eastAsiaTheme="minorHAnsi"/>
                <w:lang w:eastAsia="en-US"/>
              </w:rPr>
              <w:t xml:space="preserve"> OnePath Frontier Investment portfolio:</w:t>
            </w:r>
          </w:p>
          <w:p w14:paraId="1018F788" w14:textId="77777777" w:rsidR="00F672C4" w:rsidRDefault="00F672C4" w:rsidP="00F672C4">
            <w:pPr>
              <w:pStyle w:val="ListParagraph"/>
              <w:numPr>
                <w:ilvl w:val="0"/>
                <w:numId w:val="18"/>
              </w:numPr>
              <w:ind w:left="867" w:hanging="142"/>
              <w:rPr>
                <w:rFonts w:eastAsiaTheme="minorHAnsi"/>
                <w:lang w:eastAsia="en-US"/>
              </w:rPr>
            </w:pPr>
            <w:r>
              <w:rPr>
                <w:rFonts w:eastAsiaTheme="minorHAnsi"/>
                <w:lang w:eastAsia="en-US"/>
              </w:rPr>
              <w:t>Product 1   $12,000</w:t>
            </w:r>
          </w:p>
          <w:p w14:paraId="28DCC579" w14:textId="6CFAE49A" w:rsidR="00F672C4" w:rsidRDefault="00F672C4" w:rsidP="00F672C4">
            <w:pPr>
              <w:pStyle w:val="ListParagraph"/>
              <w:numPr>
                <w:ilvl w:val="0"/>
                <w:numId w:val="18"/>
              </w:numPr>
              <w:ind w:left="867" w:hanging="142"/>
              <w:rPr>
                <w:rFonts w:eastAsiaTheme="minorHAnsi"/>
                <w:lang w:eastAsia="en-US"/>
              </w:rPr>
            </w:pPr>
            <w:r>
              <w:rPr>
                <w:rFonts w:eastAsiaTheme="minorHAnsi"/>
                <w:lang w:eastAsia="en-US"/>
              </w:rPr>
              <w:t>Product 2    $</w:t>
            </w:r>
            <w:r w:rsidR="00373DFE">
              <w:rPr>
                <w:rFonts w:eastAsiaTheme="minorHAnsi"/>
                <w:lang w:eastAsia="en-US"/>
              </w:rPr>
              <w:t xml:space="preserve"> </w:t>
            </w:r>
            <w:r>
              <w:rPr>
                <w:rFonts w:eastAsiaTheme="minorHAnsi"/>
                <w:lang w:eastAsia="en-US"/>
              </w:rPr>
              <w:t>7,500</w:t>
            </w:r>
          </w:p>
          <w:p w14:paraId="78EB8757" w14:textId="38906BC1" w:rsidR="00F672C4" w:rsidRPr="005662CC" w:rsidRDefault="00F672C4" w:rsidP="00F672C4">
            <w:pPr>
              <w:pStyle w:val="ListParagraph"/>
              <w:numPr>
                <w:ilvl w:val="0"/>
                <w:numId w:val="18"/>
              </w:numPr>
              <w:ind w:left="867" w:hanging="142"/>
              <w:rPr>
                <w:rFonts w:eastAsiaTheme="minorHAnsi"/>
                <w:lang w:eastAsia="en-US"/>
              </w:rPr>
            </w:pPr>
            <w:r>
              <w:rPr>
                <w:rFonts w:eastAsiaTheme="minorHAnsi"/>
                <w:lang w:eastAsia="en-US"/>
              </w:rPr>
              <w:t>Product 3   $10,500</w:t>
            </w:r>
          </w:p>
        </w:tc>
      </w:tr>
      <w:tr w:rsidR="00F672C4" w:rsidRPr="005662CC" w14:paraId="5ACB2B29" w14:textId="77777777" w:rsidTr="00F672C4">
        <w:tc>
          <w:tcPr>
            <w:tcW w:w="2634" w:type="dxa"/>
          </w:tcPr>
          <w:p w14:paraId="5C6FA7E1" w14:textId="77777777" w:rsidR="00F672C4" w:rsidRPr="005662CC" w:rsidRDefault="00F672C4" w:rsidP="00F672C4">
            <w:pPr>
              <w:pStyle w:val="Instructions"/>
              <w:rPr>
                <w:sz w:val="20"/>
                <w:szCs w:val="20"/>
              </w:rPr>
            </w:pPr>
            <w:r w:rsidRPr="005662CC">
              <w:rPr>
                <w:sz w:val="20"/>
                <w:szCs w:val="20"/>
              </w:rPr>
              <w:t>In your Best Interest</w:t>
            </w:r>
          </w:p>
        </w:tc>
        <w:tc>
          <w:tcPr>
            <w:tcW w:w="6306" w:type="dxa"/>
          </w:tcPr>
          <w:p w14:paraId="5F0841A4" w14:textId="249B6C82" w:rsidR="00F672C4" w:rsidRPr="005662CC" w:rsidRDefault="00373DFE" w:rsidP="00373DFE">
            <w:pPr>
              <w:ind w:left="724"/>
              <w:rPr>
                <w:rFonts w:eastAsiaTheme="minorHAnsi"/>
                <w:lang w:eastAsia="en-US"/>
              </w:rPr>
            </w:pPr>
            <w:r>
              <w:rPr>
                <w:rFonts w:eastAsiaTheme="minorHAnsi"/>
                <w:lang w:eastAsia="en-US"/>
              </w:rPr>
              <w:t>&lt;</w:t>
            </w:r>
            <w:r w:rsidR="000972C0">
              <w:rPr>
                <w:rFonts w:eastAsiaTheme="minorHAnsi"/>
                <w:lang w:eastAsia="en-US"/>
              </w:rPr>
              <w:t xml:space="preserve">the previously disclosed </w:t>
            </w:r>
            <w:r>
              <w:rPr>
                <w:rFonts w:eastAsiaTheme="minorHAnsi"/>
                <w:lang w:eastAsia="en-US"/>
              </w:rPr>
              <w:t>Goal/Objective</w:t>
            </w:r>
            <w:r w:rsidR="000972C0">
              <w:rPr>
                <w:rFonts w:eastAsiaTheme="minorHAnsi"/>
                <w:lang w:eastAsia="en-US"/>
              </w:rPr>
              <w:t xml:space="preserve"> being addressed</w:t>
            </w:r>
            <w:r>
              <w:rPr>
                <w:rFonts w:eastAsiaTheme="minorHAnsi"/>
                <w:lang w:eastAsia="en-US"/>
              </w:rPr>
              <w:t>&gt;</w:t>
            </w:r>
          </w:p>
        </w:tc>
      </w:tr>
      <w:tr w:rsidR="00F672C4" w:rsidRPr="005662CC" w14:paraId="77BDF04C" w14:textId="77777777" w:rsidTr="00F672C4">
        <w:tc>
          <w:tcPr>
            <w:tcW w:w="2634" w:type="dxa"/>
          </w:tcPr>
          <w:p w14:paraId="3F43A407" w14:textId="77777777" w:rsidR="00F672C4" w:rsidRPr="005662CC" w:rsidRDefault="00F672C4" w:rsidP="00F672C4">
            <w:pPr>
              <w:pStyle w:val="Instructions"/>
              <w:rPr>
                <w:sz w:val="20"/>
                <w:szCs w:val="20"/>
              </w:rPr>
            </w:pPr>
            <w:r w:rsidRPr="005662CC">
              <w:rPr>
                <w:sz w:val="20"/>
                <w:szCs w:val="20"/>
              </w:rPr>
              <w:t>Further Detail</w:t>
            </w:r>
          </w:p>
        </w:tc>
        <w:tc>
          <w:tcPr>
            <w:tcW w:w="6306" w:type="dxa"/>
          </w:tcPr>
          <w:p w14:paraId="20F87C1C" w14:textId="1608DC5F" w:rsidR="00F672C4" w:rsidRPr="005662CC" w:rsidRDefault="00373DFE" w:rsidP="00F672C4">
            <w:pPr>
              <w:pStyle w:val="ListParagraph"/>
              <w:rPr>
                <w:rFonts w:eastAsiaTheme="minorHAnsi"/>
                <w:lang w:eastAsia="en-US"/>
              </w:rPr>
            </w:pPr>
            <w:r>
              <w:rPr>
                <w:rFonts w:eastAsiaTheme="minorHAnsi"/>
                <w:lang w:eastAsia="en-US"/>
              </w:rPr>
              <w:t>&lt;Other&gt;</w:t>
            </w:r>
          </w:p>
        </w:tc>
      </w:tr>
    </w:tbl>
    <w:p w14:paraId="0C255F16" w14:textId="2608216B" w:rsidR="00926258" w:rsidRDefault="00926258" w:rsidP="000A469A">
      <w:pPr>
        <w:rPr>
          <w:rFonts w:eastAsia="Times New Roman"/>
          <w:b/>
          <w:sz w:val="28"/>
          <w:szCs w:val="28"/>
        </w:rPr>
      </w:pPr>
    </w:p>
    <w:p w14:paraId="504945D0" w14:textId="77777777" w:rsidR="005C639E" w:rsidRDefault="005C639E" w:rsidP="000A469A">
      <w:pPr>
        <w:rPr>
          <w:rFonts w:eastAsia="Times New Roman"/>
          <w:b/>
          <w:sz w:val="28"/>
          <w:szCs w:val="28"/>
        </w:rPr>
      </w:pPr>
    </w:p>
    <w:p w14:paraId="60FF03B2" w14:textId="48CA4999" w:rsidR="00FB2226" w:rsidRPr="00FB2226" w:rsidRDefault="00F526D1" w:rsidP="00FB2226">
      <w:pPr>
        <w:pStyle w:val="Heading2"/>
        <w:rPr>
          <w:rFonts w:eastAsia="Times New Roman"/>
          <w:b/>
          <w:sz w:val="28"/>
          <w:szCs w:val="28"/>
        </w:rPr>
      </w:pPr>
      <w:bookmarkStart w:id="14" w:name="_Toc36642367"/>
      <w:r>
        <w:rPr>
          <w:rFonts w:eastAsia="Times New Roman"/>
          <w:b/>
          <w:sz w:val="28"/>
          <w:szCs w:val="28"/>
        </w:rPr>
        <w:t>Uncritical R</w:t>
      </w:r>
      <w:r w:rsidR="00FB2226">
        <w:rPr>
          <w:rFonts w:eastAsia="Times New Roman"/>
          <w:b/>
          <w:sz w:val="28"/>
          <w:szCs w:val="28"/>
        </w:rPr>
        <w:t xml:space="preserve">eliance Upon </w:t>
      </w:r>
      <w:r w:rsidR="00FB2226" w:rsidRPr="00FB2226">
        <w:rPr>
          <w:rFonts w:eastAsia="Times New Roman"/>
          <w:b/>
          <w:sz w:val="28"/>
          <w:szCs w:val="28"/>
        </w:rPr>
        <w:t>Generic Text</w:t>
      </w:r>
      <w:r w:rsidR="00FB2226">
        <w:rPr>
          <w:rFonts w:eastAsia="Times New Roman"/>
          <w:b/>
          <w:sz w:val="28"/>
          <w:szCs w:val="28"/>
        </w:rPr>
        <w:t>s</w:t>
      </w:r>
      <w:r w:rsidR="006E1A49">
        <w:rPr>
          <w:rFonts w:eastAsia="Times New Roman"/>
          <w:b/>
          <w:sz w:val="28"/>
          <w:szCs w:val="28"/>
        </w:rPr>
        <w:t xml:space="preserve"> or templated </w:t>
      </w:r>
      <w:r w:rsidR="004C5723">
        <w:rPr>
          <w:rFonts w:eastAsia="Times New Roman"/>
          <w:b/>
          <w:sz w:val="28"/>
          <w:szCs w:val="28"/>
        </w:rPr>
        <w:t>footnotes</w:t>
      </w:r>
      <w:bookmarkEnd w:id="14"/>
    </w:p>
    <w:p w14:paraId="4B6985C5" w14:textId="77777777" w:rsidR="006E1A49" w:rsidRDefault="006E1A49" w:rsidP="000A02E0">
      <w:pPr>
        <w:pStyle w:val="ListParagraph"/>
        <w:ind w:left="426"/>
        <w:rPr>
          <w:sz w:val="20"/>
          <w:szCs w:val="20"/>
        </w:rPr>
      </w:pPr>
    </w:p>
    <w:p w14:paraId="667608FD" w14:textId="1B8F381F" w:rsidR="00FB2226" w:rsidRDefault="00FB2226" w:rsidP="000A02E0">
      <w:pPr>
        <w:pStyle w:val="ListParagraph"/>
        <w:ind w:left="426"/>
        <w:rPr>
          <w:sz w:val="20"/>
          <w:szCs w:val="20"/>
        </w:rPr>
      </w:pPr>
      <w:r w:rsidRPr="005662CC">
        <w:rPr>
          <w:sz w:val="20"/>
          <w:szCs w:val="20"/>
        </w:rPr>
        <w:t xml:space="preserve">If you </w:t>
      </w:r>
      <w:r w:rsidRPr="005662CC">
        <w:rPr>
          <w:b/>
          <w:sz w:val="20"/>
          <w:szCs w:val="20"/>
        </w:rPr>
        <w:t>solely</w:t>
      </w:r>
      <w:r w:rsidRPr="005662CC">
        <w:rPr>
          <w:sz w:val="20"/>
          <w:szCs w:val="20"/>
        </w:rPr>
        <w:t xml:space="preserve"> rely on </w:t>
      </w:r>
      <w:r>
        <w:rPr>
          <w:sz w:val="20"/>
          <w:szCs w:val="20"/>
        </w:rPr>
        <w:t xml:space="preserve">the </w:t>
      </w:r>
      <w:r w:rsidR="00F526D1">
        <w:rPr>
          <w:sz w:val="20"/>
          <w:szCs w:val="20"/>
        </w:rPr>
        <w:t>pre-existing wording of</w:t>
      </w:r>
      <w:r>
        <w:rPr>
          <w:sz w:val="20"/>
          <w:szCs w:val="20"/>
        </w:rPr>
        <w:t xml:space="preserve"> </w:t>
      </w:r>
      <w:r w:rsidRPr="005662CC">
        <w:rPr>
          <w:sz w:val="20"/>
          <w:szCs w:val="20"/>
        </w:rPr>
        <w:t xml:space="preserve">generic text, it is highly unlikely you will </w:t>
      </w:r>
      <w:r w:rsidR="005C639E">
        <w:rPr>
          <w:sz w:val="20"/>
          <w:szCs w:val="20"/>
        </w:rPr>
        <w:t>satisfy the</w:t>
      </w:r>
      <w:r w:rsidRPr="005662CC">
        <w:rPr>
          <w:sz w:val="20"/>
          <w:szCs w:val="20"/>
        </w:rPr>
        <w:t xml:space="preserve"> Best Interest</w:t>
      </w:r>
      <w:r w:rsidR="005C639E">
        <w:rPr>
          <w:sz w:val="20"/>
          <w:szCs w:val="20"/>
        </w:rPr>
        <w:t xml:space="preserve"> duty</w:t>
      </w:r>
      <w:r w:rsidRPr="005662CC">
        <w:rPr>
          <w:sz w:val="20"/>
          <w:szCs w:val="20"/>
        </w:rPr>
        <w:t>. Selective ‘additions’, ‘modifications’ or ‘pruning’ of text is typically required.</w:t>
      </w:r>
    </w:p>
    <w:p w14:paraId="2EB42CBA" w14:textId="77777777" w:rsidR="006E1A49" w:rsidRDefault="006E1A49" w:rsidP="006E1A49">
      <w:pPr>
        <w:pStyle w:val="ListParagraph"/>
        <w:ind w:left="426"/>
        <w:rPr>
          <w:sz w:val="20"/>
          <w:szCs w:val="20"/>
        </w:rPr>
      </w:pPr>
    </w:p>
    <w:p w14:paraId="43E1AC43" w14:textId="4C568835" w:rsidR="006E1A49" w:rsidRPr="000F32F2" w:rsidRDefault="006E1A49" w:rsidP="006E1A49">
      <w:pPr>
        <w:pStyle w:val="ListParagraph"/>
        <w:ind w:left="426"/>
        <w:rPr>
          <w:sz w:val="20"/>
          <w:szCs w:val="20"/>
        </w:rPr>
      </w:pPr>
      <w:r w:rsidRPr="000F32F2">
        <w:rPr>
          <w:sz w:val="20"/>
          <w:szCs w:val="20"/>
        </w:rPr>
        <w:t>Inclusions of irrelevant or contradictory material does not demonstrate Best Interest as it may appear to be one-size-fits-all advice.</w:t>
      </w:r>
    </w:p>
    <w:p w14:paraId="272F8FCB" w14:textId="77777777" w:rsidR="006E1A49" w:rsidRDefault="006E1A49" w:rsidP="006E1A49">
      <w:pPr>
        <w:pStyle w:val="ListParagraph"/>
        <w:rPr>
          <w:sz w:val="20"/>
          <w:szCs w:val="20"/>
        </w:rPr>
      </w:pPr>
    </w:p>
    <w:p w14:paraId="486B7EEB" w14:textId="55A48A86" w:rsidR="006E1A49" w:rsidRPr="006E1A49" w:rsidRDefault="006E1A49" w:rsidP="000A469A">
      <w:pPr>
        <w:pStyle w:val="ListParagraph"/>
        <w:ind w:left="426"/>
        <w:rPr>
          <w:sz w:val="20"/>
          <w:szCs w:val="20"/>
        </w:rPr>
      </w:pPr>
      <w:r>
        <w:rPr>
          <w:sz w:val="20"/>
          <w:szCs w:val="20"/>
        </w:rPr>
        <w:t>Depending upon the context of your advice,</w:t>
      </w:r>
      <w:r w:rsidRPr="000A469A">
        <w:rPr>
          <w:sz w:val="20"/>
          <w:szCs w:val="20"/>
        </w:rPr>
        <w:t xml:space="preserve"> </w:t>
      </w:r>
      <w:r w:rsidRPr="006E1A49">
        <w:rPr>
          <w:sz w:val="20"/>
          <w:szCs w:val="20"/>
        </w:rPr>
        <w:t xml:space="preserve">a typically useful </w:t>
      </w:r>
      <w:r>
        <w:rPr>
          <w:sz w:val="20"/>
          <w:szCs w:val="20"/>
        </w:rPr>
        <w:t xml:space="preserve">standard </w:t>
      </w:r>
      <w:r w:rsidRPr="006E1A49">
        <w:rPr>
          <w:sz w:val="20"/>
          <w:szCs w:val="20"/>
        </w:rPr>
        <w:t>footnote</w:t>
      </w:r>
      <w:r>
        <w:rPr>
          <w:sz w:val="20"/>
          <w:szCs w:val="20"/>
        </w:rPr>
        <w:t xml:space="preserve"> (say)</w:t>
      </w:r>
      <w:r w:rsidRPr="006E1A49">
        <w:rPr>
          <w:sz w:val="20"/>
          <w:szCs w:val="20"/>
        </w:rPr>
        <w:t xml:space="preserve"> may now be irrelevant or contradictory</w:t>
      </w:r>
      <w:r w:rsidR="004C5723">
        <w:rPr>
          <w:sz w:val="20"/>
          <w:szCs w:val="20"/>
        </w:rPr>
        <w:t xml:space="preserve"> and should be tailored or removed.</w:t>
      </w:r>
    </w:p>
    <w:p w14:paraId="59E10EC5" w14:textId="20F6CC15" w:rsidR="000528CC" w:rsidRDefault="000528CC" w:rsidP="00FB2226"/>
    <w:p w14:paraId="36FFFCAC" w14:textId="77777777" w:rsidR="005C639E" w:rsidRDefault="005C639E" w:rsidP="00FB2226"/>
    <w:p w14:paraId="5EC5A8B9" w14:textId="77777777" w:rsidR="00A85CC3" w:rsidRPr="00FB2226" w:rsidRDefault="00060F89" w:rsidP="00FB2226">
      <w:pPr>
        <w:pStyle w:val="Heading2"/>
        <w:rPr>
          <w:rFonts w:eastAsia="Times New Roman"/>
          <w:b/>
          <w:sz w:val="28"/>
          <w:szCs w:val="28"/>
        </w:rPr>
      </w:pPr>
      <w:bookmarkStart w:id="15" w:name="_Toc36642368"/>
      <w:r w:rsidRPr="00131CD4">
        <w:rPr>
          <w:rFonts w:eastAsia="Times New Roman"/>
          <w:b/>
          <w:sz w:val="28"/>
          <w:szCs w:val="28"/>
        </w:rPr>
        <w:t xml:space="preserve">Other </w:t>
      </w:r>
      <w:r w:rsidR="00D540DA">
        <w:rPr>
          <w:rFonts w:eastAsia="Times New Roman"/>
          <w:b/>
          <w:sz w:val="28"/>
          <w:szCs w:val="28"/>
        </w:rPr>
        <w:t xml:space="preserve">Sections in the </w:t>
      </w:r>
      <w:proofErr w:type="spellStart"/>
      <w:r w:rsidR="00D540DA">
        <w:rPr>
          <w:rFonts w:eastAsia="Times New Roman"/>
          <w:b/>
          <w:sz w:val="28"/>
          <w:szCs w:val="28"/>
        </w:rPr>
        <w:t>SoA</w:t>
      </w:r>
      <w:proofErr w:type="spellEnd"/>
      <w:r w:rsidR="00D540DA">
        <w:rPr>
          <w:rFonts w:eastAsia="Times New Roman"/>
          <w:b/>
          <w:sz w:val="28"/>
          <w:szCs w:val="28"/>
        </w:rPr>
        <w:t xml:space="preserve"> that Demonstrate </w:t>
      </w:r>
      <w:r w:rsidR="0041197C" w:rsidRPr="00131CD4">
        <w:rPr>
          <w:rFonts w:eastAsia="Times New Roman"/>
          <w:b/>
          <w:sz w:val="28"/>
          <w:szCs w:val="28"/>
        </w:rPr>
        <w:t>Best Interest</w:t>
      </w:r>
      <w:bookmarkEnd w:id="15"/>
      <w:r w:rsidR="0041197C" w:rsidRPr="00131CD4">
        <w:rPr>
          <w:rFonts w:eastAsia="Times New Roman"/>
          <w:b/>
          <w:sz w:val="28"/>
          <w:szCs w:val="28"/>
        </w:rPr>
        <w:t xml:space="preserve"> </w:t>
      </w:r>
    </w:p>
    <w:p w14:paraId="6A10D34C" w14:textId="5CFE38AE" w:rsidR="00866936" w:rsidRDefault="00866936" w:rsidP="005C3D39">
      <w:pPr>
        <w:pStyle w:val="Heading3"/>
        <w:rPr>
          <w:sz w:val="20"/>
          <w:szCs w:val="20"/>
        </w:rPr>
      </w:pPr>
      <w:bookmarkStart w:id="16" w:name="_Toc36642369"/>
      <w:r>
        <w:rPr>
          <w:sz w:val="20"/>
          <w:szCs w:val="20"/>
        </w:rPr>
        <w:t>Replacement Product Table</w:t>
      </w:r>
      <w:bookmarkEnd w:id="16"/>
    </w:p>
    <w:p w14:paraId="5033935A" w14:textId="77777777" w:rsidR="00866936" w:rsidRDefault="00866936" w:rsidP="00866936">
      <w:pPr>
        <w:pStyle w:val="ListParagraph"/>
        <w:ind w:left="426"/>
        <w:rPr>
          <w:sz w:val="20"/>
          <w:szCs w:val="20"/>
        </w:rPr>
      </w:pPr>
    </w:p>
    <w:p w14:paraId="05C5FA8D" w14:textId="75FE6DF3" w:rsidR="00866936" w:rsidRDefault="00866936" w:rsidP="00866936">
      <w:pPr>
        <w:pStyle w:val="ListParagraph"/>
        <w:ind w:left="426"/>
        <w:rPr>
          <w:sz w:val="20"/>
          <w:szCs w:val="20"/>
        </w:rPr>
      </w:pPr>
      <w:r>
        <w:rPr>
          <w:sz w:val="20"/>
          <w:szCs w:val="20"/>
        </w:rPr>
        <w:t>Normally an older product is replaced by a newer product.</w:t>
      </w:r>
    </w:p>
    <w:p w14:paraId="51733E5F" w14:textId="77777777" w:rsidR="002E0723" w:rsidRDefault="00866936" w:rsidP="00866936">
      <w:pPr>
        <w:pStyle w:val="ListParagraph"/>
        <w:ind w:left="426"/>
        <w:rPr>
          <w:sz w:val="20"/>
          <w:szCs w:val="20"/>
        </w:rPr>
      </w:pPr>
      <w:r>
        <w:rPr>
          <w:sz w:val="20"/>
          <w:szCs w:val="20"/>
        </w:rPr>
        <w:t>In th</w:t>
      </w:r>
      <w:r w:rsidR="002E0723">
        <w:rPr>
          <w:sz w:val="20"/>
          <w:szCs w:val="20"/>
        </w:rPr>
        <w:t>at context, the onus</w:t>
      </w:r>
      <w:r>
        <w:rPr>
          <w:sz w:val="20"/>
          <w:szCs w:val="20"/>
        </w:rPr>
        <w:t xml:space="preserve"> is to evidence</w:t>
      </w:r>
      <w:r w:rsidR="002E0723">
        <w:rPr>
          <w:sz w:val="20"/>
          <w:szCs w:val="20"/>
        </w:rPr>
        <w:t xml:space="preserve"> why the new product is superior to the pre-existing product.</w:t>
      </w:r>
    </w:p>
    <w:p w14:paraId="5268FA33" w14:textId="77777777" w:rsidR="002E0723" w:rsidRDefault="002E0723" w:rsidP="00866936">
      <w:pPr>
        <w:pStyle w:val="ListParagraph"/>
        <w:ind w:left="426"/>
        <w:rPr>
          <w:sz w:val="20"/>
          <w:szCs w:val="20"/>
        </w:rPr>
      </w:pPr>
    </w:p>
    <w:p w14:paraId="05E56E5D" w14:textId="77777777" w:rsidR="00774E96" w:rsidRDefault="002E0723" w:rsidP="00866936">
      <w:pPr>
        <w:pStyle w:val="ListParagraph"/>
        <w:ind w:left="426"/>
        <w:rPr>
          <w:sz w:val="20"/>
          <w:szCs w:val="20"/>
        </w:rPr>
      </w:pPr>
      <w:r>
        <w:rPr>
          <w:sz w:val="20"/>
          <w:szCs w:val="20"/>
        </w:rPr>
        <w:t xml:space="preserve">This comparison table must </w:t>
      </w:r>
      <w:r w:rsidR="003751A5">
        <w:rPr>
          <w:sz w:val="20"/>
          <w:szCs w:val="20"/>
        </w:rPr>
        <w:t xml:space="preserve">support </w:t>
      </w:r>
      <w:r>
        <w:rPr>
          <w:sz w:val="20"/>
          <w:szCs w:val="20"/>
        </w:rPr>
        <w:t>why products are to be changed; not act as just a list of cost/features.</w:t>
      </w:r>
      <w:r w:rsidR="003751A5">
        <w:rPr>
          <w:sz w:val="20"/>
          <w:szCs w:val="20"/>
        </w:rPr>
        <w:t xml:space="preserve"> </w:t>
      </w:r>
    </w:p>
    <w:p w14:paraId="5A383BBC" w14:textId="0745C569" w:rsidR="00866936" w:rsidRDefault="003751A5" w:rsidP="00866936">
      <w:pPr>
        <w:pStyle w:val="ListParagraph"/>
        <w:ind w:left="426"/>
        <w:rPr>
          <w:sz w:val="20"/>
          <w:szCs w:val="20"/>
        </w:rPr>
      </w:pPr>
      <w:r>
        <w:rPr>
          <w:sz w:val="20"/>
          <w:szCs w:val="20"/>
        </w:rPr>
        <w:t>Moreover, if the pre-existing product has better costs/features, the adviser will need to actively justify switching</w:t>
      </w:r>
      <w:r w:rsidR="00774E96">
        <w:rPr>
          <w:sz w:val="20"/>
          <w:szCs w:val="20"/>
        </w:rPr>
        <w:t xml:space="preserve"> by </w:t>
      </w:r>
      <w:r>
        <w:rPr>
          <w:sz w:val="20"/>
          <w:szCs w:val="20"/>
        </w:rPr>
        <w:t>referenc</w:t>
      </w:r>
      <w:r w:rsidR="00774E96">
        <w:rPr>
          <w:sz w:val="20"/>
          <w:szCs w:val="20"/>
        </w:rPr>
        <w:t>ing</w:t>
      </w:r>
      <w:r>
        <w:rPr>
          <w:sz w:val="20"/>
          <w:szCs w:val="20"/>
        </w:rPr>
        <w:t xml:space="preserve"> the clients’ goals</w:t>
      </w:r>
      <w:r w:rsidR="00774E96">
        <w:rPr>
          <w:sz w:val="20"/>
          <w:szCs w:val="20"/>
        </w:rPr>
        <w:t>/objectives</w:t>
      </w:r>
      <w:r>
        <w:rPr>
          <w:sz w:val="20"/>
          <w:szCs w:val="20"/>
        </w:rPr>
        <w:t>.</w:t>
      </w:r>
    </w:p>
    <w:p w14:paraId="7445C499" w14:textId="47DB6259" w:rsidR="002E0723" w:rsidRDefault="002E0723" w:rsidP="00866936">
      <w:pPr>
        <w:pStyle w:val="ListParagraph"/>
        <w:ind w:left="426"/>
        <w:rPr>
          <w:sz w:val="20"/>
          <w:szCs w:val="20"/>
        </w:rPr>
      </w:pPr>
    </w:p>
    <w:p w14:paraId="4658C7C6" w14:textId="1ADB613C" w:rsidR="002E0723" w:rsidRDefault="003751A5" w:rsidP="00866936">
      <w:pPr>
        <w:pStyle w:val="ListParagraph"/>
        <w:ind w:left="426"/>
        <w:rPr>
          <w:sz w:val="20"/>
          <w:szCs w:val="20"/>
        </w:rPr>
      </w:pPr>
      <w:r>
        <w:rPr>
          <w:sz w:val="20"/>
          <w:szCs w:val="20"/>
        </w:rPr>
        <w:t xml:space="preserve">If </w:t>
      </w:r>
      <w:r w:rsidR="0024107B">
        <w:rPr>
          <w:sz w:val="20"/>
          <w:szCs w:val="20"/>
        </w:rPr>
        <w:t>the original</w:t>
      </w:r>
      <w:r>
        <w:rPr>
          <w:sz w:val="20"/>
          <w:szCs w:val="20"/>
        </w:rPr>
        <w:t xml:space="preserve"> product is to be </w:t>
      </w:r>
      <w:r w:rsidR="00DD1830">
        <w:rPr>
          <w:sz w:val="20"/>
          <w:szCs w:val="20"/>
        </w:rPr>
        <w:t>cashed and th</w:t>
      </w:r>
      <w:r w:rsidR="0049451B">
        <w:rPr>
          <w:sz w:val="20"/>
          <w:szCs w:val="20"/>
        </w:rPr>
        <w:t>at</w:t>
      </w:r>
      <w:r w:rsidR="00DD1830">
        <w:rPr>
          <w:sz w:val="20"/>
          <w:szCs w:val="20"/>
        </w:rPr>
        <w:t xml:space="preserve"> cash reinvested in a proposed product, the comparison is </w:t>
      </w:r>
      <w:r>
        <w:rPr>
          <w:sz w:val="20"/>
          <w:szCs w:val="20"/>
        </w:rPr>
        <w:t xml:space="preserve">between the original &amp; proposed products; not the cash and proposed products. </w:t>
      </w:r>
    </w:p>
    <w:p w14:paraId="4E993CB2" w14:textId="77777777" w:rsidR="003751A5" w:rsidRDefault="003751A5" w:rsidP="00866936">
      <w:pPr>
        <w:pStyle w:val="ListParagraph"/>
        <w:ind w:left="426"/>
        <w:rPr>
          <w:sz w:val="20"/>
          <w:szCs w:val="20"/>
        </w:rPr>
      </w:pPr>
    </w:p>
    <w:p w14:paraId="1A535272" w14:textId="5D51F0A7" w:rsidR="003751A5" w:rsidRDefault="003751A5" w:rsidP="00866936">
      <w:pPr>
        <w:pStyle w:val="ListParagraph"/>
        <w:ind w:left="426"/>
        <w:rPr>
          <w:sz w:val="20"/>
          <w:szCs w:val="20"/>
        </w:rPr>
      </w:pPr>
      <w:r>
        <w:rPr>
          <w:sz w:val="20"/>
          <w:szCs w:val="20"/>
        </w:rPr>
        <w:t>If the cashing of a pre-existing product has been actioned by the client prior to advice being given, then a cash</w:t>
      </w:r>
      <w:r w:rsidR="00C938BA">
        <w:rPr>
          <w:sz w:val="20"/>
          <w:szCs w:val="20"/>
        </w:rPr>
        <w:t xml:space="preserve"> vs </w:t>
      </w:r>
      <w:r>
        <w:rPr>
          <w:sz w:val="20"/>
          <w:szCs w:val="20"/>
        </w:rPr>
        <w:t>proposed</w:t>
      </w:r>
      <w:r w:rsidR="00C938BA">
        <w:rPr>
          <w:sz w:val="20"/>
          <w:szCs w:val="20"/>
        </w:rPr>
        <w:t xml:space="preserve"> product </w:t>
      </w:r>
      <w:r>
        <w:rPr>
          <w:sz w:val="20"/>
          <w:szCs w:val="20"/>
        </w:rPr>
        <w:t>comparison is justified.  This must not be contrived.</w:t>
      </w:r>
    </w:p>
    <w:p w14:paraId="102BEFE5" w14:textId="77777777" w:rsidR="00866936" w:rsidRPr="00866936" w:rsidRDefault="00866936" w:rsidP="00866936">
      <w:pPr>
        <w:pStyle w:val="ListParagraph"/>
        <w:ind w:left="426"/>
        <w:rPr>
          <w:sz w:val="20"/>
          <w:szCs w:val="20"/>
        </w:rPr>
      </w:pPr>
    </w:p>
    <w:p w14:paraId="5FE6A995" w14:textId="4E9A0531" w:rsidR="00A85CC3" w:rsidRDefault="00AB7639" w:rsidP="005C3D39">
      <w:pPr>
        <w:pStyle w:val="Heading3"/>
        <w:rPr>
          <w:sz w:val="20"/>
          <w:szCs w:val="20"/>
        </w:rPr>
      </w:pPr>
      <w:bookmarkStart w:id="17" w:name="_Toc36642370"/>
      <w:r>
        <w:rPr>
          <w:sz w:val="20"/>
          <w:szCs w:val="20"/>
        </w:rPr>
        <w:t>Benefits Gained</w:t>
      </w:r>
      <w:bookmarkEnd w:id="17"/>
      <w:r>
        <w:rPr>
          <w:sz w:val="20"/>
          <w:szCs w:val="20"/>
        </w:rPr>
        <w:t xml:space="preserve"> </w:t>
      </w:r>
    </w:p>
    <w:p w14:paraId="2F0493F1" w14:textId="77777777" w:rsidR="00A85CC3" w:rsidRDefault="00A85CC3" w:rsidP="000A02E0">
      <w:pPr>
        <w:pStyle w:val="ListParagraph"/>
        <w:ind w:left="426"/>
        <w:rPr>
          <w:sz w:val="20"/>
          <w:szCs w:val="20"/>
        </w:rPr>
      </w:pPr>
    </w:p>
    <w:p w14:paraId="5DAC6415" w14:textId="77777777" w:rsidR="00A85CC3" w:rsidRDefault="00A85CC3" w:rsidP="000A02E0">
      <w:pPr>
        <w:pStyle w:val="ListParagraph"/>
        <w:ind w:left="426"/>
        <w:rPr>
          <w:sz w:val="20"/>
          <w:szCs w:val="20"/>
        </w:rPr>
      </w:pPr>
      <w:r>
        <w:rPr>
          <w:sz w:val="20"/>
          <w:szCs w:val="20"/>
        </w:rPr>
        <w:t xml:space="preserve">A product/platform or service may have ancillary benefits that are not immediately related to the client’s goals.  They are indirect or consequential benefits </w:t>
      </w:r>
      <w:r w:rsidR="00A23894">
        <w:rPr>
          <w:sz w:val="20"/>
          <w:szCs w:val="20"/>
        </w:rPr>
        <w:t>which are potentially v</w:t>
      </w:r>
      <w:r>
        <w:rPr>
          <w:sz w:val="20"/>
          <w:szCs w:val="20"/>
        </w:rPr>
        <w:t>aluable.</w:t>
      </w:r>
    </w:p>
    <w:p w14:paraId="39886A2C" w14:textId="77777777" w:rsidR="00A85CC3" w:rsidRDefault="00A85CC3" w:rsidP="000A02E0">
      <w:pPr>
        <w:pStyle w:val="ListParagraph"/>
        <w:ind w:left="426"/>
        <w:rPr>
          <w:sz w:val="20"/>
          <w:szCs w:val="20"/>
        </w:rPr>
      </w:pPr>
    </w:p>
    <w:p w14:paraId="415DED15" w14:textId="77777777" w:rsidR="00A85CC3" w:rsidRDefault="00A85CC3" w:rsidP="000A02E0">
      <w:pPr>
        <w:pStyle w:val="ListParagraph"/>
        <w:ind w:left="426"/>
        <w:rPr>
          <w:sz w:val="20"/>
          <w:szCs w:val="20"/>
        </w:rPr>
      </w:pPr>
      <w:proofErr w:type="spellStart"/>
      <w:r>
        <w:rPr>
          <w:sz w:val="20"/>
          <w:szCs w:val="20"/>
        </w:rPr>
        <w:t>eg.</w:t>
      </w:r>
      <w:proofErr w:type="spellEnd"/>
      <w:r>
        <w:rPr>
          <w:sz w:val="20"/>
          <w:szCs w:val="20"/>
        </w:rPr>
        <w:t xml:space="preserve"> moving to a new platform may provide access to greater investment choice or more sophisticated products</w:t>
      </w:r>
    </w:p>
    <w:p w14:paraId="4B5D02F7" w14:textId="3007785E" w:rsidR="00A85CC3" w:rsidRDefault="00A85CC3" w:rsidP="000A02E0">
      <w:pPr>
        <w:pStyle w:val="ListParagraph"/>
        <w:ind w:left="426"/>
        <w:rPr>
          <w:sz w:val="20"/>
          <w:szCs w:val="20"/>
        </w:rPr>
      </w:pPr>
      <w:proofErr w:type="spellStart"/>
      <w:r>
        <w:rPr>
          <w:sz w:val="20"/>
          <w:szCs w:val="20"/>
        </w:rPr>
        <w:t>eg.</w:t>
      </w:r>
      <w:proofErr w:type="spellEnd"/>
      <w:r>
        <w:rPr>
          <w:sz w:val="20"/>
          <w:szCs w:val="20"/>
        </w:rPr>
        <w:t xml:space="preserve"> moving to a </w:t>
      </w:r>
      <w:r w:rsidR="00287E7E">
        <w:rPr>
          <w:sz w:val="20"/>
          <w:szCs w:val="20"/>
        </w:rPr>
        <w:t>new insurance provider</w:t>
      </w:r>
      <w:r>
        <w:rPr>
          <w:sz w:val="20"/>
          <w:szCs w:val="20"/>
        </w:rPr>
        <w:t xml:space="preserve"> may allow</w:t>
      </w:r>
      <w:r w:rsidR="002306DB">
        <w:rPr>
          <w:sz w:val="20"/>
          <w:szCs w:val="20"/>
        </w:rPr>
        <w:t xml:space="preserve"> future</w:t>
      </w:r>
      <w:r>
        <w:rPr>
          <w:sz w:val="20"/>
          <w:szCs w:val="20"/>
        </w:rPr>
        <w:t xml:space="preserve"> ‘linking’ of covers between superannuation and non-superannuation </w:t>
      </w:r>
    </w:p>
    <w:p w14:paraId="4A478A62" w14:textId="77777777" w:rsidR="009D70B8" w:rsidRDefault="009D70B8" w:rsidP="000A02E0">
      <w:pPr>
        <w:pStyle w:val="ListParagraph"/>
        <w:ind w:left="426"/>
        <w:rPr>
          <w:sz w:val="20"/>
          <w:szCs w:val="20"/>
        </w:rPr>
      </w:pPr>
    </w:p>
    <w:p w14:paraId="3594A479" w14:textId="77777777" w:rsidR="009D70B8" w:rsidRDefault="009D70B8" w:rsidP="000A02E0">
      <w:pPr>
        <w:pStyle w:val="ListParagraph"/>
        <w:ind w:left="426"/>
        <w:rPr>
          <w:sz w:val="20"/>
          <w:szCs w:val="20"/>
        </w:rPr>
      </w:pPr>
      <w:r>
        <w:rPr>
          <w:sz w:val="20"/>
          <w:szCs w:val="20"/>
        </w:rPr>
        <w:t>Keep these concise.</w:t>
      </w:r>
    </w:p>
    <w:p w14:paraId="38DC1DC4" w14:textId="77777777" w:rsidR="00A85CC3" w:rsidRDefault="00A85CC3" w:rsidP="00A85CC3">
      <w:pPr>
        <w:pStyle w:val="ListParagraph"/>
        <w:ind w:left="851"/>
        <w:rPr>
          <w:sz w:val="20"/>
          <w:szCs w:val="20"/>
        </w:rPr>
      </w:pPr>
    </w:p>
    <w:p w14:paraId="6F6EB9F3" w14:textId="77777777" w:rsidR="00AB7639" w:rsidRDefault="00A85CC3" w:rsidP="005C3D39">
      <w:pPr>
        <w:pStyle w:val="Heading3"/>
        <w:rPr>
          <w:sz w:val="20"/>
          <w:szCs w:val="20"/>
        </w:rPr>
      </w:pPr>
      <w:bookmarkStart w:id="18" w:name="_Toc36642371"/>
      <w:r>
        <w:rPr>
          <w:sz w:val="20"/>
          <w:szCs w:val="20"/>
        </w:rPr>
        <w:t>Benefits</w:t>
      </w:r>
      <w:r w:rsidR="00AB7639">
        <w:rPr>
          <w:sz w:val="20"/>
          <w:szCs w:val="20"/>
        </w:rPr>
        <w:t xml:space="preserve"> Lost</w:t>
      </w:r>
      <w:bookmarkEnd w:id="18"/>
    </w:p>
    <w:p w14:paraId="05E07FA4" w14:textId="77777777" w:rsidR="00B74160" w:rsidRDefault="00B74160" w:rsidP="00B74160">
      <w:pPr>
        <w:pStyle w:val="ListParagraph"/>
        <w:ind w:left="1440"/>
        <w:rPr>
          <w:sz w:val="20"/>
          <w:szCs w:val="20"/>
        </w:rPr>
      </w:pPr>
    </w:p>
    <w:p w14:paraId="108D5A79" w14:textId="77777777" w:rsidR="00B74160" w:rsidRDefault="00B74160" w:rsidP="000A02E0">
      <w:pPr>
        <w:pStyle w:val="ListParagraph"/>
        <w:ind w:left="426"/>
        <w:rPr>
          <w:sz w:val="20"/>
          <w:szCs w:val="20"/>
        </w:rPr>
      </w:pPr>
      <w:r>
        <w:rPr>
          <w:sz w:val="20"/>
          <w:szCs w:val="20"/>
        </w:rPr>
        <w:t>In some situations, a product that is to be replaced has valuable features. However, the client</w:t>
      </w:r>
      <w:r w:rsidR="00BE69EC">
        <w:rPr>
          <w:sz w:val="20"/>
          <w:szCs w:val="20"/>
        </w:rPr>
        <w:t>s’</w:t>
      </w:r>
      <w:r>
        <w:rPr>
          <w:sz w:val="20"/>
          <w:szCs w:val="20"/>
        </w:rPr>
        <w:t xml:space="preserve"> goals are better served by another product of platform.</w:t>
      </w:r>
    </w:p>
    <w:p w14:paraId="19D487A9" w14:textId="77777777" w:rsidR="00B74160" w:rsidRDefault="00B74160" w:rsidP="000A02E0">
      <w:pPr>
        <w:pStyle w:val="ListParagraph"/>
        <w:ind w:left="426"/>
        <w:rPr>
          <w:sz w:val="20"/>
          <w:szCs w:val="20"/>
        </w:rPr>
      </w:pPr>
    </w:p>
    <w:p w14:paraId="09651E9D" w14:textId="77777777" w:rsidR="00B74160" w:rsidRDefault="00B74160" w:rsidP="000A02E0">
      <w:pPr>
        <w:pStyle w:val="ListParagraph"/>
        <w:ind w:left="426"/>
        <w:rPr>
          <w:sz w:val="20"/>
          <w:szCs w:val="20"/>
        </w:rPr>
      </w:pPr>
      <w:r>
        <w:rPr>
          <w:sz w:val="20"/>
          <w:szCs w:val="20"/>
        </w:rPr>
        <w:t>It is important that the client</w:t>
      </w:r>
      <w:r w:rsidR="005A326B">
        <w:rPr>
          <w:sz w:val="20"/>
          <w:szCs w:val="20"/>
        </w:rPr>
        <w:t>s</w:t>
      </w:r>
      <w:r>
        <w:rPr>
          <w:sz w:val="20"/>
          <w:szCs w:val="20"/>
        </w:rPr>
        <w:t xml:space="preserve"> understand what they are giving up in whole or in part. </w:t>
      </w:r>
    </w:p>
    <w:p w14:paraId="3D990001" w14:textId="77777777" w:rsidR="00D6791C" w:rsidRDefault="00D6791C" w:rsidP="000A02E0">
      <w:pPr>
        <w:pStyle w:val="ListParagraph"/>
        <w:ind w:left="426"/>
        <w:rPr>
          <w:sz w:val="20"/>
          <w:szCs w:val="20"/>
        </w:rPr>
      </w:pPr>
    </w:p>
    <w:p w14:paraId="075413B4" w14:textId="05A451B1" w:rsidR="00B74160" w:rsidRDefault="00B74160" w:rsidP="000A02E0">
      <w:pPr>
        <w:pStyle w:val="ListParagraph"/>
        <w:ind w:left="426"/>
        <w:rPr>
          <w:sz w:val="20"/>
          <w:szCs w:val="20"/>
        </w:rPr>
      </w:pPr>
      <w:r>
        <w:rPr>
          <w:sz w:val="20"/>
          <w:szCs w:val="20"/>
        </w:rPr>
        <w:t>For example, it might be recommended that a pre-existing</w:t>
      </w:r>
      <w:r w:rsidR="00D6791C">
        <w:rPr>
          <w:sz w:val="20"/>
          <w:szCs w:val="20"/>
        </w:rPr>
        <w:t xml:space="preserve"> superannuation </w:t>
      </w:r>
      <w:r>
        <w:rPr>
          <w:sz w:val="20"/>
          <w:szCs w:val="20"/>
        </w:rPr>
        <w:t>fund retain only a minimal bal</w:t>
      </w:r>
      <w:r w:rsidR="00E13B33">
        <w:rPr>
          <w:sz w:val="20"/>
          <w:szCs w:val="20"/>
        </w:rPr>
        <w:t>a</w:t>
      </w:r>
      <w:r>
        <w:rPr>
          <w:sz w:val="20"/>
          <w:szCs w:val="20"/>
        </w:rPr>
        <w:t xml:space="preserve">nce to fund </w:t>
      </w:r>
      <w:r w:rsidR="00D6791C">
        <w:rPr>
          <w:sz w:val="20"/>
          <w:szCs w:val="20"/>
        </w:rPr>
        <w:t xml:space="preserve">pre-existing </w:t>
      </w:r>
      <w:r>
        <w:rPr>
          <w:sz w:val="20"/>
          <w:szCs w:val="20"/>
        </w:rPr>
        <w:t>insurance premiums.</w:t>
      </w:r>
    </w:p>
    <w:p w14:paraId="3F848960" w14:textId="0A70C92E" w:rsidR="00E13B33" w:rsidRDefault="00E13B33" w:rsidP="000A02E0">
      <w:pPr>
        <w:pStyle w:val="ListParagraph"/>
        <w:ind w:left="426"/>
        <w:rPr>
          <w:sz w:val="20"/>
          <w:szCs w:val="20"/>
        </w:rPr>
      </w:pPr>
      <w:r>
        <w:rPr>
          <w:sz w:val="20"/>
          <w:szCs w:val="20"/>
        </w:rPr>
        <w:t xml:space="preserve">The reduction of funds to that </w:t>
      </w:r>
      <w:r w:rsidR="00D6791C">
        <w:rPr>
          <w:sz w:val="20"/>
          <w:szCs w:val="20"/>
        </w:rPr>
        <w:t xml:space="preserve">pre-existing </w:t>
      </w:r>
      <w:r>
        <w:rPr>
          <w:sz w:val="20"/>
          <w:szCs w:val="20"/>
        </w:rPr>
        <w:t>provider requires</w:t>
      </w:r>
      <w:r w:rsidR="00D6791C">
        <w:rPr>
          <w:sz w:val="20"/>
          <w:szCs w:val="20"/>
        </w:rPr>
        <w:t>, in fairness,</w:t>
      </w:r>
      <w:r>
        <w:rPr>
          <w:sz w:val="20"/>
          <w:szCs w:val="20"/>
        </w:rPr>
        <w:t xml:space="preserve"> disclosure of </w:t>
      </w:r>
      <w:r w:rsidR="00D6791C">
        <w:rPr>
          <w:sz w:val="20"/>
          <w:szCs w:val="20"/>
        </w:rPr>
        <w:t>any</w:t>
      </w:r>
      <w:r>
        <w:rPr>
          <w:sz w:val="20"/>
          <w:szCs w:val="20"/>
        </w:rPr>
        <w:t xml:space="preserve"> good features of that retained product </w:t>
      </w:r>
      <w:proofErr w:type="spellStart"/>
      <w:r>
        <w:rPr>
          <w:sz w:val="20"/>
          <w:szCs w:val="20"/>
        </w:rPr>
        <w:t>eg.</w:t>
      </w:r>
      <w:proofErr w:type="spellEnd"/>
      <w:r>
        <w:rPr>
          <w:sz w:val="20"/>
          <w:szCs w:val="20"/>
        </w:rPr>
        <w:t xml:space="preserve"> lower ICR, broad investment menu, past performance of th</w:t>
      </w:r>
      <w:r w:rsidR="00D85B9D">
        <w:rPr>
          <w:sz w:val="20"/>
          <w:szCs w:val="20"/>
        </w:rPr>
        <w:t>e</w:t>
      </w:r>
      <w:r>
        <w:rPr>
          <w:sz w:val="20"/>
          <w:szCs w:val="20"/>
        </w:rPr>
        <w:t xml:space="preserve"> portfolio</w:t>
      </w:r>
    </w:p>
    <w:p w14:paraId="5A970F6D" w14:textId="77777777" w:rsidR="009D70B8" w:rsidRDefault="009D70B8" w:rsidP="000A02E0">
      <w:pPr>
        <w:pStyle w:val="ListParagraph"/>
        <w:ind w:left="426"/>
        <w:rPr>
          <w:sz w:val="20"/>
          <w:szCs w:val="20"/>
        </w:rPr>
      </w:pPr>
    </w:p>
    <w:p w14:paraId="7037A37C" w14:textId="2E78FDE1" w:rsidR="00873080" w:rsidRDefault="009D70B8" w:rsidP="000A02E0">
      <w:pPr>
        <w:pStyle w:val="ListParagraph"/>
        <w:ind w:left="426"/>
        <w:rPr>
          <w:sz w:val="20"/>
          <w:szCs w:val="20"/>
        </w:rPr>
      </w:pPr>
      <w:r>
        <w:rPr>
          <w:sz w:val="20"/>
          <w:szCs w:val="20"/>
        </w:rPr>
        <w:t>K</w:t>
      </w:r>
      <w:r w:rsidR="00873080">
        <w:rPr>
          <w:sz w:val="20"/>
          <w:szCs w:val="20"/>
        </w:rPr>
        <w:t xml:space="preserve">eep these concise. </w:t>
      </w:r>
    </w:p>
    <w:p w14:paraId="72B07D6C" w14:textId="77777777" w:rsidR="000D0D7A" w:rsidRDefault="000D0D7A" w:rsidP="000A02E0">
      <w:pPr>
        <w:pStyle w:val="ListParagraph"/>
        <w:ind w:left="426"/>
        <w:rPr>
          <w:sz w:val="20"/>
          <w:szCs w:val="20"/>
        </w:rPr>
      </w:pPr>
    </w:p>
    <w:p w14:paraId="2187B28D" w14:textId="77777777" w:rsidR="009D70B8" w:rsidRDefault="00873080" w:rsidP="000A02E0">
      <w:pPr>
        <w:pStyle w:val="ListParagraph"/>
        <w:ind w:left="426"/>
        <w:rPr>
          <w:sz w:val="20"/>
          <w:szCs w:val="20"/>
        </w:rPr>
      </w:pPr>
      <w:r>
        <w:rPr>
          <w:sz w:val="20"/>
          <w:szCs w:val="20"/>
        </w:rPr>
        <w:t xml:space="preserve">Relative </w:t>
      </w:r>
      <w:r w:rsidR="009D70B8">
        <w:rPr>
          <w:sz w:val="20"/>
          <w:szCs w:val="20"/>
        </w:rPr>
        <w:t xml:space="preserve">‘cost’ considerations are dealt with </w:t>
      </w:r>
      <w:r w:rsidR="009D70B8" w:rsidRPr="00221BEE">
        <w:rPr>
          <w:sz w:val="20"/>
          <w:szCs w:val="20"/>
          <w:u w:val="single"/>
        </w:rPr>
        <w:t>in more detail</w:t>
      </w:r>
      <w:r w:rsidR="009D70B8">
        <w:rPr>
          <w:sz w:val="20"/>
          <w:szCs w:val="20"/>
        </w:rPr>
        <w:t xml:space="preserve"> in the Product Comparison table.</w:t>
      </w:r>
    </w:p>
    <w:p w14:paraId="6DD99147" w14:textId="77777777" w:rsidR="00AB7639" w:rsidRDefault="00AB7639" w:rsidP="00AB7639">
      <w:pPr>
        <w:pStyle w:val="ListParagraph"/>
        <w:ind w:left="2160"/>
        <w:rPr>
          <w:sz w:val="20"/>
          <w:szCs w:val="20"/>
        </w:rPr>
      </w:pPr>
    </w:p>
    <w:p w14:paraId="4EA74AA0" w14:textId="77777777" w:rsidR="00AB7639" w:rsidRDefault="008A0747" w:rsidP="005C3D39">
      <w:pPr>
        <w:pStyle w:val="Heading3"/>
        <w:rPr>
          <w:sz w:val="20"/>
          <w:szCs w:val="20"/>
        </w:rPr>
      </w:pPr>
      <w:bookmarkStart w:id="19" w:name="_Toc36642372"/>
      <w:r>
        <w:rPr>
          <w:sz w:val="20"/>
          <w:szCs w:val="20"/>
        </w:rPr>
        <w:t xml:space="preserve">Reason </w:t>
      </w:r>
      <w:proofErr w:type="gramStart"/>
      <w:r>
        <w:rPr>
          <w:sz w:val="20"/>
          <w:szCs w:val="20"/>
        </w:rPr>
        <w:t>For</w:t>
      </w:r>
      <w:proofErr w:type="gramEnd"/>
      <w:r>
        <w:rPr>
          <w:sz w:val="20"/>
          <w:szCs w:val="20"/>
        </w:rPr>
        <w:t xml:space="preserve"> Recommended Product Solution</w:t>
      </w:r>
      <w:bookmarkEnd w:id="19"/>
    </w:p>
    <w:p w14:paraId="02E6C375" w14:textId="77777777" w:rsidR="008A0747" w:rsidRDefault="008A0747" w:rsidP="008A0747">
      <w:pPr>
        <w:pStyle w:val="ListParagraph"/>
        <w:rPr>
          <w:sz w:val="20"/>
          <w:szCs w:val="20"/>
        </w:rPr>
      </w:pPr>
    </w:p>
    <w:p w14:paraId="69E4FF1F" w14:textId="1197770D" w:rsidR="005A326B" w:rsidRDefault="009D70B8" w:rsidP="000A02E0">
      <w:pPr>
        <w:pStyle w:val="ListParagraph"/>
        <w:ind w:left="426"/>
        <w:rPr>
          <w:sz w:val="20"/>
          <w:szCs w:val="20"/>
        </w:rPr>
      </w:pPr>
      <w:r>
        <w:rPr>
          <w:sz w:val="20"/>
          <w:szCs w:val="20"/>
        </w:rPr>
        <w:t xml:space="preserve">The ‘In Your best Interest’ row in the tabular recommendations has likely covered some aspects; </w:t>
      </w:r>
      <w:r w:rsidR="00E333BD">
        <w:rPr>
          <w:sz w:val="20"/>
          <w:szCs w:val="20"/>
        </w:rPr>
        <w:t>similarly,</w:t>
      </w:r>
      <w:r>
        <w:rPr>
          <w:sz w:val="20"/>
          <w:szCs w:val="20"/>
        </w:rPr>
        <w:t xml:space="preserve"> ‘Benefits gained’. </w:t>
      </w:r>
    </w:p>
    <w:p w14:paraId="111C3B22" w14:textId="77777777" w:rsidR="009D70B8" w:rsidRDefault="009D70B8" w:rsidP="000A02E0">
      <w:pPr>
        <w:pStyle w:val="ListParagraph"/>
        <w:ind w:left="426"/>
        <w:rPr>
          <w:sz w:val="20"/>
          <w:szCs w:val="20"/>
        </w:rPr>
      </w:pPr>
    </w:p>
    <w:p w14:paraId="03153CEE" w14:textId="77777777" w:rsidR="00873080" w:rsidRDefault="009D70B8" w:rsidP="000A02E0">
      <w:pPr>
        <w:pStyle w:val="ListParagraph"/>
        <w:ind w:left="426"/>
        <w:rPr>
          <w:sz w:val="20"/>
          <w:szCs w:val="20"/>
        </w:rPr>
      </w:pPr>
      <w:r>
        <w:rPr>
          <w:sz w:val="20"/>
          <w:szCs w:val="20"/>
        </w:rPr>
        <w:t xml:space="preserve">This section is for any fresh matters that are ancillary to what has already been dealt with. </w:t>
      </w:r>
      <w:r w:rsidR="00873080">
        <w:rPr>
          <w:sz w:val="20"/>
          <w:szCs w:val="20"/>
        </w:rPr>
        <w:t xml:space="preserve">It is not for extra recommendations but matters following </w:t>
      </w:r>
      <w:r w:rsidR="007D6520">
        <w:rPr>
          <w:sz w:val="20"/>
          <w:szCs w:val="20"/>
        </w:rPr>
        <w:t>fro</w:t>
      </w:r>
      <w:r w:rsidR="00873080">
        <w:rPr>
          <w:sz w:val="20"/>
          <w:szCs w:val="20"/>
        </w:rPr>
        <w:t>m the recommendations already made.</w:t>
      </w:r>
    </w:p>
    <w:p w14:paraId="60CF2511" w14:textId="77777777" w:rsidR="009D70B8" w:rsidRDefault="009D70B8" w:rsidP="000A02E0">
      <w:pPr>
        <w:pStyle w:val="ListParagraph"/>
        <w:ind w:left="426"/>
        <w:rPr>
          <w:sz w:val="20"/>
          <w:szCs w:val="20"/>
        </w:rPr>
      </w:pPr>
      <w:r>
        <w:rPr>
          <w:sz w:val="20"/>
          <w:szCs w:val="20"/>
        </w:rPr>
        <w:t>Moreover, it allows for broader</w:t>
      </w:r>
      <w:r w:rsidR="00873080">
        <w:rPr>
          <w:sz w:val="20"/>
          <w:szCs w:val="20"/>
        </w:rPr>
        <w:t xml:space="preserve">, specifically tailored </w:t>
      </w:r>
      <w:r>
        <w:rPr>
          <w:sz w:val="20"/>
          <w:szCs w:val="20"/>
        </w:rPr>
        <w:t>commentary</w:t>
      </w:r>
      <w:r w:rsidR="00873080">
        <w:rPr>
          <w:sz w:val="20"/>
          <w:szCs w:val="20"/>
        </w:rPr>
        <w:t xml:space="preserve"> using information from the fact find.</w:t>
      </w:r>
    </w:p>
    <w:p w14:paraId="05CDD646" w14:textId="77777777" w:rsidR="009D70B8" w:rsidRDefault="009D70B8" w:rsidP="000A02E0">
      <w:pPr>
        <w:pStyle w:val="ListParagraph"/>
        <w:ind w:left="426"/>
        <w:rPr>
          <w:sz w:val="20"/>
          <w:szCs w:val="20"/>
        </w:rPr>
      </w:pPr>
    </w:p>
    <w:p w14:paraId="44A1DE6C" w14:textId="77777777" w:rsidR="009D70B8" w:rsidRDefault="009D70B8" w:rsidP="000A02E0">
      <w:pPr>
        <w:pStyle w:val="ListParagraph"/>
        <w:ind w:left="426"/>
        <w:rPr>
          <w:sz w:val="20"/>
          <w:szCs w:val="20"/>
        </w:rPr>
      </w:pPr>
      <w:r>
        <w:rPr>
          <w:sz w:val="20"/>
          <w:szCs w:val="20"/>
        </w:rPr>
        <w:t>‘Given your desire to look after you family when you die, the passage of assets to your beneficiaries is important</w:t>
      </w:r>
      <w:r w:rsidR="00873080">
        <w:rPr>
          <w:sz w:val="20"/>
          <w:szCs w:val="20"/>
        </w:rPr>
        <w:t>; especially as you have children from other marriages</w:t>
      </w:r>
      <w:r>
        <w:rPr>
          <w:sz w:val="20"/>
          <w:szCs w:val="20"/>
        </w:rPr>
        <w:t xml:space="preserve">. The recommended </w:t>
      </w:r>
      <w:r w:rsidR="00873080">
        <w:rPr>
          <w:sz w:val="20"/>
          <w:szCs w:val="20"/>
        </w:rPr>
        <w:t>&lt;</w:t>
      </w:r>
      <w:r>
        <w:rPr>
          <w:sz w:val="20"/>
          <w:szCs w:val="20"/>
        </w:rPr>
        <w:t>platform</w:t>
      </w:r>
      <w:r w:rsidR="00873080">
        <w:rPr>
          <w:sz w:val="20"/>
          <w:szCs w:val="20"/>
        </w:rPr>
        <w:t>&gt;</w:t>
      </w:r>
      <w:r>
        <w:rPr>
          <w:sz w:val="20"/>
          <w:szCs w:val="20"/>
        </w:rPr>
        <w:t xml:space="preserve"> provides non-lapsing </w:t>
      </w:r>
      <w:r w:rsidR="00873080">
        <w:rPr>
          <w:sz w:val="20"/>
          <w:szCs w:val="20"/>
        </w:rPr>
        <w:t xml:space="preserve">death benefit nominations which can be useful to you </w:t>
      </w:r>
      <w:proofErr w:type="gramStart"/>
      <w:r w:rsidR="00873080">
        <w:rPr>
          <w:sz w:val="20"/>
          <w:szCs w:val="20"/>
        </w:rPr>
        <w:t>…..</w:t>
      </w:r>
      <w:proofErr w:type="gramEnd"/>
      <w:r w:rsidR="00873080">
        <w:rPr>
          <w:sz w:val="20"/>
          <w:szCs w:val="20"/>
        </w:rPr>
        <w:t>’</w:t>
      </w:r>
    </w:p>
    <w:p w14:paraId="10DEA868" w14:textId="77777777" w:rsidR="005A326B" w:rsidRPr="008A0747" w:rsidRDefault="005A326B" w:rsidP="008A0747">
      <w:pPr>
        <w:pStyle w:val="ListParagraph"/>
        <w:rPr>
          <w:sz w:val="20"/>
          <w:szCs w:val="20"/>
        </w:rPr>
      </w:pPr>
    </w:p>
    <w:p w14:paraId="48EF6915" w14:textId="77777777" w:rsidR="008A0747" w:rsidRDefault="008A0747" w:rsidP="005C3D39">
      <w:pPr>
        <w:pStyle w:val="Heading3"/>
        <w:rPr>
          <w:sz w:val="20"/>
          <w:szCs w:val="20"/>
        </w:rPr>
      </w:pPr>
      <w:bookmarkStart w:id="20" w:name="_Toc36642373"/>
      <w:r>
        <w:rPr>
          <w:sz w:val="20"/>
          <w:szCs w:val="20"/>
        </w:rPr>
        <w:t>Other Potential Lost Benefits or Significant Consequences</w:t>
      </w:r>
      <w:bookmarkEnd w:id="20"/>
    </w:p>
    <w:p w14:paraId="239F3986" w14:textId="77777777" w:rsidR="008A0747" w:rsidRDefault="008A0747" w:rsidP="008A0747">
      <w:pPr>
        <w:pStyle w:val="ListParagraph"/>
        <w:rPr>
          <w:sz w:val="20"/>
          <w:szCs w:val="20"/>
        </w:rPr>
      </w:pPr>
    </w:p>
    <w:p w14:paraId="2E6E9CED" w14:textId="77777777" w:rsidR="00873080" w:rsidRDefault="00873080" w:rsidP="000A02E0">
      <w:pPr>
        <w:pStyle w:val="ListParagraph"/>
        <w:ind w:left="426"/>
        <w:rPr>
          <w:sz w:val="20"/>
          <w:szCs w:val="20"/>
        </w:rPr>
      </w:pPr>
      <w:r>
        <w:rPr>
          <w:sz w:val="20"/>
          <w:szCs w:val="20"/>
        </w:rPr>
        <w:t xml:space="preserve">This section is for any fresh matters that are ancillary to what has already been dealt with. </w:t>
      </w:r>
    </w:p>
    <w:p w14:paraId="6487025E" w14:textId="327E5010" w:rsidR="00873080" w:rsidRDefault="00873080" w:rsidP="000A02E0">
      <w:pPr>
        <w:pStyle w:val="ListParagraph"/>
        <w:ind w:left="426"/>
        <w:rPr>
          <w:sz w:val="20"/>
          <w:szCs w:val="20"/>
        </w:rPr>
      </w:pPr>
      <w:r>
        <w:rPr>
          <w:sz w:val="20"/>
          <w:szCs w:val="20"/>
        </w:rPr>
        <w:t xml:space="preserve">It is not a repeat of </w:t>
      </w:r>
      <w:r w:rsidR="00E333BD">
        <w:rPr>
          <w:sz w:val="20"/>
          <w:szCs w:val="20"/>
        </w:rPr>
        <w:t>‘</w:t>
      </w:r>
      <w:r>
        <w:rPr>
          <w:sz w:val="20"/>
          <w:szCs w:val="20"/>
        </w:rPr>
        <w:t>Benefits Lost</w:t>
      </w:r>
      <w:r w:rsidR="00E333BD">
        <w:rPr>
          <w:sz w:val="20"/>
          <w:szCs w:val="20"/>
        </w:rPr>
        <w:t>’</w:t>
      </w:r>
      <w:r>
        <w:rPr>
          <w:sz w:val="20"/>
          <w:szCs w:val="20"/>
        </w:rPr>
        <w:t xml:space="preserve"> but it could </w:t>
      </w:r>
      <w:r w:rsidRPr="00E13298">
        <w:rPr>
          <w:sz w:val="20"/>
          <w:szCs w:val="20"/>
          <w:u w:val="single"/>
        </w:rPr>
        <w:t>further comment</w:t>
      </w:r>
      <w:r>
        <w:rPr>
          <w:sz w:val="20"/>
          <w:szCs w:val="20"/>
        </w:rPr>
        <w:t xml:space="preserve"> upon one or more </w:t>
      </w:r>
      <w:r w:rsidR="003B045B">
        <w:rPr>
          <w:sz w:val="20"/>
          <w:szCs w:val="20"/>
        </w:rPr>
        <w:t xml:space="preserve">of these; </w:t>
      </w:r>
      <w:r>
        <w:rPr>
          <w:sz w:val="20"/>
          <w:szCs w:val="20"/>
        </w:rPr>
        <w:t>using specifically tailored information from the fact find.</w:t>
      </w:r>
    </w:p>
    <w:p w14:paraId="0E79C35C" w14:textId="32D25712" w:rsidR="00873080" w:rsidRDefault="00873080" w:rsidP="000A02E0">
      <w:pPr>
        <w:pStyle w:val="ListParagraph"/>
        <w:ind w:left="426"/>
        <w:rPr>
          <w:sz w:val="20"/>
          <w:szCs w:val="20"/>
        </w:rPr>
      </w:pPr>
    </w:p>
    <w:p w14:paraId="4A631E89" w14:textId="094EBF54" w:rsidR="00E333BD" w:rsidRDefault="00E333BD" w:rsidP="000A02E0">
      <w:pPr>
        <w:pStyle w:val="ListParagraph"/>
        <w:ind w:left="426"/>
        <w:rPr>
          <w:sz w:val="20"/>
          <w:szCs w:val="20"/>
        </w:rPr>
      </w:pPr>
      <w:r>
        <w:rPr>
          <w:sz w:val="20"/>
          <w:szCs w:val="20"/>
        </w:rPr>
        <w:t>For example:</w:t>
      </w:r>
    </w:p>
    <w:p w14:paraId="704848CE" w14:textId="7C842466" w:rsidR="006975DD" w:rsidRDefault="00873080" w:rsidP="000A02E0">
      <w:pPr>
        <w:pStyle w:val="ListParagraph"/>
        <w:ind w:left="426"/>
        <w:rPr>
          <w:sz w:val="20"/>
          <w:szCs w:val="20"/>
        </w:rPr>
      </w:pPr>
      <w:r>
        <w:rPr>
          <w:sz w:val="20"/>
          <w:szCs w:val="20"/>
        </w:rPr>
        <w:t>‘Given your desire to look after you family when you die, the pass</w:t>
      </w:r>
      <w:r w:rsidR="00E333BD">
        <w:rPr>
          <w:sz w:val="20"/>
          <w:szCs w:val="20"/>
        </w:rPr>
        <w:t>ing</w:t>
      </w:r>
      <w:r>
        <w:rPr>
          <w:sz w:val="20"/>
          <w:szCs w:val="20"/>
        </w:rPr>
        <w:t xml:space="preserve"> of assets to your beneficiaries is important; especially as you have children from other marriages. Your pre-existing &lt;platform&gt;</w:t>
      </w:r>
      <w:r w:rsidR="003B045B">
        <w:rPr>
          <w:sz w:val="20"/>
          <w:szCs w:val="20"/>
        </w:rPr>
        <w:t xml:space="preserve"> provided</w:t>
      </w:r>
      <w:r>
        <w:rPr>
          <w:sz w:val="20"/>
          <w:szCs w:val="20"/>
        </w:rPr>
        <w:t xml:space="preserve"> non-lapsing death benefit nominations which </w:t>
      </w:r>
      <w:r w:rsidR="003B045B">
        <w:rPr>
          <w:sz w:val="20"/>
          <w:szCs w:val="20"/>
        </w:rPr>
        <w:t xml:space="preserve">the new platform does not have. </w:t>
      </w:r>
    </w:p>
    <w:p w14:paraId="201E035E" w14:textId="747560DA" w:rsidR="00873080" w:rsidRDefault="006975DD" w:rsidP="000A02E0">
      <w:pPr>
        <w:pStyle w:val="ListParagraph"/>
        <w:ind w:left="426"/>
        <w:rPr>
          <w:sz w:val="20"/>
          <w:szCs w:val="20"/>
        </w:rPr>
      </w:pPr>
      <w:r>
        <w:rPr>
          <w:sz w:val="20"/>
          <w:szCs w:val="20"/>
        </w:rPr>
        <w:t>However, you have explained that you intend to meet with an estate planning solicitor and you should explore other options …</w:t>
      </w:r>
      <w:r w:rsidR="00873080">
        <w:rPr>
          <w:sz w:val="20"/>
          <w:szCs w:val="20"/>
        </w:rPr>
        <w:t>’</w:t>
      </w:r>
    </w:p>
    <w:p w14:paraId="3A7402CB" w14:textId="77777777" w:rsidR="00873080" w:rsidRPr="008A0747" w:rsidRDefault="00873080" w:rsidP="00873080">
      <w:pPr>
        <w:pStyle w:val="ListParagraph"/>
        <w:rPr>
          <w:sz w:val="20"/>
          <w:szCs w:val="20"/>
        </w:rPr>
      </w:pPr>
    </w:p>
    <w:p w14:paraId="0F9BF0D4" w14:textId="77777777" w:rsidR="008A0747" w:rsidRDefault="008A0747" w:rsidP="005C3D39">
      <w:pPr>
        <w:pStyle w:val="Heading3"/>
        <w:rPr>
          <w:sz w:val="20"/>
          <w:szCs w:val="20"/>
        </w:rPr>
      </w:pPr>
      <w:bookmarkStart w:id="21" w:name="_Toc36642374"/>
      <w:r>
        <w:rPr>
          <w:sz w:val="20"/>
          <w:szCs w:val="20"/>
        </w:rPr>
        <w:t>Risks associated with Change</w:t>
      </w:r>
      <w:bookmarkEnd w:id="21"/>
    </w:p>
    <w:p w14:paraId="6C72A8A4" w14:textId="77777777" w:rsidR="008A0747" w:rsidRDefault="008A0747" w:rsidP="008A0747">
      <w:pPr>
        <w:pStyle w:val="ListParagraph"/>
        <w:rPr>
          <w:sz w:val="20"/>
          <w:szCs w:val="20"/>
        </w:rPr>
      </w:pPr>
    </w:p>
    <w:p w14:paraId="05BC7B31" w14:textId="06ACC96A" w:rsidR="00F1063D" w:rsidRDefault="00F1063D" w:rsidP="000A02E0">
      <w:pPr>
        <w:pStyle w:val="ListParagraph"/>
        <w:ind w:left="426"/>
        <w:rPr>
          <w:sz w:val="20"/>
          <w:szCs w:val="20"/>
        </w:rPr>
      </w:pPr>
      <w:r>
        <w:rPr>
          <w:sz w:val="20"/>
          <w:szCs w:val="20"/>
        </w:rPr>
        <w:t xml:space="preserve">Not a repeat of </w:t>
      </w:r>
      <w:r w:rsidR="00380BFD">
        <w:rPr>
          <w:sz w:val="20"/>
          <w:szCs w:val="20"/>
        </w:rPr>
        <w:t>‘</w:t>
      </w:r>
      <w:r w:rsidR="0091217E">
        <w:rPr>
          <w:sz w:val="20"/>
          <w:szCs w:val="20"/>
        </w:rPr>
        <w:t>B</w:t>
      </w:r>
      <w:r>
        <w:rPr>
          <w:sz w:val="20"/>
          <w:szCs w:val="20"/>
        </w:rPr>
        <w:t xml:space="preserve">enefits </w:t>
      </w:r>
      <w:r w:rsidR="0091217E">
        <w:rPr>
          <w:sz w:val="20"/>
          <w:szCs w:val="20"/>
        </w:rPr>
        <w:t>L</w:t>
      </w:r>
      <w:r>
        <w:rPr>
          <w:sz w:val="20"/>
          <w:szCs w:val="20"/>
        </w:rPr>
        <w:t>ost</w:t>
      </w:r>
      <w:r w:rsidR="00380BFD">
        <w:rPr>
          <w:sz w:val="20"/>
          <w:szCs w:val="20"/>
        </w:rPr>
        <w:t>’</w:t>
      </w:r>
      <w:r>
        <w:rPr>
          <w:sz w:val="20"/>
          <w:szCs w:val="20"/>
        </w:rPr>
        <w:t xml:space="preserve">, </w:t>
      </w:r>
      <w:r w:rsidR="00380BFD">
        <w:rPr>
          <w:sz w:val="20"/>
          <w:szCs w:val="20"/>
        </w:rPr>
        <w:t>‘</w:t>
      </w:r>
      <w:r w:rsidR="0091217E">
        <w:rPr>
          <w:sz w:val="20"/>
          <w:szCs w:val="20"/>
        </w:rPr>
        <w:t>O</w:t>
      </w:r>
      <w:r>
        <w:rPr>
          <w:sz w:val="20"/>
          <w:szCs w:val="20"/>
        </w:rPr>
        <w:t>ther potential benefits lost</w:t>
      </w:r>
      <w:r w:rsidR="00380BFD">
        <w:rPr>
          <w:sz w:val="20"/>
          <w:szCs w:val="20"/>
        </w:rPr>
        <w:t>’ or ‘</w:t>
      </w:r>
      <w:r w:rsidR="0091217E">
        <w:rPr>
          <w:sz w:val="20"/>
          <w:szCs w:val="20"/>
        </w:rPr>
        <w:t>S</w:t>
      </w:r>
      <w:r>
        <w:rPr>
          <w:sz w:val="20"/>
          <w:szCs w:val="20"/>
        </w:rPr>
        <w:t xml:space="preserve">ignificant </w:t>
      </w:r>
      <w:r w:rsidR="0091217E">
        <w:rPr>
          <w:sz w:val="20"/>
          <w:szCs w:val="20"/>
        </w:rPr>
        <w:t>C</w:t>
      </w:r>
      <w:r>
        <w:rPr>
          <w:sz w:val="20"/>
          <w:szCs w:val="20"/>
        </w:rPr>
        <w:t>onsequences</w:t>
      </w:r>
      <w:r w:rsidR="00380BFD">
        <w:rPr>
          <w:sz w:val="20"/>
          <w:szCs w:val="20"/>
        </w:rPr>
        <w:t>’</w:t>
      </w:r>
      <w:r>
        <w:rPr>
          <w:sz w:val="20"/>
          <w:szCs w:val="20"/>
        </w:rPr>
        <w:t>.</w:t>
      </w:r>
    </w:p>
    <w:p w14:paraId="2ACEB196" w14:textId="77777777" w:rsidR="00F1063D" w:rsidRDefault="00F1063D" w:rsidP="000A02E0">
      <w:pPr>
        <w:pStyle w:val="ListParagraph"/>
        <w:ind w:left="426"/>
        <w:rPr>
          <w:sz w:val="20"/>
          <w:szCs w:val="20"/>
        </w:rPr>
      </w:pPr>
    </w:p>
    <w:p w14:paraId="567F9677" w14:textId="77777777" w:rsidR="007F1DDE" w:rsidRDefault="007F1DDE" w:rsidP="000A02E0">
      <w:pPr>
        <w:pStyle w:val="ListParagraph"/>
        <w:ind w:left="426"/>
        <w:rPr>
          <w:sz w:val="20"/>
          <w:szCs w:val="20"/>
        </w:rPr>
      </w:pPr>
      <w:r>
        <w:rPr>
          <w:sz w:val="20"/>
          <w:szCs w:val="20"/>
        </w:rPr>
        <w:t xml:space="preserve">These are typically </w:t>
      </w:r>
      <w:r w:rsidRPr="00E13298">
        <w:rPr>
          <w:sz w:val="20"/>
          <w:szCs w:val="20"/>
          <w:u w:val="single"/>
        </w:rPr>
        <w:t>general principles</w:t>
      </w:r>
      <w:r>
        <w:rPr>
          <w:sz w:val="20"/>
          <w:szCs w:val="20"/>
        </w:rPr>
        <w:t xml:space="preserve"> that underlie investment or insurance that are made obvious in the </w:t>
      </w:r>
      <w:r w:rsidR="000A02E0">
        <w:rPr>
          <w:sz w:val="20"/>
          <w:szCs w:val="20"/>
        </w:rPr>
        <w:t>client’s best</w:t>
      </w:r>
      <w:r>
        <w:rPr>
          <w:sz w:val="20"/>
          <w:szCs w:val="20"/>
        </w:rPr>
        <w:t xml:space="preserve"> interest.</w:t>
      </w:r>
    </w:p>
    <w:p w14:paraId="77BC3E4D" w14:textId="77777777" w:rsidR="007F1DDE" w:rsidRDefault="007F1DDE" w:rsidP="008A0747">
      <w:pPr>
        <w:pStyle w:val="ListParagraph"/>
        <w:rPr>
          <w:sz w:val="20"/>
          <w:szCs w:val="20"/>
        </w:rPr>
      </w:pPr>
    </w:p>
    <w:p w14:paraId="0BAEFF78" w14:textId="77777777" w:rsidR="007F1DDE" w:rsidRPr="005662CC" w:rsidRDefault="007F1DDE" w:rsidP="000A02E0">
      <w:pPr>
        <w:ind w:firstLine="426"/>
        <w:rPr>
          <w:sz w:val="20"/>
          <w:szCs w:val="20"/>
        </w:rPr>
      </w:pPr>
      <w:r w:rsidRPr="005662CC">
        <w:rPr>
          <w:sz w:val="20"/>
          <w:szCs w:val="20"/>
        </w:rPr>
        <w:t>For example:</w:t>
      </w:r>
    </w:p>
    <w:p w14:paraId="538B5CDC" w14:textId="77777777" w:rsidR="007F1DDE" w:rsidRPr="005662CC" w:rsidRDefault="00CE3379" w:rsidP="000A02E0">
      <w:pPr>
        <w:pStyle w:val="ListParagraph"/>
        <w:numPr>
          <w:ilvl w:val="0"/>
          <w:numId w:val="22"/>
        </w:numPr>
        <w:rPr>
          <w:sz w:val="20"/>
          <w:szCs w:val="20"/>
        </w:rPr>
      </w:pPr>
      <w:r>
        <w:rPr>
          <w:sz w:val="20"/>
          <w:szCs w:val="20"/>
        </w:rPr>
        <w:t>“</w:t>
      </w:r>
      <w:r w:rsidR="007F1DDE">
        <w:rPr>
          <w:sz w:val="20"/>
          <w:szCs w:val="20"/>
        </w:rPr>
        <w:t xml:space="preserve">Moving from cash to a managed fund imposes a </w:t>
      </w:r>
      <w:r w:rsidR="00643C2E">
        <w:rPr>
          <w:sz w:val="20"/>
          <w:szCs w:val="20"/>
        </w:rPr>
        <w:t>‘</w:t>
      </w:r>
      <w:r w:rsidR="007F1DDE">
        <w:rPr>
          <w:sz w:val="20"/>
          <w:szCs w:val="20"/>
        </w:rPr>
        <w:t>process</w:t>
      </w:r>
      <w:r w:rsidR="00643C2E">
        <w:rPr>
          <w:sz w:val="20"/>
          <w:szCs w:val="20"/>
        </w:rPr>
        <w:t>’</w:t>
      </w:r>
      <w:r w:rsidR="007F1DDE">
        <w:rPr>
          <w:sz w:val="20"/>
          <w:szCs w:val="20"/>
        </w:rPr>
        <w:t xml:space="preserve"> and </w:t>
      </w:r>
      <w:r w:rsidR="00643C2E">
        <w:rPr>
          <w:sz w:val="20"/>
          <w:szCs w:val="20"/>
        </w:rPr>
        <w:t>typically an ‘increased delay’ in</w:t>
      </w:r>
      <w:r w:rsidR="007F1DDE">
        <w:rPr>
          <w:sz w:val="20"/>
          <w:szCs w:val="20"/>
        </w:rPr>
        <w:t xml:space="preserve"> accessing liquid funds</w:t>
      </w:r>
      <w:r>
        <w:rPr>
          <w:sz w:val="20"/>
          <w:szCs w:val="20"/>
        </w:rPr>
        <w:t>”</w:t>
      </w:r>
    </w:p>
    <w:p w14:paraId="24763B97" w14:textId="77777777" w:rsidR="007F1DDE" w:rsidRDefault="00CE3379" w:rsidP="000A02E0">
      <w:pPr>
        <w:pStyle w:val="ListParagraph"/>
        <w:numPr>
          <w:ilvl w:val="0"/>
          <w:numId w:val="22"/>
        </w:numPr>
        <w:rPr>
          <w:sz w:val="20"/>
          <w:szCs w:val="20"/>
        </w:rPr>
      </w:pPr>
      <w:r>
        <w:rPr>
          <w:sz w:val="20"/>
          <w:szCs w:val="20"/>
        </w:rPr>
        <w:t>“</w:t>
      </w:r>
      <w:r w:rsidR="007F1DDE">
        <w:rPr>
          <w:sz w:val="20"/>
          <w:szCs w:val="20"/>
        </w:rPr>
        <w:t>Moving from a bank account implies the loss of a capital guarantee</w:t>
      </w:r>
      <w:r>
        <w:rPr>
          <w:sz w:val="20"/>
          <w:szCs w:val="20"/>
        </w:rPr>
        <w:t>”</w:t>
      </w:r>
    </w:p>
    <w:p w14:paraId="66D8D743" w14:textId="77777777" w:rsidR="007F1DDE" w:rsidRDefault="00CE3379" w:rsidP="000A02E0">
      <w:pPr>
        <w:pStyle w:val="ListParagraph"/>
        <w:numPr>
          <w:ilvl w:val="0"/>
          <w:numId w:val="22"/>
        </w:numPr>
        <w:rPr>
          <w:sz w:val="20"/>
          <w:szCs w:val="20"/>
        </w:rPr>
      </w:pPr>
      <w:r>
        <w:rPr>
          <w:sz w:val="20"/>
          <w:szCs w:val="20"/>
        </w:rPr>
        <w:t>“</w:t>
      </w:r>
      <w:r w:rsidR="007F1DDE">
        <w:rPr>
          <w:sz w:val="20"/>
          <w:szCs w:val="20"/>
        </w:rPr>
        <w:t>Moving from a savings account removes the certainty of a fixed interest return</w:t>
      </w:r>
      <w:r>
        <w:rPr>
          <w:sz w:val="20"/>
          <w:szCs w:val="20"/>
        </w:rPr>
        <w:t>”</w:t>
      </w:r>
      <w:r w:rsidR="007F1DDE">
        <w:rPr>
          <w:sz w:val="20"/>
          <w:szCs w:val="20"/>
        </w:rPr>
        <w:t xml:space="preserve"> (albeit low)</w:t>
      </w:r>
    </w:p>
    <w:p w14:paraId="27C70327" w14:textId="77777777" w:rsidR="007F1DDE" w:rsidRPr="00863EE2" w:rsidRDefault="00CE3379" w:rsidP="000A02E0">
      <w:pPr>
        <w:pStyle w:val="ListParagraph"/>
        <w:numPr>
          <w:ilvl w:val="0"/>
          <w:numId w:val="22"/>
        </w:numPr>
        <w:rPr>
          <w:sz w:val="20"/>
          <w:szCs w:val="20"/>
        </w:rPr>
      </w:pPr>
      <w:r>
        <w:rPr>
          <w:sz w:val="20"/>
          <w:szCs w:val="20"/>
        </w:rPr>
        <w:lastRenderedPageBreak/>
        <w:t>“</w:t>
      </w:r>
      <w:r w:rsidR="007F1DDE">
        <w:rPr>
          <w:sz w:val="20"/>
          <w:szCs w:val="20"/>
        </w:rPr>
        <w:t>Our recommendation for trauma cover</w:t>
      </w:r>
      <w:r w:rsidR="00863EE2">
        <w:rPr>
          <w:sz w:val="20"/>
          <w:szCs w:val="20"/>
        </w:rPr>
        <w:t xml:space="preserve"> used benefit assumptions</w:t>
      </w:r>
      <w:r w:rsidR="007F1DDE" w:rsidRPr="00863EE2">
        <w:rPr>
          <w:sz w:val="20"/>
          <w:szCs w:val="20"/>
        </w:rPr>
        <w:t xml:space="preserve"> that, in the experience of this practice, more than </w:t>
      </w:r>
      <w:r w:rsidR="00863EE2">
        <w:rPr>
          <w:sz w:val="20"/>
          <w:szCs w:val="20"/>
        </w:rPr>
        <w:t>meet</w:t>
      </w:r>
      <w:r w:rsidR="007F1DDE" w:rsidRPr="00863EE2">
        <w:rPr>
          <w:sz w:val="20"/>
          <w:szCs w:val="20"/>
        </w:rPr>
        <w:t xml:space="preserve"> the potential needs of many of our clients. </w:t>
      </w:r>
      <w:r w:rsidR="00863EE2">
        <w:rPr>
          <w:sz w:val="20"/>
          <w:szCs w:val="20"/>
        </w:rPr>
        <w:t>If you wish to more fully examine these assumptions, we are happ</w:t>
      </w:r>
      <w:r w:rsidR="00AE0AA2">
        <w:rPr>
          <w:sz w:val="20"/>
          <w:szCs w:val="20"/>
        </w:rPr>
        <w:t>y to explain and further tailor benefit amounts as necessary</w:t>
      </w:r>
      <w:r w:rsidR="00863EE2">
        <w:rPr>
          <w:sz w:val="20"/>
          <w:szCs w:val="20"/>
        </w:rPr>
        <w:t>.”</w:t>
      </w:r>
      <w:r w:rsidR="007F1DDE" w:rsidRPr="00863EE2">
        <w:rPr>
          <w:sz w:val="20"/>
          <w:szCs w:val="20"/>
        </w:rPr>
        <w:t xml:space="preserve">   </w:t>
      </w:r>
    </w:p>
    <w:p w14:paraId="18D0B288" w14:textId="77777777" w:rsidR="00F1063D" w:rsidRDefault="00F1063D" w:rsidP="008A0747">
      <w:pPr>
        <w:pStyle w:val="ListParagraph"/>
        <w:rPr>
          <w:sz w:val="20"/>
          <w:szCs w:val="20"/>
        </w:rPr>
      </w:pPr>
    </w:p>
    <w:p w14:paraId="195DCA33" w14:textId="77777777" w:rsidR="008A0747" w:rsidRDefault="008A0747" w:rsidP="005C3D39">
      <w:pPr>
        <w:pStyle w:val="Heading3"/>
        <w:rPr>
          <w:sz w:val="20"/>
          <w:szCs w:val="20"/>
        </w:rPr>
      </w:pPr>
      <w:bookmarkStart w:id="22" w:name="_Toc36642375"/>
      <w:r>
        <w:rPr>
          <w:sz w:val="20"/>
          <w:szCs w:val="20"/>
        </w:rPr>
        <w:t>Other Strategies Considered</w:t>
      </w:r>
      <w:bookmarkEnd w:id="22"/>
    </w:p>
    <w:p w14:paraId="3E22C23F" w14:textId="77777777" w:rsidR="008A0747" w:rsidRDefault="008A0747" w:rsidP="00C84F95">
      <w:pPr>
        <w:pStyle w:val="ListParagraph"/>
        <w:ind w:left="1440"/>
        <w:rPr>
          <w:sz w:val="20"/>
          <w:szCs w:val="20"/>
        </w:rPr>
      </w:pPr>
    </w:p>
    <w:p w14:paraId="4F029278" w14:textId="77777777" w:rsidR="00E13298" w:rsidRDefault="00437162" w:rsidP="004263BD">
      <w:pPr>
        <w:pStyle w:val="ListParagraph"/>
        <w:ind w:left="426"/>
        <w:rPr>
          <w:sz w:val="20"/>
          <w:szCs w:val="20"/>
        </w:rPr>
      </w:pPr>
      <w:r>
        <w:rPr>
          <w:sz w:val="20"/>
          <w:szCs w:val="20"/>
        </w:rPr>
        <w:t xml:space="preserve">The default ‘Other Strategy’ is </w:t>
      </w:r>
      <w:r w:rsidRPr="0012488F">
        <w:rPr>
          <w:sz w:val="20"/>
          <w:szCs w:val="20"/>
          <w:u w:val="single"/>
        </w:rPr>
        <w:t>No Change</w:t>
      </w:r>
      <w:r>
        <w:rPr>
          <w:sz w:val="20"/>
          <w:szCs w:val="20"/>
        </w:rPr>
        <w:t xml:space="preserve">. </w:t>
      </w:r>
    </w:p>
    <w:p w14:paraId="40099E6C" w14:textId="0D81D524" w:rsidR="00437162" w:rsidRDefault="00437162" w:rsidP="004263BD">
      <w:pPr>
        <w:pStyle w:val="ListParagraph"/>
        <w:ind w:left="426"/>
        <w:rPr>
          <w:sz w:val="20"/>
          <w:szCs w:val="20"/>
        </w:rPr>
      </w:pPr>
      <w:r>
        <w:rPr>
          <w:sz w:val="20"/>
          <w:szCs w:val="20"/>
        </w:rPr>
        <w:t xml:space="preserve">This </w:t>
      </w:r>
      <w:r w:rsidR="00E13298">
        <w:rPr>
          <w:sz w:val="20"/>
          <w:szCs w:val="20"/>
        </w:rPr>
        <w:t>should always</w:t>
      </w:r>
      <w:r>
        <w:rPr>
          <w:sz w:val="20"/>
          <w:szCs w:val="20"/>
        </w:rPr>
        <w:t xml:space="preserve"> be </w:t>
      </w:r>
      <w:r w:rsidR="00E13298">
        <w:rPr>
          <w:sz w:val="20"/>
          <w:szCs w:val="20"/>
        </w:rPr>
        <w:t>addressed</w:t>
      </w:r>
      <w:r>
        <w:rPr>
          <w:sz w:val="20"/>
          <w:szCs w:val="20"/>
        </w:rPr>
        <w:t xml:space="preserve"> first; </w:t>
      </w:r>
      <w:r w:rsidR="00E13298">
        <w:rPr>
          <w:sz w:val="20"/>
          <w:szCs w:val="20"/>
        </w:rPr>
        <w:t>typically,</w:t>
      </w:r>
      <w:r>
        <w:rPr>
          <w:sz w:val="20"/>
          <w:szCs w:val="20"/>
        </w:rPr>
        <w:t xml:space="preserve"> by referencing how the client’s goal would not have been met by </w:t>
      </w:r>
      <w:r w:rsidR="00E13298">
        <w:rPr>
          <w:sz w:val="20"/>
          <w:szCs w:val="20"/>
        </w:rPr>
        <w:t xml:space="preserve">pre-existing </w:t>
      </w:r>
      <w:r>
        <w:rPr>
          <w:sz w:val="20"/>
          <w:szCs w:val="20"/>
        </w:rPr>
        <w:t>product retention.</w:t>
      </w:r>
    </w:p>
    <w:p w14:paraId="737971FE" w14:textId="77777777" w:rsidR="00437162" w:rsidRDefault="00437162" w:rsidP="004263BD">
      <w:pPr>
        <w:pStyle w:val="ListParagraph"/>
        <w:ind w:left="426"/>
        <w:rPr>
          <w:sz w:val="20"/>
          <w:szCs w:val="20"/>
        </w:rPr>
      </w:pPr>
    </w:p>
    <w:p w14:paraId="5682BBCF" w14:textId="6E1AD344" w:rsidR="00C84F95" w:rsidRPr="00AC7ADD" w:rsidRDefault="00437162" w:rsidP="004263BD">
      <w:pPr>
        <w:pStyle w:val="ListParagraph"/>
        <w:ind w:left="426"/>
        <w:rPr>
          <w:sz w:val="20"/>
          <w:szCs w:val="20"/>
        </w:rPr>
      </w:pPr>
      <w:r>
        <w:rPr>
          <w:sz w:val="20"/>
          <w:szCs w:val="20"/>
        </w:rPr>
        <w:t xml:space="preserve">Next …. deal with any other </w:t>
      </w:r>
      <w:r w:rsidR="00C84F95" w:rsidRPr="00AC7ADD">
        <w:rPr>
          <w:sz w:val="20"/>
          <w:szCs w:val="20"/>
        </w:rPr>
        <w:t>valid strategic options</w:t>
      </w:r>
      <w:r>
        <w:rPr>
          <w:sz w:val="20"/>
          <w:szCs w:val="20"/>
        </w:rPr>
        <w:t>; these may n</w:t>
      </w:r>
      <w:r w:rsidR="00C84F95" w:rsidRPr="00AC7ADD">
        <w:rPr>
          <w:sz w:val="20"/>
          <w:szCs w:val="20"/>
        </w:rPr>
        <w:t xml:space="preserve">ot meet </w:t>
      </w:r>
      <w:r>
        <w:rPr>
          <w:sz w:val="20"/>
          <w:szCs w:val="20"/>
        </w:rPr>
        <w:t>the clients’ goals a</w:t>
      </w:r>
      <w:r w:rsidR="00C84F95" w:rsidRPr="00AC7ADD">
        <w:rPr>
          <w:sz w:val="20"/>
          <w:szCs w:val="20"/>
        </w:rPr>
        <w:t xml:space="preserve">s </w:t>
      </w:r>
      <w:r w:rsidR="00F30A2F">
        <w:rPr>
          <w:sz w:val="20"/>
          <w:szCs w:val="20"/>
        </w:rPr>
        <w:t>efficiently</w:t>
      </w:r>
      <w:r w:rsidR="00C84F95" w:rsidRPr="00AC7ADD">
        <w:rPr>
          <w:sz w:val="20"/>
          <w:szCs w:val="20"/>
        </w:rPr>
        <w:t xml:space="preserve"> as the recommended strategy.</w:t>
      </w:r>
    </w:p>
    <w:p w14:paraId="706BD4A1" w14:textId="77777777" w:rsidR="00C84F95" w:rsidRDefault="00C84F95" w:rsidP="004263BD">
      <w:pPr>
        <w:pStyle w:val="ListParagraph"/>
        <w:ind w:left="426"/>
        <w:rPr>
          <w:sz w:val="20"/>
          <w:szCs w:val="20"/>
        </w:rPr>
      </w:pPr>
    </w:p>
    <w:p w14:paraId="73C91BEC" w14:textId="77777777" w:rsidR="00C84F95" w:rsidRPr="00AC7ADD" w:rsidRDefault="00F30A2F" w:rsidP="004263BD">
      <w:pPr>
        <w:pStyle w:val="ListParagraph"/>
        <w:ind w:left="426"/>
        <w:rPr>
          <w:sz w:val="20"/>
          <w:szCs w:val="20"/>
        </w:rPr>
      </w:pPr>
      <w:r>
        <w:rPr>
          <w:sz w:val="20"/>
          <w:szCs w:val="20"/>
        </w:rPr>
        <w:t>Careful</w:t>
      </w:r>
      <w:r w:rsidR="00AC7ADD" w:rsidRPr="00AC7ADD">
        <w:rPr>
          <w:sz w:val="20"/>
          <w:szCs w:val="20"/>
        </w:rPr>
        <w:t xml:space="preserve"> use of the </w:t>
      </w:r>
      <w:r w:rsidR="00C84F95" w:rsidRPr="00AC7ADD">
        <w:rPr>
          <w:sz w:val="20"/>
          <w:szCs w:val="20"/>
        </w:rPr>
        <w:t xml:space="preserve">section </w:t>
      </w:r>
      <w:r w:rsidR="00AC7ADD" w:rsidRPr="00AC7ADD">
        <w:rPr>
          <w:sz w:val="20"/>
          <w:szCs w:val="20"/>
        </w:rPr>
        <w:t>will enable a further demonstration of</w:t>
      </w:r>
      <w:r>
        <w:rPr>
          <w:sz w:val="20"/>
          <w:szCs w:val="20"/>
        </w:rPr>
        <w:t xml:space="preserve"> the A</w:t>
      </w:r>
      <w:r w:rsidR="00C84F95" w:rsidRPr="00AC7ADD">
        <w:rPr>
          <w:sz w:val="20"/>
          <w:szCs w:val="20"/>
        </w:rPr>
        <w:t>dviser’s openness to and analysis of all relevant options in the best interest of the client.</w:t>
      </w:r>
    </w:p>
    <w:p w14:paraId="05411B42" w14:textId="25542677" w:rsidR="008A0747" w:rsidRDefault="008A0747" w:rsidP="008A0747">
      <w:pPr>
        <w:pStyle w:val="ListParagraph"/>
        <w:ind w:left="851"/>
        <w:rPr>
          <w:sz w:val="20"/>
          <w:szCs w:val="20"/>
        </w:rPr>
      </w:pPr>
    </w:p>
    <w:p w14:paraId="28545D87" w14:textId="77777777" w:rsidR="00CB40E4" w:rsidRDefault="00CB40E4" w:rsidP="008A0747">
      <w:pPr>
        <w:pStyle w:val="ListParagraph"/>
        <w:ind w:left="851"/>
        <w:rPr>
          <w:sz w:val="20"/>
          <w:szCs w:val="20"/>
        </w:rPr>
      </w:pPr>
    </w:p>
    <w:p w14:paraId="6CC9E61F" w14:textId="63EAC644" w:rsidR="00AE187C" w:rsidRPr="000A469A" w:rsidRDefault="00AE187C" w:rsidP="000A469A">
      <w:pPr>
        <w:pStyle w:val="Heading2"/>
        <w:rPr>
          <w:rFonts w:eastAsia="Times New Roman"/>
          <w:b/>
          <w:sz w:val="28"/>
          <w:szCs w:val="28"/>
        </w:rPr>
      </w:pPr>
      <w:bookmarkStart w:id="23" w:name="_Toc36642376"/>
      <w:r w:rsidRPr="000A469A">
        <w:rPr>
          <w:rFonts w:eastAsia="Times New Roman"/>
          <w:b/>
          <w:sz w:val="28"/>
          <w:szCs w:val="28"/>
        </w:rPr>
        <w:t>Ongoing Service</w:t>
      </w:r>
      <w:bookmarkEnd w:id="23"/>
    </w:p>
    <w:p w14:paraId="17F6E75C" w14:textId="77777777" w:rsidR="00AE187C" w:rsidRPr="005662CC" w:rsidRDefault="00AE187C" w:rsidP="000A469A">
      <w:pPr>
        <w:pStyle w:val="ListParagraph"/>
        <w:ind w:left="426"/>
        <w:rPr>
          <w:sz w:val="20"/>
          <w:szCs w:val="20"/>
        </w:rPr>
      </w:pPr>
    </w:p>
    <w:p w14:paraId="032BAE96" w14:textId="6EA1A318" w:rsidR="00AE187C" w:rsidRDefault="00AE187C" w:rsidP="00AE187C">
      <w:pPr>
        <w:pStyle w:val="Default"/>
        <w:ind w:left="426"/>
        <w:rPr>
          <w:color w:val="auto"/>
          <w:sz w:val="20"/>
          <w:szCs w:val="20"/>
        </w:rPr>
      </w:pPr>
      <w:r w:rsidRPr="000A469A">
        <w:rPr>
          <w:color w:val="auto"/>
          <w:sz w:val="20"/>
          <w:szCs w:val="20"/>
        </w:rPr>
        <w:t>“Ongoing Service” is an optional area</w:t>
      </w:r>
      <w:r>
        <w:rPr>
          <w:color w:val="auto"/>
          <w:sz w:val="20"/>
          <w:szCs w:val="20"/>
        </w:rPr>
        <w:t xml:space="preserve"> </w:t>
      </w:r>
      <w:r w:rsidR="003F3C7C">
        <w:rPr>
          <w:color w:val="auto"/>
          <w:sz w:val="20"/>
          <w:szCs w:val="20"/>
        </w:rPr>
        <w:t>in the template</w:t>
      </w:r>
      <w:r w:rsidR="001253AF">
        <w:rPr>
          <w:color w:val="auto"/>
          <w:sz w:val="20"/>
          <w:szCs w:val="20"/>
        </w:rPr>
        <w:t xml:space="preserve">. </w:t>
      </w:r>
      <w:r w:rsidR="003F3C7C">
        <w:rPr>
          <w:color w:val="auto"/>
          <w:sz w:val="20"/>
          <w:szCs w:val="20"/>
        </w:rPr>
        <w:t xml:space="preserve"> </w:t>
      </w:r>
      <w:r w:rsidR="001253AF">
        <w:rPr>
          <w:color w:val="auto"/>
          <w:sz w:val="20"/>
          <w:szCs w:val="20"/>
        </w:rPr>
        <w:t>It allows for detailing of an Ongoing Fee Arrangement (OFA)</w:t>
      </w:r>
      <w:r w:rsidR="001253AF" w:rsidRPr="000A469A">
        <w:rPr>
          <w:color w:val="auto"/>
          <w:sz w:val="20"/>
          <w:szCs w:val="20"/>
        </w:rPr>
        <w:t xml:space="preserve"> </w:t>
      </w:r>
      <w:r w:rsidR="001253AF">
        <w:rPr>
          <w:color w:val="auto"/>
          <w:sz w:val="20"/>
          <w:szCs w:val="20"/>
        </w:rPr>
        <w:t>resulting in</w:t>
      </w:r>
      <w:r w:rsidR="001253AF" w:rsidRPr="000A469A">
        <w:rPr>
          <w:color w:val="auto"/>
          <w:sz w:val="20"/>
          <w:szCs w:val="20"/>
        </w:rPr>
        <w:t xml:space="preserve"> easy reference for </w:t>
      </w:r>
      <w:r w:rsidR="001253AF">
        <w:rPr>
          <w:color w:val="auto"/>
          <w:sz w:val="20"/>
          <w:szCs w:val="20"/>
        </w:rPr>
        <w:t>preparation</w:t>
      </w:r>
      <w:r w:rsidR="001253AF" w:rsidRPr="000A469A">
        <w:rPr>
          <w:color w:val="auto"/>
          <w:sz w:val="20"/>
          <w:szCs w:val="20"/>
        </w:rPr>
        <w:t xml:space="preserve"> of future Fee Disclosure Statements.</w:t>
      </w:r>
    </w:p>
    <w:p w14:paraId="71491FC5" w14:textId="77777777" w:rsidR="00AE187C" w:rsidRPr="000A469A" w:rsidRDefault="00AE187C" w:rsidP="000A469A">
      <w:pPr>
        <w:pStyle w:val="Default"/>
        <w:ind w:left="426"/>
        <w:rPr>
          <w:color w:val="auto"/>
          <w:sz w:val="20"/>
          <w:szCs w:val="20"/>
        </w:rPr>
      </w:pPr>
    </w:p>
    <w:p w14:paraId="4DAA8DD3" w14:textId="77777777" w:rsidR="00743781" w:rsidRDefault="00743781" w:rsidP="00743781">
      <w:pPr>
        <w:pStyle w:val="ListParagraph"/>
        <w:ind w:left="426"/>
        <w:rPr>
          <w:sz w:val="20"/>
          <w:szCs w:val="20"/>
        </w:rPr>
      </w:pPr>
      <w:r w:rsidRPr="000A469A">
        <w:rPr>
          <w:sz w:val="20"/>
          <w:szCs w:val="20"/>
        </w:rPr>
        <w:t xml:space="preserve">Advisers should </w:t>
      </w:r>
      <w:r>
        <w:rPr>
          <w:sz w:val="20"/>
          <w:szCs w:val="20"/>
        </w:rPr>
        <w:t xml:space="preserve">carefully describe the details of any specific </w:t>
      </w:r>
      <w:r w:rsidRPr="000A469A">
        <w:rPr>
          <w:sz w:val="20"/>
          <w:szCs w:val="20"/>
        </w:rPr>
        <w:t>service offering</w:t>
      </w:r>
      <w:r>
        <w:rPr>
          <w:sz w:val="20"/>
          <w:szCs w:val="20"/>
        </w:rPr>
        <w:t>(s) they may have.</w:t>
      </w:r>
      <w:r w:rsidRPr="000A469A">
        <w:rPr>
          <w:sz w:val="20"/>
          <w:szCs w:val="20"/>
        </w:rPr>
        <w:t xml:space="preserve"> </w:t>
      </w:r>
    </w:p>
    <w:p w14:paraId="230FBED5" w14:textId="77777777" w:rsidR="00743781" w:rsidRDefault="00743781" w:rsidP="00743781">
      <w:pPr>
        <w:pStyle w:val="ListParagraph"/>
        <w:ind w:left="426"/>
        <w:rPr>
          <w:sz w:val="20"/>
          <w:szCs w:val="20"/>
        </w:rPr>
      </w:pPr>
    </w:p>
    <w:p w14:paraId="2E18A96D" w14:textId="77777777" w:rsidR="00743781" w:rsidRDefault="00743781" w:rsidP="00743781">
      <w:pPr>
        <w:pStyle w:val="ListParagraph"/>
        <w:ind w:left="426"/>
        <w:rPr>
          <w:sz w:val="20"/>
          <w:szCs w:val="20"/>
        </w:rPr>
      </w:pPr>
      <w:r>
        <w:rPr>
          <w:sz w:val="20"/>
          <w:szCs w:val="20"/>
        </w:rPr>
        <w:t xml:space="preserve">Beware phrasing like: ‘we will </w:t>
      </w:r>
      <w:r w:rsidRPr="00BF1802">
        <w:rPr>
          <w:sz w:val="20"/>
          <w:szCs w:val="20"/>
          <w:u w:val="single"/>
        </w:rPr>
        <w:t>offer</w:t>
      </w:r>
      <w:r>
        <w:rPr>
          <w:sz w:val="20"/>
          <w:szCs w:val="20"/>
        </w:rPr>
        <w:t xml:space="preserve"> a review annually’ </w:t>
      </w:r>
    </w:p>
    <w:p w14:paraId="03288F58" w14:textId="77777777" w:rsidR="00743781" w:rsidRPr="003E78EA" w:rsidRDefault="00743781" w:rsidP="00743781">
      <w:pPr>
        <w:ind w:firstLine="426"/>
        <w:rPr>
          <w:sz w:val="20"/>
          <w:szCs w:val="20"/>
        </w:rPr>
      </w:pPr>
      <w:r>
        <w:rPr>
          <w:sz w:val="20"/>
          <w:szCs w:val="20"/>
        </w:rPr>
        <w:t>It</w:t>
      </w:r>
      <w:r w:rsidRPr="003E78EA">
        <w:rPr>
          <w:sz w:val="20"/>
          <w:szCs w:val="20"/>
        </w:rPr>
        <w:t xml:space="preserve"> is an ambiguous expression of any ongoing service obligation.</w:t>
      </w:r>
    </w:p>
    <w:p w14:paraId="460FE727" w14:textId="56298F26" w:rsidR="00743781" w:rsidRDefault="00324D96" w:rsidP="00743781">
      <w:pPr>
        <w:pStyle w:val="ListParagraph"/>
        <w:ind w:left="426"/>
        <w:rPr>
          <w:sz w:val="20"/>
          <w:szCs w:val="20"/>
        </w:rPr>
      </w:pPr>
      <w:r>
        <w:rPr>
          <w:sz w:val="20"/>
          <w:szCs w:val="20"/>
        </w:rPr>
        <w:t>Worst case</w:t>
      </w:r>
      <w:r w:rsidR="00743781">
        <w:rPr>
          <w:sz w:val="20"/>
          <w:szCs w:val="20"/>
        </w:rPr>
        <w:t xml:space="preserve">, this may be interpreted that the Client pays a fee entitling a ‘proactive </w:t>
      </w:r>
      <w:r w:rsidR="00743781">
        <w:rPr>
          <w:sz w:val="20"/>
          <w:szCs w:val="20"/>
          <w:u w:val="single"/>
        </w:rPr>
        <w:t>offer</w:t>
      </w:r>
      <w:r w:rsidR="00743781">
        <w:rPr>
          <w:sz w:val="20"/>
          <w:szCs w:val="20"/>
        </w:rPr>
        <w:t xml:space="preserve">’ of service; any actual service </w:t>
      </w:r>
      <w:r w:rsidR="00743781">
        <w:rPr>
          <w:sz w:val="20"/>
          <w:szCs w:val="20"/>
          <w:u w:val="single"/>
        </w:rPr>
        <w:t>provision</w:t>
      </w:r>
      <w:r w:rsidR="00743781">
        <w:rPr>
          <w:sz w:val="20"/>
          <w:szCs w:val="20"/>
        </w:rPr>
        <w:t xml:space="preserve"> may not be obviously covered by that same ongoing fee</w:t>
      </w:r>
    </w:p>
    <w:p w14:paraId="6B23A83F" w14:textId="77777777" w:rsidR="00743781" w:rsidRDefault="00743781" w:rsidP="00743781">
      <w:pPr>
        <w:rPr>
          <w:rFonts w:ascii="Tahoma" w:hAnsi="Tahoma" w:cs="Tahoma"/>
          <w:color w:val="000000"/>
          <w:sz w:val="20"/>
          <w:szCs w:val="20"/>
        </w:rPr>
      </w:pPr>
      <w:r>
        <w:rPr>
          <w:rFonts w:ascii="Tahoma" w:hAnsi="Tahoma" w:cs="Tahoma"/>
          <w:color w:val="000000"/>
          <w:sz w:val="20"/>
          <w:szCs w:val="20"/>
        </w:rPr>
        <w:tab/>
      </w:r>
    </w:p>
    <w:p w14:paraId="51FA6B00" w14:textId="77777777" w:rsidR="00743781" w:rsidRDefault="00743781" w:rsidP="00743781">
      <w:pPr>
        <w:pStyle w:val="ListParagraph"/>
        <w:ind w:left="426"/>
        <w:rPr>
          <w:sz w:val="20"/>
          <w:szCs w:val="20"/>
        </w:rPr>
      </w:pPr>
      <w:r>
        <w:rPr>
          <w:sz w:val="20"/>
          <w:szCs w:val="20"/>
        </w:rPr>
        <w:t>Moreover, is the fee charged proportionate for just an ‘offer’? For example, charging $2,200 per year (say) for a review that is offered but routinely declined is increasingly hard to justify; even if the Client opts in.</w:t>
      </w:r>
    </w:p>
    <w:p w14:paraId="0EE7D16B" w14:textId="77777777" w:rsidR="00743781" w:rsidRDefault="00743781" w:rsidP="00743781">
      <w:pPr>
        <w:rPr>
          <w:rFonts w:ascii="Tahoma" w:hAnsi="Tahoma" w:cs="Tahoma"/>
          <w:color w:val="000000"/>
          <w:sz w:val="20"/>
          <w:szCs w:val="20"/>
        </w:rPr>
      </w:pPr>
    </w:p>
    <w:p w14:paraId="6E59B75B" w14:textId="77777777" w:rsidR="00743781" w:rsidRPr="00BF1802" w:rsidRDefault="00743781" w:rsidP="00743781">
      <w:pPr>
        <w:pStyle w:val="Default"/>
        <w:ind w:left="426"/>
        <w:rPr>
          <w:color w:val="auto"/>
          <w:sz w:val="20"/>
          <w:szCs w:val="20"/>
        </w:rPr>
      </w:pPr>
      <w:r w:rsidRPr="00BF1802">
        <w:rPr>
          <w:color w:val="auto"/>
          <w:sz w:val="20"/>
          <w:szCs w:val="20"/>
        </w:rPr>
        <w:t>Under s962A, S962E of the Corporation Act, an Ongoing fee Arrangement attracting FDS/</w:t>
      </w:r>
      <w:proofErr w:type="spellStart"/>
      <w:r w:rsidRPr="00BF1802">
        <w:rPr>
          <w:color w:val="auto"/>
          <w:sz w:val="20"/>
          <w:szCs w:val="20"/>
        </w:rPr>
        <w:t>Opt</w:t>
      </w:r>
      <w:proofErr w:type="spellEnd"/>
      <w:r>
        <w:rPr>
          <w:color w:val="auto"/>
          <w:sz w:val="20"/>
          <w:szCs w:val="20"/>
        </w:rPr>
        <w:t xml:space="preserve"> </w:t>
      </w:r>
      <w:r w:rsidRPr="00BF1802">
        <w:rPr>
          <w:color w:val="auto"/>
          <w:sz w:val="20"/>
          <w:szCs w:val="20"/>
        </w:rPr>
        <w:t>In obligations</w:t>
      </w:r>
    </w:p>
    <w:p w14:paraId="02DC14D3" w14:textId="77777777" w:rsidR="00743781" w:rsidRPr="00BF1802" w:rsidRDefault="00743781" w:rsidP="00743781">
      <w:pPr>
        <w:pStyle w:val="Default"/>
        <w:ind w:left="851" w:hanging="131"/>
        <w:rPr>
          <w:color w:val="auto"/>
          <w:sz w:val="20"/>
          <w:szCs w:val="20"/>
        </w:rPr>
      </w:pPr>
      <w:r w:rsidRPr="00BF1802">
        <w:rPr>
          <w:color w:val="auto"/>
          <w:sz w:val="20"/>
          <w:szCs w:val="20"/>
        </w:rPr>
        <w:t>- an arrangement is entered into; this arrangement must explicitly reference an obligation to provide ongoing services </w:t>
      </w:r>
    </w:p>
    <w:p w14:paraId="50179262" w14:textId="77777777" w:rsidR="00743781" w:rsidRPr="00BF1802" w:rsidRDefault="00743781" w:rsidP="00743781">
      <w:pPr>
        <w:pStyle w:val="Default"/>
        <w:ind w:left="426" w:firstLine="294"/>
        <w:rPr>
          <w:color w:val="auto"/>
          <w:sz w:val="20"/>
          <w:szCs w:val="20"/>
        </w:rPr>
      </w:pPr>
      <w:r w:rsidRPr="00BF1802">
        <w:rPr>
          <w:color w:val="auto"/>
          <w:sz w:val="20"/>
          <w:szCs w:val="20"/>
        </w:rPr>
        <w:t>- such an arrangement will cover the provision of ongoing advice or portfolio management</w:t>
      </w:r>
    </w:p>
    <w:p w14:paraId="33578821" w14:textId="77777777" w:rsidR="00743781" w:rsidRPr="00BF1802" w:rsidRDefault="00743781" w:rsidP="00743781">
      <w:pPr>
        <w:pStyle w:val="Default"/>
        <w:ind w:left="426" w:firstLine="294"/>
        <w:rPr>
          <w:color w:val="auto"/>
          <w:sz w:val="20"/>
          <w:szCs w:val="20"/>
        </w:rPr>
      </w:pPr>
      <w:r w:rsidRPr="00BF1802">
        <w:rPr>
          <w:color w:val="auto"/>
          <w:sz w:val="20"/>
          <w:szCs w:val="20"/>
        </w:rPr>
        <w:t>- the ongoing fee is specifically referenced</w:t>
      </w:r>
    </w:p>
    <w:p w14:paraId="400E3241" w14:textId="77777777" w:rsidR="00743781" w:rsidRPr="00BF1802" w:rsidRDefault="00743781" w:rsidP="00743781">
      <w:pPr>
        <w:pStyle w:val="Default"/>
        <w:ind w:left="851" w:hanging="131"/>
        <w:rPr>
          <w:color w:val="auto"/>
          <w:sz w:val="20"/>
          <w:szCs w:val="20"/>
        </w:rPr>
      </w:pPr>
      <w:r w:rsidRPr="00BF1802">
        <w:rPr>
          <w:color w:val="auto"/>
          <w:sz w:val="20"/>
          <w:szCs w:val="20"/>
        </w:rPr>
        <w:t>- the client is made aware of any terms or rights (termination of agreement, say) they have under the arrangement. </w:t>
      </w:r>
    </w:p>
    <w:p w14:paraId="7BAAC066" w14:textId="77777777" w:rsidR="00743781" w:rsidRPr="00BF1802" w:rsidRDefault="00743781" w:rsidP="00743781">
      <w:pPr>
        <w:pStyle w:val="Default"/>
        <w:ind w:left="426"/>
        <w:rPr>
          <w:color w:val="auto"/>
          <w:sz w:val="20"/>
          <w:szCs w:val="20"/>
        </w:rPr>
      </w:pPr>
      <w:r w:rsidRPr="00BF1802">
        <w:rPr>
          <w:color w:val="auto"/>
          <w:sz w:val="20"/>
          <w:szCs w:val="20"/>
        </w:rPr>
        <w:t> </w:t>
      </w:r>
    </w:p>
    <w:p w14:paraId="60A4129F" w14:textId="77777777" w:rsidR="00743781" w:rsidRDefault="00743781" w:rsidP="00743781">
      <w:pPr>
        <w:pStyle w:val="Default"/>
        <w:ind w:left="426"/>
        <w:rPr>
          <w:color w:val="auto"/>
          <w:sz w:val="20"/>
          <w:szCs w:val="20"/>
        </w:rPr>
      </w:pPr>
      <w:r w:rsidRPr="00BF1802">
        <w:rPr>
          <w:color w:val="auto"/>
          <w:sz w:val="20"/>
          <w:szCs w:val="20"/>
        </w:rPr>
        <w:t xml:space="preserve">The Arrangement may involve a formal </w:t>
      </w:r>
      <w:r>
        <w:rPr>
          <w:color w:val="auto"/>
          <w:sz w:val="20"/>
          <w:szCs w:val="20"/>
        </w:rPr>
        <w:t>S</w:t>
      </w:r>
      <w:r w:rsidRPr="00BF1802">
        <w:rPr>
          <w:color w:val="auto"/>
          <w:sz w:val="20"/>
          <w:szCs w:val="20"/>
        </w:rPr>
        <w:t xml:space="preserve">ervice </w:t>
      </w:r>
      <w:r>
        <w:rPr>
          <w:color w:val="auto"/>
          <w:sz w:val="20"/>
          <w:szCs w:val="20"/>
        </w:rPr>
        <w:t>A</w:t>
      </w:r>
      <w:r w:rsidRPr="00BF1802">
        <w:rPr>
          <w:color w:val="auto"/>
          <w:sz w:val="20"/>
          <w:szCs w:val="20"/>
        </w:rPr>
        <w:t>greement (best</w:t>
      </w:r>
      <w:r>
        <w:rPr>
          <w:color w:val="auto"/>
          <w:sz w:val="20"/>
          <w:szCs w:val="20"/>
        </w:rPr>
        <w:t xml:space="preserve"> practice</w:t>
      </w:r>
      <w:r w:rsidRPr="00BF1802">
        <w:rPr>
          <w:color w:val="auto"/>
          <w:sz w:val="20"/>
          <w:szCs w:val="20"/>
        </w:rPr>
        <w:t xml:space="preserve">), or be </w:t>
      </w:r>
      <w:r>
        <w:rPr>
          <w:color w:val="auto"/>
          <w:sz w:val="20"/>
          <w:szCs w:val="20"/>
        </w:rPr>
        <w:t xml:space="preserve">carefully </w:t>
      </w:r>
      <w:r w:rsidRPr="00BF1802">
        <w:rPr>
          <w:color w:val="auto"/>
          <w:sz w:val="20"/>
          <w:szCs w:val="20"/>
        </w:rPr>
        <w:t xml:space="preserve">referenced in the </w:t>
      </w:r>
      <w:proofErr w:type="spellStart"/>
      <w:r w:rsidRPr="00BF1802">
        <w:rPr>
          <w:color w:val="auto"/>
          <w:sz w:val="20"/>
          <w:szCs w:val="20"/>
        </w:rPr>
        <w:t>SoA</w:t>
      </w:r>
      <w:proofErr w:type="spellEnd"/>
      <w:r w:rsidRPr="00BF1802">
        <w:rPr>
          <w:color w:val="auto"/>
          <w:sz w:val="20"/>
          <w:szCs w:val="20"/>
        </w:rPr>
        <w:t xml:space="preserve"> which is accompanied by a signed, dated Authority </w:t>
      </w:r>
      <w:proofErr w:type="gramStart"/>
      <w:r w:rsidRPr="00BF1802">
        <w:rPr>
          <w:color w:val="auto"/>
          <w:sz w:val="20"/>
          <w:szCs w:val="20"/>
        </w:rPr>
        <w:t>To</w:t>
      </w:r>
      <w:proofErr w:type="gramEnd"/>
      <w:r w:rsidRPr="00BF1802">
        <w:rPr>
          <w:color w:val="auto"/>
          <w:sz w:val="20"/>
          <w:szCs w:val="20"/>
        </w:rPr>
        <w:t xml:space="preserve"> Proceed.</w:t>
      </w:r>
    </w:p>
    <w:p w14:paraId="116B4A7C" w14:textId="77777777" w:rsidR="00743781" w:rsidRDefault="00743781" w:rsidP="00743781">
      <w:pPr>
        <w:pStyle w:val="Default"/>
        <w:ind w:left="426"/>
        <w:rPr>
          <w:color w:val="auto"/>
          <w:sz w:val="20"/>
          <w:szCs w:val="20"/>
        </w:rPr>
      </w:pPr>
    </w:p>
    <w:p w14:paraId="5C154007" w14:textId="77777777" w:rsidR="00743781" w:rsidRPr="00BF1802" w:rsidRDefault="00743781" w:rsidP="00743781">
      <w:pPr>
        <w:pStyle w:val="Default"/>
        <w:ind w:left="426"/>
        <w:rPr>
          <w:color w:val="auto"/>
          <w:sz w:val="20"/>
          <w:szCs w:val="20"/>
        </w:rPr>
      </w:pPr>
      <w:r>
        <w:rPr>
          <w:color w:val="auto"/>
          <w:sz w:val="20"/>
          <w:szCs w:val="20"/>
        </w:rPr>
        <w:t>It is advisable to disaggregate Ongoing Service Fees into sub-component services; this can be done at any level of granularity. The rationale is that the Regulator, in the absence of Reviews being held, could require a refund of the whole aggregated service fee. However, if other sub-component services were provided, not all of the service fee may need to be refunded.</w:t>
      </w:r>
    </w:p>
    <w:p w14:paraId="56DB3403" w14:textId="77777777" w:rsidR="00BF1802" w:rsidRDefault="00BF1802" w:rsidP="00AE187C">
      <w:pPr>
        <w:pStyle w:val="ListParagraph"/>
        <w:ind w:left="426"/>
        <w:rPr>
          <w:sz w:val="20"/>
          <w:szCs w:val="20"/>
        </w:rPr>
      </w:pPr>
    </w:p>
    <w:p w14:paraId="2CC6360C" w14:textId="77777777" w:rsidR="00AE187C" w:rsidRPr="005662CC" w:rsidRDefault="00AE187C" w:rsidP="000A469A">
      <w:pPr>
        <w:pStyle w:val="ListParagraph"/>
        <w:ind w:left="426"/>
        <w:rPr>
          <w:sz w:val="20"/>
          <w:szCs w:val="20"/>
        </w:rPr>
      </w:pPr>
    </w:p>
    <w:p w14:paraId="1013FD4D" w14:textId="77777777" w:rsidR="00DE38F3" w:rsidRDefault="00DE38F3" w:rsidP="00FB2226">
      <w:pPr>
        <w:pStyle w:val="Heading2"/>
        <w:rPr>
          <w:rFonts w:eastAsia="Times New Roman"/>
          <w:b/>
          <w:sz w:val="28"/>
          <w:szCs w:val="28"/>
        </w:rPr>
      </w:pPr>
    </w:p>
    <w:p w14:paraId="225746FD" w14:textId="7E795738" w:rsidR="00AB7639" w:rsidRDefault="00AB7639" w:rsidP="00FB2226">
      <w:pPr>
        <w:pStyle w:val="Heading2"/>
        <w:rPr>
          <w:rFonts w:eastAsia="Times New Roman"/>
          <w:b/>
          <w:sz w:val="28"/>
          <w:szCs w:val="28"/>
        </w:rPr>
      </w:pPr>
      <w:bookmarkStart w:id="24" w:name="_Toc36642377"/>
      <w:r>
        <w:rPr>
          <w:rFonts w:eastAsia="Times New Roman"/>
          <w:b/>
          <w:sz w:val="28"/>
          <w:szCs w:val="28"/>
        </w:rPr>
        <w:t>Fees and Best Interest</w:t>
      </w:r>
      <w:bookmarkEnd w:id="24"/>
      <w:r w:rsidRPr="00131CD4">
        <w:rPr>
          <w:rFonts w:eastAsia="Times New Roman"/>
          <w:b/>
          <w:sz w:val="28"/>
          <w:szCs w:val="28"/>
        </w:rPr>
        <w:t xml:space="preserve"> </w:t>
      </w:r>
    </w:p>
    <w:p w14:paraId="094B1654" w14:textId="77777777" w:rsidR="00AB7639" w:rsidRPr="00131CD4" w:rsidRDefault="00AB7639" w:rsidP="00AB7639">
      <w:pPr>
        <w:rPr>
          <w:rFonts w:eastAsia="Times New Roman"/>
          <w:b/>
          <w:sz w:val="28"/>
          <w:szCs w:val="28"/>
        </w:rPr>
      </w:pPr>
    </w:p>
    <w:p w14:paraId="64A892FA" w14:textId="3130D85E" w:rsidR="00B00A4D" w:rsidRPr="00B00A4D" w:rsidRDefault="00B00A4D">
      <w:pPr>
        <w:pStyle w:val="ListParagraph"/>
        <w:numPr>
          <w:ilvl w:val="0"/>
          <w:numId w:val="21"/>
        </w:numPr>
        <w:ind w:left="426" w:hanging="284"/>
        <w:rPr>
          <w:sz w:val="20"/>
          <w:szCs w:val="20"/>
        </w:rPr>
      </w:pPr>
      <w:r w:rsidRPr="000A469A">
        <w:rPr>
          <w:sz w:val="20"/>
          <w:szCs w:val="20"/>
        </w:rPr>
        <w:t>With the exception of fixed fees (</w:t>
      </w:r>
      <w:r w:rsidR="009306B3">
        <w:rPr>
          <w:sz w:val="20"/>
          <w:szCs w:val="20"/>
        </w:rPr>
        <w:t>p</w:t>
      </w:r>
      <w:r w:rsidRPr="000A469A">
        <w:rPr>
          <w:sz w:val="20"/>
          <w:szCs w:val="20"/>
        </w:rPr>
        <w:t xml:space="preserve">lan </w:t>
      </w:r>
      <w:r w:rsidR="009306B3">
        <w:rPr>
          <w:sz w:val="20"/>
          <w:szCs w:val="20"/>
        </w:rPr>
        <w:t>f</w:t>
      </w:r>
      <w:r w:rsidRPr="000A469A">
        <w:rPr>
          <w:sz w:val="20"/>
          <w:szCs w:val="20"/>
        </w:rPr>
        <w:t xml:space="preserve">ees, certain administrative costs), all fees should be displayed as both $ and %. </w:t>
      </w:r>
    </w:p>
    <w:p w14:paraId="04A05180" w14:textId="77777777" w:rsidR="00B00A4D" w:rsidRDefault="00B00A4D" w:rsidP="000A469A">
      <w:pPr>
        <w:pStyle w:val="ListParagraph"/>
        <w:ind w:left="426"/>
        <w:rPr>
          <w:sz w:val="20"/>
          <w:szCs w:val="20"/>
        </w:rPr>
      </w:pPr>
    </w:p>
    <w:p w14:paraId="20A453C2" w14:textId="6FB74395" w:rsidR="001829D5" w:rsidRPr="00AB7639" w:rsidRDefault="00131CD4" w:rsidP="00281533">
      <w:pPr>
        <w:pStyle w:val="ListParagraph"/>
        <w:numPr>
          <w:ilvl w:val="0"/>
          <w:numId w:val="21"/>
        </w:numPr>
        <w:ind w:left="426" w:hanging="284"/>
        <w:rPr>
          <w:sz w:val="20"/>
          <w:szCs w:val="20"/>
        </w:rPr>
      </w:pPr>
      <w:r w:rsidRPr="00AB7639">
        <w:rPr>
          <w:sz w:val="20"/>
          <w:szCs w:val="20"/>
        </w:rPr>
        <w:t xml:space="preserve">Adviser </w:t>
      </w:r>
      <w:r w:rsidR="001829D5" w:rsidRPr="00AB7639">
        <w:rPr>
          <w:sz w:val="20"/>
          <w:szCs w:val="20"/>
        </w:rPr>
        <w:t>Fees</w:t>
      </w:r>
    </w:p>
    <w:p w14:paraId="5B2DF8A4" w14:textId="77777777" w:rsidR="001829D5" w:rsidRPr="005662CC" w:rsidRDefault="00131CD4" w:rsidP="00281533">
      <w:pPr>
        <w:pStyle w:val="ListParagraph"/>
        <w:ind w:left="426"/>
        <w:rPr>
          <w:sz w:val="20"/>
          <w:szCs w:val="20"/>
        </w:rPr>
      </w:pPr>
      <w:r w:rsidRPr="005662CC">
        <w:rPr>
          <w:sz w:val="20"/>
          <w:szCs w:val="20"/>
        </w:rPr>
        <w:t>W</w:t>
      </w:r>
      <w:r w:rsidR="001829D5" w:rsidRPr="005662CC">
        <w:rPr>
          <w:sz w:val="20"/>
          <w:szCs w:val="20"/>
        </w:rPr>
        <w:t>hen fees are based upon a % of funds</w:t>
      </w:r>
      <w:r w:rsidRPr="005662CC">
        <w:rPr>
          <w:sz w:val="20"/>
          <w:szCs w:val="20"/>
        </w:rPr>
        <w:t xml:space="preserve"> under management</w:t>
      </w:r>
      <w:r w:rsidR="001829D5" w:rsidRPr="005662CC">
        <w:rPr>
          <w:sz w:val="20"/>
          <w:szCs w:val="20"/>
        </w:rPr>
        <w:t xml:space="preserve">, there is an implication that the client will receive an increased </w:t>
      </w:r>
      <w:r w:rsidRPr="005662CC">
        <w:rPr>
          <w:sz w:val="20"/>
          <w:szCs w:val="20"/>
        </w:rPr>
        <w:t>‘</w:t>
      </w:r>
      <w:r w:rsidR="001829D5" w:rsidRPr="005662CC">
        <w:rPr>
          <w:sz w:val="20"/>
          <w:szCs w:val="20"/>
        </w:rPr>
        <w:t>payback</w:t>
      </w:r>
      <w:r w:rsidRPr="005662CC">
        <w:rPr>
          <w:sz w:val="20"/>
          <w:szCs w:val="20"/>
        </w:rPr>
        <w:t>’</w:t>
      </w:r>
      <w:r w:rsidR="001829D5" w:rsidRPr="005662CC">
        <w:rPr>
          <w:sz w:val="20"/>
          <w:szCs w:val="20"/>
        </w:rPr>
        <w:t xml:space="preserve"> in return for increased fees.</w:t>
      </w:r>
    </w:p>
    <w:p w14:paraId="0DA88A24" w14:textId="77777777" w:rsidR="00131CD4" w:rsidRPr="005662CC" w:rsidRDefault="00131CD4" w:rsidP="00281533">
      <w:pPr>
        <w:pStyle w:val="ListParagraph"/>
        <w:ind w:left="426"/>
        <w:rPr>
          <w:sz w:val="20"/>
          <w:szCs w:val="20"/>
        </w:rPr>
      </w:pPr>
    </w:p>
    <w:p w14:paraId="15C84366" w14:textId="77777777" w:rsidR="001829D5" w:rsidRPr="005662CC" w:rsidRDefault="00131CD4" w:rsidP="00281533">
      <w:pPr>
        <w:pStyle w:val="ListParagraph"/>
        <w:ind w:left="426"/>
        <w:rPr>
          <w:sz w:val="20"/>
          <w:szCs w:val="20"/>
        </w:rPr>
      </w:pPr>
      <w:r w:rsidRPr="005662CC">
        <w:rPr>
          <w:sz w:val="20"/>
          <w:szCs w:val="20"/>
        </w:rPr>
        <w:t xml:space="preserve">This </w:t>
      </w:r>
      <w:r w:rsidR="001829D5" w:rsidRPr="005662CC">
        <w:rPr>
          <w:sz w:val="20"/>
          <w:szCs w:val="20"/>
        </w:rPr>
        <w:t xml:space="preserve">payback can be justified </w:t>
      </w:r>
      <w:r w:rsidR="001829D5" w:rsidRPr="00281533">
        <w:rPr>
          <w:sz w:val="20"/>
          <w:szCs w:val="20"/>
        </w:rPr>
        <w:t>qualitatively</w:t>
      </w:r>
      <w:r w:rsidR="001829D5" w:rsidRPr="005662CC">
        <w:rPr>
          <w:sz w:val="20"/>
          <w:szCs w:val="20"/>
        </w:rPr>
        <w:t xml:space="preserve"> by linking a platform transfer to a client direction/goal</w:t>
      </w:r>
      <w:r w:rsidRPr="005662CC">
        <w:rPr>
          <w:sz w:val="20"/>
          <w:szCs w:val="20"/>
        </w:rPr>
        <w:t xml:space="preserve"> (say)</w:t>
      </w:r>
      <w:r w:rsidR="001829D5" w:rsidRPr="005662CC">
        <w:rPr>
          <w:sz w:val="20"/>
          <w:szCs w:val="20"/>
        </w:rPr>
        <w:t>.</w:t>
      </w:r>
    </w:p>
    <w:p w14:paraId="3ECE5BFF" w14:textId="77777777" w:rsidR="00131CD4" w:rsidRPr="005662CC" w:rsidRDefault="001829D5" w:rsidP="00281533">
      <w:pPr>
        <w:pStyle w:val="ListParagraph"/>
        <w:ind w:left="426"/>
        <w:rPr>
          <w:sz w:val="20"/>
          <w:szCs w:val="20"/>
        </w:rPr>
      </w:pPr>
      <w:r w:rsidRPr="005662CC">
        <w:rPr>
          <w:sz w:val="20"/>
          <w:szCs w:val="20"/>
        </w:rPr>
        <w:t xml:space="preserve">The payback can be justified </w:t>
      </w:r>
      <w:r w:rsidRPr="00281533">
        <w:rPr>
          <w:sz w:val="20"/>
          <w:szCs w:val="20"/>
        </w:rPr>
        <w:t>quantitatively</w:t>
      </w:r>
      <w:r w:rsidRPr="005662CC">
        <w:rPr>
          <w:sz w:val="20"/>
          <w:szCs w:val="20"/>
        </w:rPr>
        <w:t xml:space="preserve"> by linking downstream cost recovery </w:t>
      </w:r>
      <w:r w:rsidR="00131CD4" w:rsidRPr="005662CC">
        <w:rPr>
          <w:sz w:val="20"/>
          <w:szCs w:val="20"/>
        </w:rPr>
        <w:t xml:space="preserve">due to lower ongoing platform costs </w:t>
      </w:r>
      <w:r w:rsidRPr="005662CC">
        <w:rPr>
          <w:sz w:val="20"/>
          <w:szCs w:val="20"/>
        </w:rPr>
        <w:t>(say)</w:t>
      </w:r>
      <w:r w:rsidR="00131CD4" w:rsidRPr="005662CC">
        <w:rPr>
          <w:sz w:val="20"/>
          <w:szCs w:val="20"/>
        </w:rPr>
        <w:t xml:space="preserve">.  </w:t>
      </w:r>
    </w:p>
    <w:p w14:paraId="0DAC2B78" w14:textId="77777777" w:rsidR="00131CD4" w:rsidRPr="005662CC" w:rsidRDefault="00131CD4" w:rsidP="00131CD4">
      <w:pPr>
        <w:pStyle w:val="ListParagraph"/>
        <w:ind w:left="1418"/>
        <w:rPr>
          <w:sz w:val="20"/>
          <w:szCs w:val="20"/>
        </w:rPr>
      </w:pPr>
    </w:p>
    <w:p w14:paraId="210C484D" w14:textId="77777777" w:rsidR="001829D5" w:rsidRPr="005662CC" w:rsidRDefault="00131CD4" w:rsidP="00281533">
      <w:pPr>
        <w:pStyle w:val="ListParagraph"/>
        <w:ind w:left="426"/>
        <w:rPr>
          <w:sz w:val="20"/>
          <w:szCs w:val="20"/>
        </w:rPr>
      </w:pPr>
      <w:r w:rsidRPr="005662CC">
        <w:rPr>
          <w:sz w:val="20"/>
          <w:szCs w:val="20"/>
        </w:rPr>
        <w:t xml:space="preserve">However, </w:t>
      </w:r>
      <w:r w:rsidR="001829D5" w:rsidRPr="005662CC">
        <w:rPr>
          <w:sz w:val="20"/>
          <w:szCs w:val="20"/>
        </w:rPr>
        <w:t xml:space="preserve">promising increased investment </w:t>
      </w:r>
      <w:r w:rsidRPr="005662CC">
        <w:rPr>
          <w:sz w:val="20"/>
          <w:szCs w:val="20"/>
        </w:rPr>
        <w:t>‘</w:t>
      </w:r>
      <w:r w:rsidR="001829D5" w:rsidRPr="005662CC">
        <w:rPr>
          <w:sz w:val="20"/>
          <w:szCs w:val="20"/>
        </w:rPr>
        <w:t>performance</w:t>
      </w:r>
      <w:r w:rsidRPr="005662CC">
        <w:rPr>
          <w:sz w:val="20"/>
          <w:szCs w:val="20"/>
        </w:rPr>
        <w:t>’</w:t>
      </w:r>
      <w:r w:rsidR="001829D5" w:rsidRPr="005662CC">
        <w:rPr>
          <w:sz w:val="20"/>
          <w:szCs w:val="20"/>
        </w:rPr>
        <w:t xml:space="preserve"> is fraught</w:t>
      </w:r>
      <w:r w:rsidR="00281533">
        <w:rPr>
          <w:sz w:val="20"/>
          <w:szCs w:val="20"/>
        </w:rPr>
        <w:t xml:space="preserve"> and this may happen in subtle ways.</w:t>
      </w:r>
    </w:p>
    <w:p w14:paraId="6F3E842B" w14:textId="77777777" w:rsidR="00281533" w:rsidRDefault="00281533" w:rsidP="00281533">
      <w:pPr>
        <w:pStyle w:val="ListParagraph"/>
        <w:ind w:left="426"/>
        <w:rPr>
          <w:sz w:val="20"/>
          <w:szCs w:val="20"/>
        </w:rPr>
      </w:pPr>
    </w:p>
    <w:p w14:paraId="4C61496D" w14:textId="77777777" w:rsidR="001829D5" w:rsidRPr="005662CC" w:rsidRDefault="00281533" w:rsidP="00281533">
      <w:pPr>
        <w:pStyle w:val="ListParagraph"/>
        <w:ind w:left="426"/>
        <w:rPr>
          <w:sz w:val="20"/>
          <w:szCs w:val="20"/>
        </w:rPr>
      </w:pPr>
      <w:r>
        <w:rPr>
          <w:sz w:val="20"/>
          <w:szCs w:val="20"/>
        </w:rPr>
        <w:t>For instance, if there i</w:t>
      </w:r>
      <w:r w:rsidR="00FB5B30" w:rsidRPr="005662CC">
        <w:rPr>
          <w:sz w:val="20"/>
          <w:szCs w:val="20"/>
        </w:rPr>
        <w:t>s</w:t>
      </w:r>
      <w:r w:rsidR="001829D5" w:rsidRPr="005662CC">
        <w:rPr>
          <w:sz w:val="20"/>
          <w:szCs w:val="20"/>
        </w:rPr>
        <w:t xml:space="preserve"> </w:t>
      </w:r>
      <w:r w:rsidR="001829D5" w:rsidRPr="00281533">
        <w:rPr>
          <w:sz w:val="20"/>
          <w:szCs w:val="20"/>
          <w:u w:val="single"/>
        </w:rPr>
        <w:t>only</w:t>
      </w:r>
      <w:r w:rsidR="00FB5B30" w:rsidRPr="00281533">
        <w:rPr>
          <w:sz w:val="20"/>
          <w:szCs w:val="20"/>
          <w:u w:val="single"/>
        </w:rPr>
        <w:t xml:space="preserve"> a qualitative</w:t>
      </w:r>
      <w:r w:rsidR="001829D5" w:rsidRPr="005662CC">
        <w:rPr>
          <w:sz w:val="20"/>
          <w:szCs w:val="20"/>
        </w:rPr>
        <w:t xml:space="preserve"> payback for shifting platforms and in</w:t>
      </w:r>
      <w:r w:rsidR="00FB5B30" w:rsidRPr="005662CC">
        <w:rPr>
          <w:sz w:val="20"/>
          <w:szCs w:val="20"/>
        </w:rPr>
        <w:t>curring higher fees</w:t>
      </w:r>
      <w:r w:rsidR="001829D5" w:rsidRPr="005662CC">
        <w:rPr>
          <w:sz w:val="20"/>
          <w:szCs w:val="20"/>
        </w:rPr>
        <w:t>:</w:t>
      </w:r>
    </w:p>
    <w:p w14:paraId="4B4AB257" w14:textId="77777777" w:rsidR="00131CD4" w:rsidRPr="005662CC" w:rsidRDefault="001829D5" w:rsidP="00281533">
      <w:pPr>
        <w:ind w:left="720"/>
        <w:rPr>
          <w:i/>
          <w:iCs/>
          <w:sz w:val="20"/>
          <w:szCs w:val="20"/>
        </w:rPr>
      </w:pPr>
      <w:r w:rsidRPr="005662CC">
        <w:rPr>
          <w:sz w:val="20"/>
          <w:szCs w:val="20"/>
        </w:rPr>
        <w:t>“</w:t>
      </w:r>
      <w:r w:rsidRPr="005662CC">
        <w:rPr>
          <w:i/>
          <w:iCs/>
          <w:sz w:val="20"/>
          <w:szCs w:val="20"/>
        </w:rPr>
        <w:t>You advised you would like to be able to access a broa</w:t>
      </w:r>
      <w:r w:rsidR="00FB5B30" w:rsidRPr="005662CC">
        <w:rPr>
          <w:i/>
          <w:iCs/>
          <w:sz w:val="20"/>
          <w:szCs w:val="20"/>
        </w:rPr>
        <w:t>der range of investment options.</w:t>
      </w:r>
      <w:r w:rsidRPr="005662CC">
        <w:rPr>
          <w:i/>
          <w:iCs/>
          <w:sz w:val="20"/>
          <w:szCs w:val="20"/>
        </w:rPr>
        <w:t xml:space="preserve"> </w:t>
      </w:r>
      <w:r w:rsidR="00FB5B30" w:rsidRPr="005662CC">
        <w:rPr>
          <w:i/>
          <w:iCs/>
          <w:sz w:val="20"/>
          <w:szCs w:val="20"/>
        </w:rPr>
        <w:t xml:space="preserve">The recommended platform offers </w:t>
      </w:r>
      <w:r w:rsidR="00131CD4" w:rsidRPr="005662CC">
        <w:rPr>
          <w:b/>
          <w:bCs/>
          <w:i/>
          <w:iCs/>
          <w:sz w:val="20"/>
          <w:szCs w:val="20"/>
        </w:rPr>
        <w:t>direct shares and ETFs</w:t>
      </w:r>
      <w:r w:rsidR="00FB5B30" w:rsidRPr="005662CC">
        <w:rPr>
          <w:i/>
          <w:iCs/>
          <w:sz w:val="20"/>
          <w:szCs w:val="20"/>
        </w:rPr>
        <w:t xml:space="preserve"> on both </w:t>
      </w:r>
      <w:r w:rsidRPr="005662CC">
        <w:rPr>
          <w:i/>
          <w:iCs/>
          <w:sz w:val="20"/>
          <w:szCs w:val="20"/>
        </w:rPr>
        <w:t>pension</w:t>
      </w:r>
      <w:r w:rsidR="00FB5B30" w:rsidRPr="005662CC">
        <w:rPr>
          <w:i/>
          <w:iCs/>
          <w:sz w:val="20"/>
          <w:szCs w:val="20"/>
        </w:rPr>
        <w:t>, superannuation</w:t>
      </w:r>
      <w:r w:rsidRPr="005662CC">
        <w:rPr>
          <w:i/>
          <w:iCs/>
          <w:sz w:val="20"/>
          <w:szCs w:val="20"/>
        </w:rPr>
        <w:t xml:space="preserve"> and investment account</w:t>
      </w:r>
      <w:r w:rsidR="00FB5B30" w:rsidRPr="005662CC">
        <w:rPr>
          <w:i/>
          <w:iCs/>
          <w:sz w:val="20"/>
          <w:szCs w:val="20"/>
        </w:rPr>
        <w:t>s</w:t>
      </w:r>
      <w:r w:rsidRPr="005662CC">
        <w:rPr>
          <w:i/>
          <w:iCs/>
          <w:sz w:val="20"/>
          <w:szCs w:val="20"/>
        </w:rPr>
        <w:t xml:space="preserve">.” </w:t>
      </w:r>
    </w:p>
    <w:p w14:paraId="0BA881FC" w14:textId="77777777" w:rsidR="00131CD4" w:rsidRPr="005662CC" w:rsidRDefault="00131CD4" w:rsidP="00131CD4">
      <w:pPr>
        <w:ind w:left="1418"/>
        <w:rPr>
          <w:i/>
          <w:iCs/>
          <w:sz w:val="20"/>
          <w:szCs w:val="20"/>
        </w:rPr>
      </w:pPr>
    </w:p>
    <w:p w14:paraId="5A8F53DF" w14:textId="77777777" w:rsidR="001829D5" w:rsidRDefault="00281533" w:rsidP="00281533">
      <w:pPr>
        <w:pStyle w:val="ListParagraph"/>
        <w:ind w:left="426"/>
        <w:rPr>
          <w:sz w:val="20"/>
          <w:szCs w:val="20"/>
        </w:rPr>
      </w:pPr>
      <w:r>
        <w:rPr>
          <w:sz w:val="20"/>
          <w:szCs w:val="20"/>
        </w:rPr>
        <w:t>This</w:t>
      </w:r>
      <w:r w:rsidR="001829D5" w:rsidRPr="005662CC">
        <w:rPr>
          <w:sz w:val="20"/>
          <w:szCs w:val="20"/>
        </w:rPr>
        <w:t xml:space="preserve">, in the absence of a clear client </w:t>
      </w:r>
      <w:r w:rsidR="001829D5" w:rsidRPr="00281533">
        <w:rPr>
          <w:sz w:val="20"/>
          <w:szCs w:val="20"/>
        </w:rPr>
        <w:t>direction</w:t>
      </w:r>
      <w:r w:rsidR="001829D5" w:rsidRPr="005662CC">
        <w:rPr>
          <w:sz w:val="20"/>
          <w:szCs w:val="20"/>
        </w:rPr>
        <w:t xml:space="preserve">, </w:t>
      </w:r>
      <w:r>
        <w:rPr>
          <w:sz w:val="20"/>
          <w:szCs w:val="20"/>
        </w:rPr>
        <w:t xml:space="preserve">is </w:t>
      </w:r>
      <w:r w:rsidR="001829D5" w:rsidRPr="005662CC">
        <w:rPr>
          <w:sz w:val="20"/>
          <w:szCs w:val="20"/>
        </w:rPr>
        <w:t xml:space="preserve">a veiled portfolio </w:t>
      </w:r>
      <w:r>
        <w:rPr>
          <w:sz w:val="20"/>
          <w:szCs w:val="20"/>
        </w:rPr>
        <w:t>‘</w:t>
      </w:r>
      <w:r w:rsidR="001829D5" w:rsidRPr="005662CC">
        <w:rPr>
          <w:sz w:val="20"/>
          <w:szCs w:val="20"/>
        </w:rPr>
        <w:t>performance</w:t>
      </w:r>
      <w:r>
        <w:rPr>
          <w:sz w:val="20"/>
          <w:szCs w:val="20"/>
        </w:rPr>
        <w:t>’</w:t>
      </w:r>
      <w:r w:rsidR="001829D5" w:rsidRPr="005662CC">
        <w:rPr>
          <w:sz w:val="20"/>
          <w:szCs w:val="20"/>
        </w:rPr>
        <w:t xml:space="preserve"> goal. Consequently,</w:t>
      </w:r>
      <w:r w:rsidR="00FB5B30" w:rsidRPr="005662CC">
        <w:rPr>
          <w:sz w:val="20"/>
          <w:szCs w:val="20"/>
        </w:rPr>
        <w:t xml:space="preserve"> it isn’t sufficient justification to shift platforms on its own</w:t>
      </w:r>
      <w:r w:rsidR="00E27E1D">
        <w:rPr>
          <w:sz w:val="20"/>
          <w:szCs w:val="20"/>
        </w:rPr>
        <w:t>**</w:t>
      </w:r>
      <w:r w:rsidR="00FB5B30" w:rsidRPr="005662CC">
        <w:rPr>
          <w:sz w:val="20"/>
          <w:szCs w:val="20"/>
        </w:rPr>
        <w:t>; particularly if the pre-existing platform has a ‘broad’ menu.</w:t>
      </w:r>
    </w:p>
    <w:p w14:paraId="47917C1C" w14:textId="77777777" w:rsidR="00281533" w:rsidRDefault="00281533" w:rsidP="00281533">
      <w:pPr>
        <w:pStyle w:val="ListParagraph"/>
        <w:ind w:left="426"/>
        <w:rPr>
          <w:sz w:val="20"/>
          <w:szCs w:val="20"/>
        </w:rPr>
      </w:pPr>
    </w:p>
    <w:p w14:paraId="33531FCE" w14:textId="77777777" w:rsidR="00281533" w:rsidRPr="00E27E1D" w:rsidRDefault="00E27E1D" w:rsidP="00281533">
      <w:pPr>
        <w:pStyle w:val="ListParagraph"/>
        <w:ind w:left="426"/>
        <w:rPr>
          <w:sz w:val="18"/>
          <w:szCs w:val="18"/>
        </w:rPr>
      </w:pPr>
      <w:r w:rsidRPr="00E27E1D">
        <w:rPr>
          <w:sz w:val="18"/>
          <w:szCs w:val="18"/>
        </w:rPr>
        <w:t xml:space="preserve">** </w:t>
      </w:r>
      <w:r w:rsidR="00281533" w:rsidRPr="00E27E1D">
        <w:rPr>
          <w:sz w:val="18"/>
          <w:szCs w:val="18"/>
        </w:rPr>
        <w:t>it is assumed the client did not have a specific goal to purchase direct shares or ETFs</w:t>
      </w:r>
      <w:r>
        <w:rPr>
          <w:sz w:val="18"/>
          <w:szCs w:val="18"/>
        </w:rPr>
        <w:t xml:space="preserve"> rather that </w:t>
      </w:r>
      <w:r w:rsidR="00281533" w:rsidRPr="00E27E1D">
        <w:rPr>
          <w:sz w:val="18"/>
          <w:szCs w:val="18"/>
        </w:rPr>
        <w:t>the adviser has proposed that direct share and ETFs are potentially valuable for the client</w:t>
      </w:r>
    </w:p>
    <w:p w14:paraId="16F7EF51" w14:textId="77777777" w:rsidR="00842C6B" w:rsidRDefault="00842C6B" w:rsidP="00131CD4">
      <w:pPr>
        <w:ind w:left="1440"/>
        <w:rPr>
          <w:sz w:val="20"/>
          <w:szCs w:val="20"/>
        </w:rPr>
      </w:pPr>
    </w:p>
    <w:p w14:paraId="40A4A2DC" w14:textId="77777777" w:rsidR="00163D15" w:rsidRPr="005662CC" w:rsidRDefault="00163D15" w:rsidP="00131CD4">
      <w:pPr>
        <w:ind w:left="1440"/>
        <w:rPr>
          <w:sz w:val="20"/>
          <w:szCs w:val="20"/>
        </w:rPr>
      </w:pPr>
    </w:p>
    <w:p w14:paraId="0708A0C0" w14:textId="77777777" w:rsidR="00842C6B" w:rsidRPr="007E75C6" w:rsidRDefault="007E75C6" w:rsidP="00D5534B">
      <w:pPr>
        <w:pStyle w:val="ListParagraph"/>
        <w:numPr>
          <w:ilvl w:val="0"/>
          <w:numId w:val="21"/>
        </w:numPr>
        <w:ind w:left="426" w:hanging="284"/>
        <w:rPr>
          <w:sz w:val="20"/>
          <w:szCs w:val="20"/>
        </w:rPr>
      </w:pPr>
      <w:r>
        <w:rPr>
          <w:sz w:val="20"/>
          <w:szCs w:val="20"/>
        </w:rPr>
        <w:t>An implementation fee (1.5%</w:t>
      </w:r>
      <w:r w:rsidR="00FA6B9C" w:rsidRPr="007E75C6">
        <w:rPr>
          <w:sz w:val="20"/>
          <w:szCs w:val="20"/>
        </w:rPr>
        <w:t>) and an ongoing fee (1.5</w:t>
      </w:r>
      <w:r>
        <w:rPr>
          <w:sz w:val="20"/>
          <w:szCs w:val="20"/>
        </w:rPr>
        <w:t>%</w:t>
      </w:r>
      <w:r w:rsidR="00842C6B" w:rsidRPr="007E75C6">
        <w:rPr>
          <w:sz w:val="20"/>
          <w:szCs w:val="20"/>
        </w:rPr>
        <w:t xml:space="preserve">) results in a </w:t>
      </w:r>
      <w:r w:rsidR="00FA6B9C" w:rsidRPr="007E75C6">
        <w:rPr>
          <w:sz w:val="20"/>
          <w:szCs w:val="20"/>
        </w:rPr>
        <w:t>3</w:t>
      </w:r>
      <w:r w:rsidR="00842C6B" w:rsidRPr="007E75C6">
        <w:rPr>
          <w:sz w:val="20"/>
          <w:szCs w:val="20"/>
        </w:rPr>
        <w:t xml:space="preserve">% impost in the first year. </w:t>
      </w:r>
    </w:p>
    <w:p w14:paraId="710B9C85" w14:textId="77777777" w:rsidR="00D5534B" w:rsidRDefault="00D5534B" w:rsidP="00D5534B">
      <w:pPr>
        <w:pStyle w:val="ListParagraph"/>
        <w:ind w:left="426"/>
        <w:rPr>
          <w:sz w:val="20"/>
          <w:szCs w:val="20"/>
        </w:rPr>
      </w:pPr>
    </w:p>
    <w:p w14:paraId="6580920D" w14:textId="77777777" w:rsidR="00842C6B" w:rsidRPr="005662CC" w:rsidRDefault="00842C6B" w:rsidP="00D5534B">
      <w:pPr>
        <w:pStyle w:val="ListParagraph"/>
        <w:ind w:left="426"/>
        <w:rPr>
          <w:sz w:val="20"/>
          <w:szCs w:val="20"/>
        </w:rPr>
      </w:pPr>
      <w:r w:rsidRPr="005662CC">
        <w:rPr>
          <w:sz w:val="20"/>
          <w:szCs w:val="20"/>
        </w:rPr>
        <w:t>Whether this demonstrates Best Interest will depend upon the initi</w:t>
      </w:r>
      <w:r w:rsidR="00F9026C" w:rsidRPr="005662CC">
        <w:rPr>
          <w:sz w:val="20"/>
          <w:szCs w:val="20"/>
        </w:rPr>
        <w:t>al client balance and the typical</w:t>
      </w:r>
      <w:r w:rsidRPr="005662CC">
        <w:rPr>
          <w:sz w:val="20"/>
          <w:szCs w:val="20"/>
        </w:rPr>
        <w:t xml:space="preserve"> workload of maintaining the client’s account/file.</w:t>
      </w:r>
      <w:r w:rsidR="00FA6B9C" w:rsidRPr="005662CC">
        <w:rPr>
          <w:sz w:val="20"/>
          <w:szCs w:val="20"/>
        </w:rPr>
        <w:t xml:space="preserve"> It is a grey area.</w:t>
      </w:r>
    </w:p>
    <w:p w14:paraId="106FE0C1" w14:textId="77777777" w:rsidR="00842C6B" w:rsidRPr="005662CC" w:rsidRDefault="00842C6B" w:rsidP="00D5534B">
      <w:pPr>
        <w:pStyle w:val="ListParagraph"/>
        <w:ind w:left="426"/>
        <w:rPr>
          <w:sz w:val="20"/>
          <w:szCs w:val="20"/>
        </w:rPr>
      </w:pPr>
    </w:p>
    <w:p w14:paraId="2F0E1266" w14:textId="77777777" w:rsidR="00842C6B" w:rsidRPr="005662CC" w:rsidRDefault="00842C6B" w:rsidP="00D5534B">
      <w:pPr>
        <w:pStyle w:val="ListParagraph"/>
        <w:ind w:left="426"/>
        <w:rPr>
          <w:sz w:val="20"/>
          <w:szCs w:val="20"/>
        </w:rPr>
      </w:pPr>
      <w:r w:rsidRPr="005662CC">
        <w:rPr>
          <w:sz w:val="20"/>
          <w:szCs w:val="20"/>
        </w:rPr>
        <w:t>However, industry norms</w:t>
      </w:r>
      <w:r w:rsidR="00F9026C" w:rsidRPr="005662CC">
        <w:rPr>
          <w:sz w:val="20"/>
          <w:szCs w:val="20"/>
        </w:rPr>
        <w:t xml:space="preserve"> would challenge a</w:t>
      </w:r>
      <w:r w:rsidR="00FA6B9C" w:rsidRPr="005662CC">
        <w:rPr>
          <w:sz w:val="20"/>
          <w:szCs w:val="20"/>
        </w:rPr>
        <w:t>n aggregate fee o</w:t>
      </w:r>
      <w:r w:rsidR="00F9026C" w:rsidRPr="005662CC">
        <w:rPr>
          <w:sz w:val="20"/>
          <w:szCs w:val="20"/>
        </w:rPr>
        <w:t>f this size</w:t>
      </w:r>
      <w:r w:rsidRPr="005662CC">
        <w:rPr>
          <w:sz w:val="20"/>
          <w:szCs w:val="20"/>
        </w:rPr>
        <w:t>.</w:t>
      </w:r>
    </w:p>
    <w:p w14:paraId="49E49511" w14:textId="77777777" w:rsidR="00842C6B" w:rsidRPr="005662CC" w:rsidRDefault="00842C6B" w:rsidP="00842C6B">
      <w:pPr>
        <w:pStyle w:val="ListParagraph"/>
        <w:ind w:left="1418"/>
        <w:rPr>
          <w:sz w:val="20"/>
          <w:szCs w:val="20"/>
        </w:rPr>
      </w:pPr>
    </w:p>
    <w:p w14:paraId="613787FD" w14:textId="77777777" w:rsidR="00842C6B" w:rsidRPr="005662CC" w:rsidRDefault="00842C6B" w:rsidP="00D5534B">
      <w:pPr>
        <w:pStyle w:val="ListParagraph"/>
        <w:ind w:left="426"/>
        <w:rPr>
          <w:sz w:val="20"/>
          <w:szCs w:val="20"/>
        </w:rPr>
      </w:pPr>
      <w:r w:rsidRPr="005662CC">
        <w:rPr>
          <w:sz w:val="20"/>
          <w:szCs w:val="20"/>
        </w:rPr>
        <w:t xml:space="preserve">Given the commercial need for cost recovery/profit, what are some options to </w:t>
      </w:r>
      <w:r w:rsidR="00F9026C" w:rsidRPr="005662CC">
        <w:rPr>
          <w:sz w:val="20"/>
          <w:szCs w:val="20"/>
        </w:rPr>
        <w:t>reduce the impact of high agg</w:t>
      </w:r>
      <w:r w:rsidR="003A38D9">
        <w:rPr>
          <w:sz w:val="20"/>
          <w:szCs w:val="20"/>
        </w:rPr>
        <w:t>regate fees ‘in the first year’:</w:t>
      </w:r>
    </w:p>
    <w:p w14:paraId="2A68D472" w14:textId="77777777" w:rsidR="00F9026C" w:rsidRPr="005662CC" w:rsidRDefault="00F9026C" w:rsidP="00842C6B">
      <w:pPr>
        <w:pStyle w:val="ListParagraph"/>
        <w:ind w:left="1418"/>
        <w:rPr>
          <w:sz w:val="20"/>
          <w:szCs w:val="20"/>
        </w:rPr>
      </w:pPr>
    </w:p>
    <w:p w14:paraId="12AAE399" w14:textId="77777777" w:rsidR="00F9026C" w:rsidRPr="005662CC" w:rsidRDefault="00F9026C" w:rsidP="00D5534B">
      <w:pPr>
        <w:pStyle w:val="ListParagraph"/>
        <w:numPr>
          <w:ilvl w:val="0"/>
          <w:numId w:val="22"/>
        </w:numPr>
        <w:rPr>
          <w:sz w:val="20"/>
          <w:szCs w:val="20"/>
        </w:rPr>
      </w:pPr>
      <w:r w:rsidRPr="005662CC">
        <w:rPr>
          <w:sz w:val="20"/>
          <w:szCs w:val="20"/>
        </w:rPr>
        <w:t xml:space="preserve">rebate </w:t>
      </w:r>
      <w:r w:rsidR="00FA6B9C" w:rsidRPr="005662CC">
        <w:rPr>
          <w:sz w:val="20"/>
          <w:szCs w:val="20"/>
        </w:rPr>
        <w:t xml:space="preserve">%-based </w:t>
      </w:r>
      <w:r w:rsidRPr="005662CC">
        <w:rPr>
          <w:sz w:val="20"/>
          <w:szCs w:val="20"/>
        </w:rPr>
        <w:t>implementation fee</w:t>
      </w:r>
      <w:r w:rsidR="009A48DC" w:rsidRPr="005662CC">
        <w:rPr>
          <w:sz w:val="20"/>
          <w:szCs w:val="20"/>
        </w:rPr>
        <w:t xml:space="preserve">; </w:t>
      </w:r>
      <w:r w:rsidRPr="005662CC">
        <w:rPr>
          <w:sz w:val="20"/>
          <w:szCs w:val="20"/>
        </w:rPr>
        <w:t xml:space="preserve">especially if insurances are </w:t>
      </w:r>
      <w:r w:rsidR="009A48DC" w:rsidRPr="005662CC">
        <w:rPr>
          <w:sz w:val="20"/>
          <w:szCs w:val="20"/>
        </w:rPr>
        <w:t>successfully underwritten</w:t>
      </w:r>
    </w:p>
    <w:p w14:paraId="40EA1151" w14:textId="77777777" w:rsidR="00611D18" w:rsidRDefault="00611D18" w:rsidP="00D5534B">
      <w:pPr>
        <w:pStyle w:val="ListParagraph"/>
        <w:ind w:left="1146"/>
        <w:rPr>
          <w:sz w:val="20"/>
          <w:szCs w:val="20"/>
        </w:rPr>
      </w:pPr>
    </w:p>
    <w:p w14:paraId="6EA714C2" w14:textId="77777777" w:rsidR="00FA6B9C" w:rsidRPr="005662CC" w:rsidRDefault="00E34510" w:rsidP="00D5534B">
      <w:pPr>
        <w:pStyle w:val="ListParagraph"/>
        <w:numPr>
          <w:ilvl w:val="0"/>
          <w:numId w:val="22"/>
        </w:numPr>
        <w:rPr>
          <w:sz w:val="20"/>
          <w:szCs w:val="20"/>
        </w:rPr>
      </w:pPr>
      <w:r>
        <w:rPr>
          <w:sz w:val="20"/>
          <w:szCs w:val="20"/>
        </w:rPr>
        <w:t xml:space="preserve">decide upon the size of the </w:t>
      </w:r>
      <w:r w:rsidR="00FA6B9C" w:rsidRPr="005662CC">
        <w:rPr>
          <w:sz w:val="20"/>
          <w:szCs w:val="20"/>
        </w:rPr>
        <w:t>%-based implementation fee considering the overall ‘first year’ impact</w:t>
      </w:r>
    </w:p>
    <w:p w14:paraId="1AD4497E" w14:textId="77777777" w:rsidR="00611D18" w:rsidRDefault="00611D18" w:rsidP="00D5534B">
      <w:pPr>
        <w:pStyle w:val="ListParagraph"/>
        <w:ind w:left="1146"/>
        <w:rPr>
          <w:sz w:val="20"/>
          <w:szCs w:val="20"/>
        </w:rPr>
      </w:pPr>
    </w:p>
    <w:p w14:paraId="5D1439B8" w14:textId="77777777" w:rsidR="00F9026C" w:rsidRDefault="00F9026C" w:rsidP="00D5534B">
      <w:pPr>
        <w:pStyle w:val="ListParagraph"/>
        <w:numPr>
          <w:ilvl w:val="0"/>
          <w:numId w:val="22"/>
        </w:numPr>
        <w:rPr>
          <w:sz w:val="20"/>
          <w:szCs w:val="20"/>
        </w:rPr>
      </w:pPr>
      <w:r w:rsidRPr="005662CC">
        <w:rPr>
          <w:sz w:val="20"/>
          <w:szCs w:val="20"/>
        </w:rPr>
        <w:t xml:space="preserve">stagger the commencement of the ongoing fee </w:t>
      </w:r>
    </w:p>
    <w:p w14:paraId="6BF7249A" w14:textId="77777777" w:rsidR="00611D18" w:rsidRDefault="00611D18" w:rsidP="00D5534B">
      <w:pPr>
        <w:pStyle w:val="ListParagraph"/>
        <w:ind w:left="1146"/>
        <w:rPr>
          <w:sz w:val="20"/>
          <w:szCs w:val="20"/>
        </w:rPr>
      </w:pPr>
    </w:p>
    <w:p w14:paraId="03442335" w14:textId="77777777" w:rsidR="00D5534B" w:rsidRDefault="00611D18" w:rsidP="00D5534B">
      <w:pPr>
        <w:pStyle w:val="ListParagraph"/>
        <w:numPr>
          <w:ilvl w:val="0"/>
          <w:numId w:val="22"/>
        </w:numPr>
        <w:rPr>
          <w:sz w:val="20"/>
          <w:szCs w:val="20"/>
        </w:rPr>
      </w:pPr>
      <w:r w:rsidRPr="005662CC">
        <w:rPr>
          <w:sz w:val="20"/>
          <w:szCs w:val="20"/>
        </w:rPr>
        <w:t>reconsider the use of implementation fees altogether; they are becoming less common</w:t>
      </w:r>
    </w:p>
    <w:p w14:paraId="68075416" w14:textId="77777777" w:rsidR="00D5534B" w:rsidRPr="00D5534B" w:rsidRDefault="00D5534B" w:rsidP="00D5534B">
      <w:pPr>
        <w:pStyle w:val="ListParagraph"/>
        <w:rPr>
          <w:sz w:val="20"/>
          <w:szCs w:val="20"/>
        </w:rPr>
      </w:pPr>
    </w:p>
    <w:p w14:paraId="7C31B3CC" w14:textId="77777777" w:rsidR="00BD7178" w:rsidRDefault="00F9026C" w:rsidP="00D5534B">
      <w:pPr>
        <w:pStyle w:val="ListParagraph"/>
        <w:numPr>
          <w:ilvl w:val="0"/>
          <w:numId w:val="22"/>
        </w:numPr>
        <w:rPr>
          <w:sz w:val="20"/>
          <w:szCs w:val="20"/>
        </w:rPr>
      </w:pPr>
      <w:r w:rsidRPr="00D5534B">
        <w:rPr>
          <w:sz w:val="20"/>
          <w:szCs w:val="20"/>
        </w:rPr>
        <w:t xml:space="preserve">have the </w:t>
      </w:r>
      <w:r w:rsidR="00C23968" w:rsidRPr="00D5534B">
        <w:rPr>
          <w:sz w:val="20"/>
          <w:szCs w:val="20"/>
        </w:rPr>
        <w:t>i</w:t>
      </w:r>
      <w:r w:rsidRPr="00D5534B">
        <w:rPr>
          <w:sz w:val="20"/>
          <w:szCs w:val="20"/>
        </w:rPr>
        <w:t xml:space="preserve">mplementation calculated on a ‘fixed’ </w:t>
      </w:r>
      <w:proofErr w:type="spellStart"/>
      <w:r w:rsidRPr="00D5534B">
        <w:rPr>
          <w:sz w:val="20"/>
          <w:szCs w:val="20"/>
        </w:rPr>
        <w:t>ie</w:t>
      </w:r>
      <w:proofErr w:type="spellEnd"/>
      <w:r w:rsidRPr="00D5534B">
        <w:rPr>
          <w:sz w:val="20"/>
          <w:szCs w:val="20"/>
        </w:rPr>
        <w:t>. non-percentage basis (this should</w:t>
      </w:r>
      <w:r w:rsidR="00716123" w:rsidRPr="00D5534B">
        <w:rPr>
          <w:sz w:val="20"/>
          <w:szCs w:val="20"/>
        </w:rPr>
        <w:t xml:space="preserve"> not</w:t>
      </w:r>
      <w:r w:rsidRPr="00D5534B">
        <w:rPr>
          <w:sz w:val="20"/>
          <w:szCs w:val="20"/>
        </w:rPr>
        <w:t xml:space="preserve"> be contrived). </w:t>
      </w:r>
    </w:p>
    <w:p w14:paraId="19CB87DB" w14:textId="77777777" w:rsidR="00BD7178" w:rsidRDefault="00F9026C" w:rsidP="00BD7178">
      <w:pPr>
        <w:pStyle w:val="ListParagraph"/>
        <w:ind w:left="1146"/>
        <w:rPr>
          <w:sz w:val="20"/>
          <w:szCs w:val="20"/>
        </w:rPr>
      </w:pPr>
      <w:r w:rsidRPr="00D5534B">
        <w:rPr>
          <w:sz w:val="20"/>
          <w:szCs w:val="20"/>
        </w:rPr>
        <w:t>It breaks the nexus between the quantum of FUA an</w:t>
      </w:r>
      <w:r w:rsidR="00BD7178">
        <w:rPr>
          <w:sz w:val="20"/>
          <w:szCs w:val="20"/>
        </w:rPr>
        <w:t>d the cost of client management</w:t>
      </w:r>
    </w:p>
    <w:p w14:paraId="3027A205" w14:textId="77777777" w:rsidR="00BD7178" w:rsidRDefault="00BD7178" w:rsidP="00BD7178">
      <w:pPr>
        <w:pStyle w:val="ListParagraph"/>
        <w:ind w:left="1146"/>
        <w:rPr>
          <w:sz w:val="20"/>
          <w:szCs w:val="20"/>
        </w:rPr>
      </w:pPr>
    </w:p>
    <w:p w14:paraId="7B7F5BE6" w14:textId="77777777" w:rsidR="00716123" w:rsidRPr="005662CC" w:rsidRDefault="00716123" w:rsidP="00BD7178">
      <w:pPr>
        <w:pStyle w:val="ListParagraph"/>
        <w:ind w:left="1146"/>
        <w:rPr>
          <w:sz w:val="20"/>
          <w:szCs w:val="20"/>
        </w:rPr>
      </w:pPr>
      <w:r w:rsidRPr="005662CC">
        <w:rPr>
          <w:sz w:val="20"/>
          <w:szCs w:val="20"/>
        </w:rPr>
        <w:t>Contrast</w:t>
      </w:r>
      <w:r w:rsidR="009A48DC" w:rsidRPr="005662CC">
        <w:rPr>
          <w:sz w:val="20"/>
          <w:szCs w:val="20"/>
        </w:rPr>
        <w:t xml:space="preserve"> the ‘look and feel’ of this fee disclosure</w:t>
      </w:r>
      <w:r w:rsidRPr="005662CC">
        <w:rPr>
          <w:sz w:val="20"/>
          <w:szCs w:val="20"/>
        </w:rPr>
        <w:t>:</w:t>
      </w:r>
    </w:p>
    <w:p w14:paraId="5FF58EB3" w14:textId="77777777" w:rsidR="00716123" w:rsidRPr="005662CC" w:rsidRDefault="00611D18" w:rsidP="00611D18">
      <w:pPr>
        <w:pStyle w:val="ListParagraph"/>
        <w:numPr>
          <w:ilvl w:val="0"/>
          <w:numId w:val="19"/>
        </w:numPr>
        <w:ind w:hanging="12"/>
        <w:rPr>
          <w:sz w:val="20"/>
          <w:szCs w:val="20"/>
        </w:rPr>
      </w:pPr>
      <w:r>
        <w:rPr>
          <w:sz w:val="20"/>
          <w:szCs w:val="20"/>
        </w:rPr>
        <w:t>Disclosure 2.2</w:t>
      </w:r>
      <w:r w:rsidR="0034425B">
        <w:rPr>
          <w:sz w:val="20"/>
          <w:szCs w:val="20"/>
        </w:rPr>
        <w:t>0</w:t>
      </w:r>
      <w:r>
        <w:rPr>
          <w:sz w:val="20"/>
          <w:szCs w:val="20"/>
        </w:rPr>
        <w:t>%, $2,098</w:t>
      </w:r>
      <w:r w:rsidR="00716123" w:rsidRPr="005662CC">
        <w:rPr>
          <w:sz w:val="20"/>
          <w:szCs w:val="20"/>
        </w:rPr>
        <w:t xml:space="preserve"> pa</w:t>
      </w:r>
    </w:p>
    <w:p w14:paraId="6A704483" w14:textId="77777777" w:rsidR="00716123" w:rsidRPr="005662CC" w:rsidRDefault="00716123" w:rsidP="00611D18">
      <w:pPr>
        <w:pStyle w:val="ListParagraph"/>
        <w:numPr>
          <w:ilvl w:val="0"/>
          <w:numId w:val="19"/>
        </w:numPr>
        <w:ind w:hanging="12"/>
        <w:rPr>
          <w:sz w:val="20"/>
          <w:szCs w:val="20"/>
        </w:rPr>
      </w:pPr>
      <w:r w:rsidRPr="005662CC">
        <w:rPr>
          <w:sz w:val="20"/>
          <w:szCs w:val="20"/>
        </w:rPr>
        <w:t>Disclosure 1.73%, $1,650 pa</w:t>
      </w:r>
    </w:p>
    <w:p w14:paraId="70014D79" w14:textId="1DE5641D" w:rsidR="009A48DC" w:rsidRDefault="009A48DC" w:rsidP="00BD7178">
      <w:pPr>
        <w:pStyle w:val="ListParagraph"/>
        <w:ind w:left="1146"/>
        <w:rPr>
          <w:sz w:val="20"/>
          <w:szCs w:val="20"/>
        </w:rPr>
      </w:pPr>
      <w:r w:rsidRPr="005662CC">
        <w:rPr>
          <w:sz w:val="20"/>
          <w:szCs w:val="20"/>
        </w:rPr>
        <w:t xml:space="preserve">… ‘b’ indicates/supports that the fee has been determined on a fixed fee </w:t>
      </w:r>
      <w:r w:rsidR="00BD7178">
        <w:rPr>
          <w:sz w:val="20"/>
          <w:szCs w:val="20"/>
        </w:rPr>
        <w:t>m</w:t>
      </w:r>
      <w:r w:rsidRPr="005662CC">
        <w:rPr>
          <w:sz w:val="20"/>
          <w:szCs w:val="20"/>
        </w:rPr>
        <w:t>ethodology</w:t>
      </w:r>
    </w:p>
    <w:p w14:paraId="043E7020" w14:textId="0D80EAFB" w:rsidR="002F7D65" w:rsidRDefault="002F7D65" w:rsidP="00BD7178">
      <w:pPr>
        <w:pStyle w:val="ListParagraph"/>
        <w:ind w:left="1146"/>
        <w:rPr>
          <w:sz w:val="20"/>
          <w:szCs w:val="20"/>
        </w:rPr>
      </w:pPr>
    </w:p>
    <w:p w14:paraId="25C3610C" w14:textId="77777777" w:rsidR="0042201F" w:rsidRDefault="0042201F" w:rsidP="00BD7178">
      <w:pPr>
        <w:pStyle w:val="ListParagraph"/>
        <w:ind w:left="1146"/>
        <w:rPr>
          <w:sz w:val="20"/>
          <w:szCs w:val="20"/>
        </w:rPr>
      </w:pPr>
    </w:p>
    <w:p w14:paraId="7AB652D0" w14:textId="17A73E80" w:rsidR="0042201F" w:rsidRPr="000A469A" w:rsidRDefault="0042201F" w:rsidP="000A469A">
      <w:pPr>
        <w:pStyle w:val="Heading2"/>
        <w:rPr>
          <w:rFonts w:eastAsia="Times New Roman"/>
          <w:b/>
          <w:sz w:val="28"/>
          <w:szCs w:val="28"/>
        </w:rPr>
      </w:pPr>
      <w:bookmarkStart w:id="25" w:name="_Toc36642378"/>
      <w:r w:rsidRPr="000A469A">
        <w:rPr>
          <w:rFonts w:eastAsia="Times New Roman"/>
          <w:b/>
          <w:sz w:val="28"/>
          <w:szCs w:val="28"/>
        </w:rPr>
        <w:t>Potential Conflicts of</w:t>
      </w:r>
      <w:r w:rsidR="00A50F9F">
        <w:rPr>
          <w:rFonts w:eastAsia="Times New Roman"/>
          <w:b/>
          <w:sz w:val="28"/>
          <w:szCs w:val="28"/>
        </w:rPr>
        <w:t xml:space="preserve"> </w:t>
      </w:r>
      <w:r w:rsidRPr="000A469A">
        <w:rPr>
          <w:rFonts w:eastAsia="Times New Roman"/>
          <w:b/>
          <w:sz w:val="28"/>
          <w:szCs w:val="28"/>
        </w:rPr>
        <w:t>Interest</w:t>
      </w:r>
      <w:bookmarkEnd w:id="25"/>
    </w:p>
    <w:p w14:paraId="07338377" w14:textId="77777777" w:rsidR="0042201F" w:rsidRPr="001253AF" w:rsidRDefault="0042201F" w:rsidP="001253AF">
      <w:pPr>
        <w:pStyle w:val="Default"/>
        <w:ind w:left="426"/>
        <w:rPr>
          <w:color w:val="auto"/>
          <w:sz w:val="20"/>
          <w:szCs w:val="20"/>
        </w:rPr>
      </w:pPr>
      <w:r w:rsidRPr="001253AF">
        <w:rPr>
          <w:color w:val="auto"/>
          <w:sz w:val="20"/>
          <w:szCs w:val="20"/>
        </w:rPr>
        <w:t xml:space="preserve">Please note the conflicts of interest that apply for Investor1st and </w:t>
      </w:r>
      <w:proofErr w:type="spellStart"/>
      <w:r w:rsidRPr="001253AF">
        <w:rPr>
          <w:color w:val="auto"/>
          <w:sz w:val="20"/>
          <w:szCs w:val="20"/>
        </w:rPr>
        <w:t>Diversa</w:t>
      </w:r>
      <w:proofErr w:type="spellEnd"/>
      <w:r w:rsidRPr="001253AF">
        <w:rPr>
          <w:color w:val="auto"/>
          <w:sz w:val="20"/>
          <w:szCs w:val="20"/>
        </w:rPr>
        <w:t xml:space="preserve">. </w:t>
      </w:r>
    </w:p>
    <w:p w14:paraId="3C7BFC9C" w14:textId="77777777" w:rsidR="0042201F" w:rsidRPr="000A469A" w:rsidRDefault="0042201F" w:rsidP="000A469A">
      <w:pPr>
        <w:pStyle w:val="ListParagraph"/>
        <w:ind w:left="0"/>
        <w:rPr>
          <w:color w:val="000000"/>
        </w:rPr>
      </w:pPr>
    </w:p>
    <w:p w14:paraId="5C2A373E" w14:textId="7F143096" w:rsidR="002F7D65" w:rsidRPr="000A469A" w:rsidRDefault="002F7D65" w:rsidP="000A469A">
      <w:pPr>
        <w:pStyle w:val="Heading2"/>
        <w:rPr>
          <w:rFonts w:eastAsia="Times New Roman"/>
          <w:b/>
          <w:sz w:val="28"/>
          <w:szCs w:val="28"/>
        </w:rPr>
      </w:pPr>
      <w:bookmarkStart w:id="26" w:name="_Toc36642379"/>
      <w:r w:rsidRPr="000A469A">
        <w:rPr>
          <w:rFonts w:eastAsia="Times New Roman"/>
          <w:b/>
          <w:sz w:val="28"/>
          <w:szCs w:val="28"/>
        </w:rPr>
        <w:t>Appendix</w:t>
      </w:r>
      <w:bookmarkEnd w:id="26"/>
    </w:p>
    <w:p w14:paraId="1B7C6186" w14:textId="77777777" w:rsidR="00C75BB6" w:rsidRDefault="00C75BB6" w:rsidP="002F7D65">
      <w:pPr>
        <w:pStyle w:val="Default"/>
        <w:rPr>
          <w:sz w:val="22"/>
          <w:szCs w:val="22"/>
        </w:rPr>
      </w:pPr>
    </w:p>
    <w:p w14:paraId="068DCD79" w14:textId="012249F8" w:rsidR="002F7D65" w:rsidRPr="001253AF" w:rsidRDefault="002F7D65" w:rsidP="001253AF">
      <w:pPr>
        <w:pStyle w:val="Default"/>
        <w:ind w:left="426"/>
        <w:rPr>
          <w:color w:val="auto"/>
          <w:sz w:val="20"/>
          <w:szCs w:val="20"/>
        </w:rPr>
      </w:pPr>
      <w:r w:rsidRPr="001253AF">
        <w:rPr>
          <w:color w:val="auto"/>
          <w:sz w:val="20"/>
          <w:szCs w:val="20"/>
        </w:rPr>
        <w:t xml:space="preserve">The SOA Appendix is a separate section at the back. </w:t>
      </w:r>
    </w:p>
    <w:p w14:paraId="2AAB71A1" w14:textId="77777777" w:rsidR="00C75BB6" w:rsidRPr="001253AF" w:rsidRDefault="00C75BB6" w:rsidP="001253AF">
      <w:pPr>
        <w:pStyle w:val="Default"/>
        <w:ind w:left="426"/>
        <w:rPr>
          <w:color w:val="auto"/>
          <w:sz w:val="20"/>
          <w:szCs w:val="20"/>
        </w:rPr>
      </w:pPr>
    </w:p>
    <w:p w14:paraId="5117FF60" w14:textId="12CF02CF" w:rsidR="00C75BB6" w:rsidRPr="001253AF" w:rsidRDefault="002F7D65" w:rsidP="001253AF">
      <w:pPr>
        <w:pStyle w:val="Default"/>
        <w:ind w:left="426"/>
        <w:rPr>
          <w:color w:val="auto"/>
          <w:sz w:val="20"/>
          <w:szCs w:val="20"/>
        </w:rPr>
      </w:pPr>
      <w:r w:rsidRPr="001253AF">
        <w:rPr>
          <w:color w:val="auto"/>
          <w:sz w:val="20"/>
          <w:szCs w:val="20"/>
        </w:rPr>
        <w:t xml:space="preserve">Minimally, it should include from </w:t>
      </w:r>
      <w:proofErr w:type="spellStart"/>
      <w:r w:rsidRPr="001253AF">
        <w:rPr>
          <w:color w:val="auto"/>
          <w:sz w:val="20"/>
          <w:szCs w:val="20"/>
        </w:rPr>
        <w:t>InterPrac</w:t>
      </w:r>
      <w:proofErr w:type="spellEnd"/>
      <w:r w:rsidRPr="001253AF">
        <w:rPr>
          <w:color w:val="auto"/>
          <w:sz w:val="20"/>
          <w:szCs w:val="20"/>
        </w:rPr>
        <w:t xml:space="preserve"> Statement of Advice </w:t>
      </w:r>
      <w:r w:rsidR="00C75BB6" w:rsidRPr="001253AF">
        <w:rPr>
          <w:color w:val="auto"/>
          <w:sz w:val="20"/>
          <w:szCs w:val="20"/>
        </w:rPr>
        <w:t>(</w:t>
      </w:r>
      <w:proofErr w:type="spellStart"/>
      <w:r w:rsidR="00C75BB6" w:rsidRPr="001253AF">
        <w:rPr>
          <w:color w:val="auto"/>
          <w:sz w:val="20"/>
          <w:szCs w:val="20"/>
        </w:rPr>
        <w:t>SoA</w:t>
      </w:r>
      <w:proofErr w:type="spellEnd"/>
      <w:r w:rsidR="00C75BB6" w:rsidRPr="001253AF">
        <w:rPr>
          <w:color w:val="auto"/>
          <w:sz w:val="20"/>
          <w:szCs w:val="20"/>
        </w:rPr>
        <w:t>) Appendix - &lt;Date&gt; (word)</w:t>
      </w:r>
    </w:p>
    <w:p w14:paraId="0910503C" w14:textId="180205B7" w:rsidR="002F7D65" w:rsidRPr="001253AF" w:rsidRDefault="002F7D65" w:rsidP="001253AF">
      <w:pPr>
        <w:pStyle w:val="Default"/>
        <w:ind w:left="426"/>
        <w:rPr>
          <w:color w:val="auto"/>
          <w:sz w:val="20"/>
          <w:szCs w:val="20"/>
        </w:rPr>
      </w:pPr>
    </w:p>
    <w:p w14:paraId="51E2C6E4" w14:textId="0EB1D0EC" w:rsidR="002F7D65" w:rsidRPr="001253AF" w:rsidRDefault="00EE472F" w:rsidP="001253AF">
      <w:pPr>
        <w:pStyle w:val="Default"/>
        <w:ind w:left="426"/>
        <w:rPr>
          <w:color w:val="auto"/>
          <w:sz w:val="20"/>
          <w:szCs w:val="20"/>
        </w:rPr>
      </w:pPr>
      <w:r w:rsidRPr="001253AF">
        <w:rPr>
          <w:color w:val="auto"/>
          <w:sz w:val="20"/>
          <w:szCs w:val="20"/>
        </w:rPr>
        <w:tab/>
      </w:r>
      <w:r w:rsidR="002F7D65" w:rsidRPr="001253AF">
        <w:rPr>
          <w:color w:val="auto"/>
          <w:sz w:val="20"/>
          <w:szCs w:val="20"/>
        </w:rPr>
        <w:t>- Appendix 1. Fact Find summary information</w:t>
      </w:r>
      <w:r w:rsidRPr="001253AF">
        <w:rPr>
          <w:color w:val="auto"/>
          <w:sz w:val="20"/>
          <w:szCs w:val="20"/>
        </w:rPr>
        <w:t xml:space="preserve"> that has not been recorded in the ‘Relevant </w:t>
      </w:r>
      <w:r w:rsidRPr="001253AF">
        <w:rPr>
          <w:color w:val="auto"/>
          <w:sz w:val="20"/>
          <w:szCs w:val="20"/>
        </w:rPr>
        <w:tab/>
      </w:r>
      <w:r w:rsidRPr="001253AF">
        <w:rPr>
          <w:color w:val="auto"/>
          <w:sz w:val="20"/>
          <w:szCs w:val="20"/>
        </w:rPr>
        <w:tab/>
        <w:t>Personal Circumstances’</w:t>
      </w:r>
    </w:p>
    <w:p w14:paraId="56A89957" w14:textId="77777777" w:rsidR="00C75BB6" w:rsidRPr="001253AF" w:rsidRDefault="00C75BB6" w:rsidP="001253AF">
      <w:pPr>
        <w:pStyle w:val="Default"/>
        <w:ind w:left="426"/>
        <w:rPr>
          <w:color w:val="auto"/>
          <w:sz w:val="20"/>
          <w:szCs w:val="20"/>
        </w:rPr>
      </w:pPr>
    </w:p>
    <w:p w14:paraId="03F50268" w14:textId="374133FC" w:rsidR="002F7D65" w:rsidRPr="001253AF" w:rsidRDefault="00EE472F" w:rsidP="001253AF">
      <w:pPr>
        <w:pStyle w:val="Default"/>
        <w:ind w:left="426"/>
        <w:rPr>
          <w:color w:val="auto"/>
          <w:sz w:val="20"/>
          <w:szCs w:val="20"/>
        </w:rPr>
      </w:pPr>
      <w:r w:rsidRPr="001253AF">
        <w:rPr>
          <w:color w:val="auto"/>
          <w:sz w:val="20"/>
          <w:szCs w:val="20"/>
        </w:rPr>
        <w:tab/>
      </w:r>
      <w:r w:rsidR="002F7D65" w:rsidRPr="001253AF">
        <w:rPr>
          <w:color w:val="auto"/>
          <w:sz w:val="20"/>
          <w:szCs w:val="20"/>
        </w:rPr>
        <w:t xml:space="preserve">- Appendix 2. Generic asset allocation and risk/return explanations: not required for </w:t>
      </w:r>
      <w:r w:rsidRPr="001253AF">
        <w:rPr>
          <w:color w:val="auto"/>
          <w:sz w:val="20"/>
          <w:szCs w:val="20"/>
        </w:rPr>
        <w:tab/>
      </w:r>
      <w:r w:rsidRPr="001253AF">
        <w:rPr>
          <w:color w:val="auto"/>
          <w:sz w:val="20"/>
          <w:szCs w:val="20"/>
        </w:rPr>
        <w:tab/>
      </w:r>
      <w:r w:rsidRPr="001253AF">
        <w:rPr>
          <w:color w:val="auto"/>
          <w:sz w:val="20"/>
          <w:szCs w:val="20"/>
        </w:rPr>
        <w:tab/>
      </w:r>
      <w:r w:rsidR="002F7D65" w:rsidRPr="001253AF">
        <w:rPr>
          <w:color w:val="auto"/>
          <w:sz w:val="20"/>
          <w:szCs w:val="20"/>
        </w:rPr>
        <w:t xml:space="preserve">Insurance advice. </w:t>
      </w:r>
    </w:p>
    <w:p w14:paraId="5B74189F" w14:textId="77777777" w:rsidR="00C75BB6" w:rsidRPr="001253AF" w:rsidRDefault="00C75BB6" w:rsidP="001253AF">
      <w:pPr>
        <w:pStyle w:val="Default"/>
        <w:ind w:left="426"/>
        <w:rPr>
          <w:color w:val="auto"/>
          <w:sz w:val="20"/>
          <w:szCs w:val="20"/>
        </w:rPr>
      </w:pPr>
    </w:p>
    <w:p w14:paraId="696A00A2" w14:textId="517087EC" w:rsidR="002F7D65" w:rsidRPr="001253AF" w:rsidRDefault="00EE472F" w:rsidP="001253AF">
      <w:pPr>
        <w:pStyle w:val="Default"/>
        <w:ind w:left="426"/>
        <w:rPr>
          <w:color w:val="auto"/>
          <w:sz w:val="20"/>
          <w:szCs w:val="20"/>
        </w:rPr>
      </w:pPr>
      <w:r w:rsidRPr="001253AF">
        <w:rPr>
          <w:color w:val="auto"/>
          <w:sz w:val="20"/>
          <w:szCs w:val="20"/>
        </w:rPr>
        <w:tab/>
      </w:r>
      <w:r w:rsidR="002F7D65" w:rsidRPr="001253AF">
        <w:rPr>
          <w:color w:val="auto"/>
          <w:sz w:val="20"/>
          <w:szCs w:val="20"/>
        </w:rPr>
        <w:t xml:space="preserve">- Appendix 3. Further selected technical information supporting the recommendations. </w:t>
      </w:r>
    </w:p>
    <w:p w14:paraId="651B3DA0" w14:textId="77777777" w:rsidR="00C75BB6" w:rsidRPr="001253AF" w:rsidRDefault="00C75BB6" w:rsidP="001253AF">
      <w:pPr>
        <w:pStyle w:val="Default"/>
        <w:ind w:left="426"/>
        <w:rPr>
          <w:color w:val="auto"/>
          <w:sz w:val="20"/>
          <w:szCs w:val="20"/>
        </w:rPr>
      </w:pPr>
    </w:p>
    <w:p w14:paraId="22A7312D" w14:textId="3D9C78F8" w:rsidR="002F7D65" w:rsidRPr="001253AF" w:rsidRDefault="00EE472F" w:rsidP="001253AF">
      <w:pPr>
        <w:pStyle w:val="Default"/>
        <w:ind w:left="426"/>
        <w:rPr>
          <w:color w:val="auto"/>
          <w:sz w:val="20"/>
          <w:szCs w:val="20"/>
        </w:rPr>
      </w:pPr>
      <w:r w:rsidRPr="001253AF">
        <w:rPr>
          <w:color w:val="auto"/>
          <w:sz w:val="20"/>
          <w:szCs w:val="20"/>
        </w:rPr>
        <w:tab/>
      </w:r>
      <w:r w:rsidR="002F7D65" w:rsidRPr="001253AF">
        <w:rPr>
          <w:color w:val="auto"/>
          <w:sz w:val="20"/>
          <w:szCs w:val="20"/>
        </w:rPr>
        <w:t xml:space="preserve">- Appendix 4. Supporting Calculations and Projections. </w:t>
      </w:r>
    </w:p>
    <w:p w14:paraId="4498EEAA" w14:textId="77777777" w:rsidR="002F7D65" w:rsidRPr="005662CC" w:rsidRDefault="002F7D65" w:rsidP="00BD7178">
      <w:pPr>
        <w:pStyle w:val="ListParagraph"/>
        <w:ind w:left="1146"/>
        <w:rPr>
          <w:sz w:val="20"/>
          <w:szCs w:val="20"/>
        </w:rPr>
      </w:pPr>
    </w:p>
    <w:p w14:paraId="25FF7522" w14:textId="77777777" w:rsidR="00947BC6" w:rsidRDefault="00947BC6" w:rsidP="000A469A">
      <w:pPr>
        <w:ind w:left="1560" w:hanging="142"/>
        <w:jc w:val="center"/>
        <w:rPr>
          <w:sz w:val="20"/>
          <w:szCs w:val="20"/>
        </w:rPr>
      </w:pPr>
    </w:p>
    <w:p w14:paraId="216F3F37" w14:textId="77777777" w:rsidR="00947BC6" w:rsidRPr="000A469A" w:rsidRDefault="00947BC6" w:rsidP="000A469A">
      <w:pPr>
        <w:pStyle w:val="Heading2"/>
        <w:rPr>
          <w:rFonts w:eastAsia="Times New Roman"/>
          <w:b/>
          <w:sz w:val="28"/>
          <w:szCs w:val="28"/>
        </w:rPr>
      </w:pPr>
      <w:bookmarkStart w:id="27" w:name="_Toc36642380"/>
      <w:r w:rsidRPr="000A469A">
        <w:rPr>
          <w:rFonts w:eastAsia="Times New Roman"/>
          <w:b/>
          <w:sz w:val="28"/>
          <w:szCs w:val="28"/>
        </w:rPr>
        <w:t xml:space="preserve">Finalising the </w:t>
      </w:r>
      <w:proofErr w:type="spellStart"/>
      <w:r w:rsidRPr="000A469A">
        <w:rPr>
          <w:rFonts w:eastAsia="Times New Roman"/>
          <w:b/>
          <w:sz w:val="28"/>
          <w:szCs w:val="28"/>
        </w:rPr>
        <w:t>SoA</w:t>
      </w:r>
      <w:bookmarkEnd w:id="27"/>
      <w:proofErr w:type="spellEnd"/>
      <w:r w:rsidRPr="000A469A">
        <w:rPr>
          <w:rFonts w:eastAsia="Times New Roman"/>
          <w:b/>
          <w:sz w:val="28"/>
          <w:szCs w:val="28"/>
        </w:rPr>
        <w:t xml:space="preserve"> </w:t>
      </w:r>
    </w:p>
    <w:p w14:paraId="01599313" w14:textId="77777777" w:rsidR="00947BC6" w:rsidRDefault="00947BC6" w:rsidP="00947BC6">
      <w:pPr>
        <w:pStyle w:val="Default"/>
        <w:rPr>
          <w:sz w:val="22"/>
          <w:szCs w:val="22"/>
        </w:rPr>
      </w:pPr>
    </w:p>
    <w:p w14:paraId="4348A306" w14:textId="77777777" w:rsidR="00C75BB6" w:rsidRPr="001253AF" w:rsidRDefault="00947BC6" w:rsidP="001253AF">
      <w:pPr>
        <w:pStyle w:val="Default"/>
        <w:ind w:left="426"/>
        <w:rPr>
          <w:color w:val="auto"/>
          <w:sz w:val="20"/>
          <w:szCs w:val="20"/>
        </w:rPr>
      </w:pPr>
      <w:proofErr w:type="gramStart"/>
      <w:r w:rsidRPr="001253AF">
        <w:rPr>
          <w:color w:val="auto"/>
          <w:sz w:val="20"/>
          <w:szCs w:val="20"/>
        </w:rPr>
        <w:t>Finally</w:t>
      </w:r>
      <w:proofErr w:type="gramEnd"/>
      <w:r w:rsidRPr="001253AF">
        <w:rPr>
          <w:color w:val="auto"/>
          <w:sz w:val="20"/>
          <w:szCs w:val="20"/>
        </w:rPr>
        <w:t xml:space="preserve"> … proof-read! </w:t>
      </w:r>
    </w:p>
    <w:p w14:paraId="6EE16060" w14:textId="77777777" w:rsidR="00C75BB6" w:rsidRPr="001253AF" w:rsidRDefault="00C75BB6" w:rsidP="001253AF">
      <w:pPr>
        <w:pStyle w:val="Default"/>
        <w:ind w:left="426"/>
        <w:rPr>
          <w:color w:val="auto"/>
          <w:sz w:val="20"/>
          <w:szCs w:val="20"/>
        </w:rPr>
      </w:pPr>
    </w:p>
    <w:p w14:paraId="0E789567" w14:textId="52E679F4" w:rsidR="0042201F" w:rsidRPr="001253AF" w:rsidRDefault="00947BC6" w:rsidP="001253AF">
      <w:pPr>
        <w:pStyle w:val="Default"/>
        <w:ind w:left="426"/>
        <w:rPr>
          <w:color w:val="auto"/>
          <w:sz w:val="20"/>
          <w:szCs w:val="20"/>
        </w:rPr>
      </w:pPr>
      <w:r w:rsidRPr="001253AF">
        <w:rPr>
          <w:color w:val="auto"/>
          <w:sz w:val="20"/>
          <w:szCs w:val="20"/>
        </w:rPr>
        <w:t>This is really critical as a poorly proof-read document could destroy the effectiveness and appropriateness of the Advice, not to mention your reputation with the client.</w:t>
      </w:r>
    </w:p>
    <w:p w14:paraId="57FF2423" w14:textId="77777777" w:rsidR="00947BC6" w:rsidRPr="001253AF" w:rsidRDefault="00947BC6" w:rsidP="001253AF">
      <w:pPr>
        <w:pStyle w:val="Default"/>
        <w:ind w:left="426"/>
        <w:rPr>
          <w:color w:val="auto"/>
          <w:sz w:val="20"/>
          <w:szCs w:val="20"/>
        </w:rPr>
      </w:pPr>
    </w:p>
    <w:p w14:paraId="1A4B26C3" w14:textId="12D489B4" w:rsidR="00B804E5" w:rsidRPr="001253AF" w:rsidRDefault="00947BC6" w:rsidP="001253AF">
      <w:pPr>
        <w:pStyle w:val="Default"/>
        <w:ind w:left="426"/>
        <w:rPr>
          <w:color w:val="auto"/>
          <w:sz w:val="20"/>
          <w:szCs w:val="20"/>
        </w:rPr>
      </w:pPr>
      <w:r w:rsidRPr="001253AF">
        <w:rPr>
          <w:color w:val="auto"/>
          <w:sz w:val="20"/>
          <w:szCs w:val="20"/>
        </w:rPr>
        <w:t xml:space="preserve">You are responsible for every </w:t>
      </w:r>
      <w:proofErr w:type="spellStart"/>
      <w:r w:rsidRPr="001253AF">
        <w:rPr>
          <w:color w:val="auto"/>
          <w:sz w:val="20"/>
          <w:szCs w:val="20"/>
        </w:rPr>
        <w:t>SoA</w:t>
      </w:r>
      <w:proofErr w:type="spellEnd"/>
      <w:r w:rsidRPr="001253AF">
        <w:rPr>
          <w:color w:val="auto"/>
          <w:sz w:val="20"/>
          <w:szCs w:val="20"/>
        </w:rPr>
        <w:t xml:space="preserve"> you produce. </w:t>
      </w:r>
    </w:p>
    <w:p w14:paraId="7EB3789B" w14:textId="77777777" w:rsidR="00B804E5" w:rsidRDefault="00B804E5" w:rsidP="00B804E5">
      <w:pPr>
        <w:pStyle w:val="Default"/>
        <w:rPr>
          <w:sz w:val="22"/>
          <w:szCs w:val="22"/>
        </w:rPr>
      </w:pPr>
    </w:p>
    <w:p w14:paraId="3A8509CC" w14:textId="1CD5A5A3" w:rsidR="00B804E5" w:rsidRDefault="00B804E5" w:rsidP="00B804E5">
      <w:pPr>
        <w:pStyle w:val="Default"/>
        <w:rPr>
          <w:sz w:val="22"/>
          <w:szCs w:val="22"/>
        </w:rPr>
      </w:pPr>
    </w:p>
    <w:p w14:paraId="2983B156" w14:textId="77777777" w:rsidR="00DE0A6E" w:rsidRDefault="00DE0A6E">
      <w:pPr>
        <w:rPr>
          <w:rFonts w:asciiTheme="majorHAnsi" w:eastAsia="Times New Roman" w:hAnsiTheme="majorHAnsi" w:cstheme="majorBidi"/>
          <w:b/>
          <w:color w:val="2F5496" w:themeColor="accent1" w:themeShade="BF"/>
          <w:sz w:val="36"/>
          <w:szCs w:val="36"/>
        </w:rPr>
      </w:pPr>
      <w:r>
        <w:rPr>
          <w:rFonts w:eastAsia="Times New Roman"/>
          <w:b/>
          <w:sz w:val="36"/>
          <w:szCs w:val="36"/>
        </w:rPr>
        <w:br w:type="page"/>
      </w:r>
    </w:p>
    <w:p w14:paraId="4B401F7A" w14:textId="5EC793F3" w:rsidR="00B804E5" w:rsidRPr="00B804E5" w:rsidRDefault="00B804E5" w:rsidP="00B804E5">
      <w:pPr>
        <w:pStyle w:val="Heading1"/>
        <w:rPr>
          <w:rFonts w:eastAsia="Times New Roman"/>
          <w:b/>
          <w:sz w:val="36"/>
          <w:szCs w:val="36"/>
        </w:rPr>
      </w:pPr>
      <w:bookmarkStart w:id="28" w:name="_Toc36642381"/>
      <w:r w:rsidRPr="00B804E5">
        <w:rPr>
          <w:rFonts w:eastAsia="Times New Roman"/>
          <w:b/>
          <w:sz w:val="36"/>
          <w:szCs w:val="36"/>
        </w:rPr>
        <w:lastRenderedPageBreak/>
        <w:t>MISCELLANEOUS, FAQs</w:t>
      </w:r>
      <w:bookmarkEnd w:id="28"/>
    </w:p>
    <w:p w14:paraId="0601DE85" w14:textId="77777777" w:rsidR="00B804E5" w:rsidRDefault="00B804E5" w:rsidP="00947BC6">
      <w:pPr>
        <w:ind w:left="1560" w:hanging="142"/>
        <w:rPr>
          <w:sz w:val="20"/>
          <w:szCs w:val="20"/>
        </w:rPr>
      </w:pPr>
    </w:p>
    <w:p w14:paraId="78ACD305" w14:textId="4E9BB158" w:rsidR="00AE526D" w:rsidRPr="00AE526D" w:rsidRDefault="00AE526D" w:rsidP="00AE526D">
      <w:pPr>
        <w:pStyle w:val="Heading2"/>
        <w:rPr>
          <w:rFonts w:eastAsia="Times New Roman"/>
          <w:b/>
          <w:sz w:val="28"/>
          <w:szCs w:val="28"/>
        </w:rPr>
      </w:pPr>
      <w:bookmarkStart w:id="29" w:name="_Hlk531159585"/>
      <w:bookmarkStart w:id="30" w:name="_Toc36642382"/>
      <w:r w:rsidRPr="00AE526D">
        <w:rPr>
          <w:rFonts w:eastAsia="Times New Roman"/>
          <w:b/>
          <w:sz w:val="28"/>
          <w:szCs w:val="28"/>
        </w:rPr>
        <w:t>File Notes</w:t>
      </w:r>
      <w:bookmarkEnd w:id="30"/>
    </w:p>
    <w:p w14:paraId="3D13876D" w14:textId="0A5E5F61" w:rsidR="00AE526D" w:rsidRDefault="00AE526D" w:rsidP="00AE526D">
      <w:pPr>
        <w:rPr>
          <w:sz w:val="20"/>
          <w:szCs w:val="20"/>
        </w:rPr>
      </w:pPr>
      <w:r>
        <w:rPr>
          <w:sz w:val="20"/>
          <w:szCs w:val="20"/>
        </w:rPr>
        <w:t xml:space="preserve">File notes are not an ‘extra’ but a </w:t>
      </w:r>
      <w:r w:rsidR="00A5462A">
        <w:rPr>
          <w:sz w:val="20"/>
          <w:szCs w:val="20"/>
        </w:rPr>
        <w:t xml:space="preserve">‘required’ &amp; </w:t>
      </w:r>
      <w:r>
        <w:rPr>
          <w:sz w:val="20"/>
          <w:szCs w:val="20"/>
        </w:rPr>
        <w:t>vital part of the financial plann</w:t>
      </w:r>
      <w:r w:rsidR="00E75250">
        <w:rPr>
          <w:sz w:val="20"/>
          <w:szCs w:val="20"/>
        </w:rPr>
        <w:t>ing process.</w:t>
      </w:r>
    </w:p>
    <w:p w14:paraId="09AFBA5E" w14:textId="6A5B00A1" w:rsidR="00E75250" w:rsidRDefault="00E75250" w:rsidP="00AE526D">
      <w:pPr>
        <w:rPr>
          <w:sz w:val="20"/>
          <w:szCs w:val="20"/>
        </w:rPr>
      </w:pPr>
      <w:r>
        <w:rPr>
          <w:sz w:val="20"/>
          <w:szCs w:val="20"/>
        </w:rPr>
        <w:t>They can:</w:t>
      </w:r>
    </w:p>
    <w:p w14:paraId="403418F9" w14:textId="2E7D9ED6" w:rsidR="00E75250" w:rsidRDefault="00E75250" w:rsidP="00E75250">
      <w:pPr>
        <w:pStyle w:val="ListParagraph"/>
        <w:numPr>
          <w:ilvl w:val="0"/>
          <w:numId w:val="22"/>
        </w:numPr>
        <w:rPr>
          <w:sz w:val="20"/>
          <w:szCs w:val="20"/>
        </w:rPr>
      </w:pPr>
      <w:r>
        <w:rPr>
          <w:sz w:val="20"/>
          <w:szCs w:val="20"/>
        </w:rPr>
        <w:t>Supplement your fact find</w:t>
      </w:r>
    </w:p>
    <w:p w14:paraId="2443496B" w14:textId="3EF42D94" w:rsidR="00E75250" w:rsidRDefault="00E75250" w:rsidP="00E75250">
      <w:pPr>
        <w:pStyle w:val="ListParagraph"/>
        <w:numPr>
          <w:ilvl w:val="0"/>
          <w:numId w:val="22"/>
        </w:numPr>
        <w:rPr>
          <w:sz w:val="20"/>
          <w:szCs w:val="20"/>
        </w:rPr>
      </w:pPr>
      <w:r>
        <w:rPr>
          <w:sz w:val="20"/>
          <w:szCs w:val="20"/>
        </w:rPr>
        <w:t>Further evidence your research</w:t>
      </w:r>
    </w:p>
    <w:p w14:paraId="38854DA6" w14:textId="656AC128" w:rsidR="00E75250" w:rsidRDefault="00E75250" w:rsidP="00E75250">
      <w:pPr>
        <w:pStyle w:val="ListParagraph"/>
        <w:numPr>
          <w:ilvl w:val="0"/>
          <w:numId w:val="22"/>
        </w:numPr>
        <w:rPr>
          <w:sz w:val="20"/>
          <w:szCs w:val="20"/>
        </w:rPr>
      </w:pPr>
      <w:r>
        <w:rPr>
          <w:sz w:val="20"/>
          <w:szCs w:val="20"/>
        </w:rPr>
        <w:t>Evidenc</w:t>
      </w:r>
      <w:r w:rsidR="00DF3B7A">
        <w:rPr>
          <w:sz w:val="20"/>
          <w:szCs w:val="20"/>
        </w:rPr>
        <w:t>e</w:t>
      </w:r>
      <w:r>
        <w:rPr>
          <w:sz w:val="20"/>
          <w:szCs w:val="20"/>
        </w:rPr>
        <w:t xml:space="preserve"> drafts of </w:t>
      </w:r>
      <w:r w:rsidR="00DA3724">
        <w:rPr>
          <w:sz w:val="20"/>
          <w:szCs w:val="20"/>
        </w:rPr>
        <w:t>your communications that are eventually polished</w:t>
      </w:r>
    </w:p>
    <w:p w14:paraId="09511961" w14:textId="62F0263F" w:rsidR="00E75250" w:rsidRDefault="00E75250" w:rsidP="00E75250">
      <w:pPr>
        <w:pStyle w:val="ListParagraph"/>
        <w:numPr>
          <w:ilvl w:val="0"/>
          <w:numId w:val="22"/>
        </w:numPr>
        <w:rPr>
          <w:sz w:val="20"/>
          <w:szCs w:val="20"/>
        </w:rPr>
      </w:pPr>
      <w:r>
        <w:rPr>
          <w:sz w:val="20"/>
          <w:szCs w:val="20"/>
        </w:rPr>
        <w:t xml:space="preserve">Disclose the assumptions of </w:t>
      </w:r>
      <w:r w:rsidR="006D320A">
        <w:rPr>
          <w:sz w:val="20"/>
          <w:szCs w:val="20"/>
        </w:rPr>
        <w:t xml:space="preserve">the Adviser’s </w:t>
      </w:r>
      <w:r>
        <w:rPr>
          <w:sz w:val="20"/>
          <w:szCs w:val="20"/>
        </w:rPr>
        <w:t>decision-making</w:t>
      </w:r>
    </w:p>
    <w:p w14:paraId="31F83234" w14:textId="7832EA36" w:rsidR="00E64DF8" w:rsidRDefault="00E64DF8" w:rsidP="00E75250">
      <w:pPr>
        <w:pStyle w:val="ListParagraph"/>
        <w:numPr>
          <w:ilvl w:val="0"/>
          <w:numId w:val="22"/>
        </w:numPr>
        <w:rPr>
          <w:sz w:val="20"/>
          <w:szCs w:val="20"/>
        </w:rPr>
      </w:pPr>
      <w:r>
        <w:rPr>
          <w:sz w:val="20"/>
          <w:szCs w:val="20"/>
        </w:rPr>
        <w:t>Act as Minutes of a meeting</w:t>
      </w:r>
    </w:p>
    <w:p w14:paraId="2FD8D216" w14:textId="77777777" w:rsidR="00DF3B7A" w:rsidRDefault="00E75250" w:rsidP="00E75250">
      <w:pPr>
        <w:pStyle w:val="ListParagraph"/>
        <w:numPr>
          <w:ilvl w:val="0"/>
          <w:numId w:val="22"/>
        </w:numPr>
        <w:rPr>
          <w:sz w:val="20"/>
          <w:szCs w:val="20"/>
        </w:rPr>
      </w:pPr>
      <w:r>
        <w:rPr>
          <w:sz w:val="20"/>
          <w:szCs w:val="20"/>
        </w:rPr>
        <w:t>Evidence client interactions</w:t>
      </w:r>
      <w:r w:rsidR="00DA3724">
        <w:rPr>
          <w:sz w:val="20"/>
          <w:szCs w:val="20"/>
        </w:rPr>
        <w:t xml:space="preserve"> </w:t>
      </w:r>
    </w:p>
    <w:p w14:paraId="32A22411" w14:textId="4B81063B" w:rsidR="00E75250" w:rsidRDefault="00DA3724" w:rsidP="00DF3B7A">
      <w:pPr>
        <w:pStyle w:val="ListParagraph"/>
        <w:ind w:left="1146"/>
        <w:rPr>
          <w:sz w:val="20"/>
          <w:szCs w:val="20"/>
        </w:rPr>
      </w:pPr>
      <w:r>
        <w:rPr>
          <w:sz w:val="20"/>
          <w:szCs w:val="20"/>
        </w:rPr>
        <w:t>(some file notes are just archived client communications)</w:t>
      </w:r>
    </w:p>
    <w:p w14:paraId="26C3BC14" w14:textId="77777777" w:rsidR="00DF3B7A" w:rsidRDefault="00E75250" w:rsidP="00E75250">
      <w:pPr>
        <w:pStyle w:val="ListParagraph"/>
        <w:numPr>
          <w:ilvl w:val="0"/>
          <w:numId w:val="22"/>
        </w:numPr>
        <w:rPr>
          <w:sz w:val="20"/>
          <w:szCs w:val="20"/>
        </w:rPr>
      </w:pPr>
      <w:r>
        <w:rPr>
          <w:sz w:val="20"/>
          <w:szCs w:val="20"/>
        </w:rPr>
        <w:t>Evidence post-</w:t>
      </w:r>
      <w:proofErr w:type="spellStart"/>
      <w:r>
        <w:rPr>
          <w:sz w:val="20"/>
          <w:szCs w:val="20"/>
        </w:rPr>
        <w:t>SoA</w:t>
      </w:r>
      <w:proofErr w:type="spellEnd"/>
      <w:r>
        <w:rPr>
          <w:sz w:val="20"/>
          <w:szCs w:val="20"/>
        </w:rPr>
        <w:t xml:space="preserve"> implementation changes</w:t>
      </w:r>
      <w:r w:rsidR="00DA3724">
        <w:rPr>
          <w:sz w:val="20"/>
          <w:szCs w:val="20"/>
        </w:rPr>
        <w:t xml:space="preserve"> </w:t>
      </w:r>
    </w:p>
    <w:p w14:paraId="024B9774" w14:textId="2C0068DD" w:rsidR="00E75250" w:rsidRDefault="00DA3724" w:rsidP="00DF3B7A">
      <w:pPr>
        <w:pStyle w:val="ListParagraph"/>
        <w:ind w:left="1146"/>
        <w:rPr>
          <w:sz w:val="20"/>
          <w:szCs w:val="20"/>
        </w:rPr>
      </w:pPr>
      <w:r>
        <w:rPr>
          <w:sz w:val="20"/>
          <w:szCs w:val="20"/>
        </w:rPr>
        <w:t xml:space="preserve">(particularly if you and the client have been in further discussion since the Authority </w:t>
      </w:r>
      <w:proofErr w:type="gramStart"/>
      <w:r>
        <w:rPr>
          <w:sz w:val="20"/>
          <w:szCs w:val="20"/>
        </w:rPr>
        <w:t>To</w:t>
      </w:r>
      <w:proofErr w:type="gramEnd"/>
      <w:r>
        <w:rPr>
          <w:sz w:val="20"/>
          <w:szCs w:val="20"/>
        </w:rPr>
        <w:t xml:space="preserve"> Proceed was signed)</w:t>
      </w:r>
    </w:p>
    <w:p w14:paraId="0118B7A4" w14:textId="77777777" w:rsidR="00DA3724" w:rsidRDefault="00DA3724" w:rsidP="00E75250">
      <w:pPr>
        <w:pStyle w:val="ListParagraph"/>
        <w:numPr>
          <w:ilvl w:val="0"/>
          <w:numId w:val="22"/>
        </w:numPr>
        <w:rPr>
          <w:sz w:val="20"/>
          <w:szCs w:val="20"/>
        </w:rPr>
      </w:pPr>
      <w:r>
        <w:rPr>
          <w:sz w:val="20"/>
          <w:szCs w:val="20"/>
        </w:rPr>
        <w:t>Evidence interactions with product providers</w:t>
      </w:r>
    </w:p>
    <w:p w14:paraId="1D9186DE" w14:textId="5CFAB794" w:rsidR="00DA3724" w:rsidRDefault="00DA3724" w:rsidP="00E75250">
      <w:pPr>
        <w:pStyle w:val="ListParagraph"/>
        <w:numPr>
          <w:ilvl w:val="0"/>
          <w:numId w:val="22"/>
        </w:numPr>
        <w:rPr>
          <w:sz w:val="20"/>
          <w:szCs w:val="20"/>
        </w:rPr>
      </w:pPr>
      <w:r>
        <w:rPr>
          <w:sz w:val="20"/>
          <w:szCs w:val="20"/>
        </w:rPr>
        <w:t xml:space="preserve">Evidence interactions with other professionals in support of your client’s affairs </w:t>
      </w:r>
    </w:p>
    <w:p w14:paraId="644890E1" w14:textId="070E3B1B" w:rsidR="00E75250" w:rsidRDefault="00E75250" w:rsidP="00E75250">
      <w:pPr>
        <w:pStyle w:val="ListParagraph"/>
        <w:numPr>
          <w:ilvl w:val="0"/>
          <w:numId w:val="22"/>
        </w:numPr>
        <w:rPr>
          <w:sz w:val="20"/>
          <w:szCs w:val="20"/>
        </w:rPr>
      </w:pPr>
      <w:r>
        <w:rPr>
          <w:sz w:val="20"/>
          <w:szCs w:val="20"/>
        </w:rPr>
        <w:t>Support the provision of ongoing service</w:t>
      </w:r>
    </w:p>
    <w:bookmarkEnd w:id="29"/>
    <w:p w14:paraId="580FC786" w14:textId="5356D741" w:rsidR="00E75250" w:rsidRDefault="00E75250" w:rsidP="00E75250">
      <w:pPr>
        <w:rPr>
          <w:sz w:val="20"/>
          <w:szCs w:val="20"/>
        </w:rPr>
      </w:pPr>
    </w:p>
    <w:p w14:paraId="458CAC15" w14:textId="05403392" w:rsidR="00E75250" w:rsidRDefault="00E75250" w:rsidP="00E75250">
      <w:pPr>
        <w:rPr>
          <w:sz w:val="20"/>
          <w:szCs w:val="20"/>
        </w:rPr>
      </w:pPr>
      <w:bookmarkStart w:id="31" w:name="_Hlk531159603"/>
      <w:r>
        <w:rPr>
          <w:sz w:val="20"/>
          <w:szCs w:val="20"/>
        </w:rPr>
        <w:t xml:space="preserve">File note formats can include: rough notes, templated notes, </w:t>
      </w:r>
      <w:r w:rsidR="00A21E3D">
        <w:rPr>
          <w:sz w:val="20"/>
          <w:szCs w:val="20"/>
        </w:rPr>
        <w:t xml:space="preserve">calculations, diagrams, </w:t>
      </w:r>
      <w:r>
        <w:rPr>
          <w:sz w:val="20"/>
          <w:szCs w:val="20"/>
        </w:rPr>
        <w:t xml:space="preserve">emails, letters &amp; </w:t>
      </w:r>
      <w:r w:rsidR="00A21E3D">
        <w:rPr>
          <w:sz w:val="20"/>
          <w:szCs w:val="20"/>
        </w:rPr>
        <w:t>client/3</w:t>
      </w:r>
      <w:r w:rsidR="00A21E3D" w:rsidRPr="00A21E3D">
        <w:rPr>
          <w:sz w:val="20"/>
          <w:szCs w:val="20"/>
          <w:vertAlign w:val="superscript"/>
        </w:rPr>
        <w:t>rd</w:t>
      </w:r>
      <w:r w:rsidR="00A21E3D">
        <w:rPr>
          <w:sz w:val="20"/>
          <w:szCs w:val="20"/>
        </w:rPr>
        <w:t xml:space="preserve"> party</w:t>
      </w:r>
      <w:r>
        <w:rPr>
          <w:sz w:val="20"/>
          <w:szCs w:val="20"/>
        </w:rPr>
        <w:t xml:space="preserve"> documentation.</w:t>
      </w:r>
    </w:p>
    <w:p w14:paraId="4476B34D" w14:textId="18C96E69" w:rsidR="00E75250" w:rsidRDefault="00E75250" w:rsidP="00E75250">
      <w:pPr>
        <w:rPr>
          <w:sz w:val="20"/>
          <w:szCs w:val="20"/>
        </w:rPr>
      </w:pPr>
    </w:p>
    <w:p w14:paraId="029D7908" w14:textId="19CDBACC" w:rsidR="00E75250" w:rsidRDefault="00E75250" w:rsidP="00E75250">
      <w:pPr>
        <w:rPr>
          <w:sz w:val="20"/>
          <w:szCs w:val="20"/>
        </w:rPr>
      </w:pPr>
      <w:r>
        <w:rPr>
          <w:sz w:val="20"/>
          <w:szCs w:val="20"/>
        </w:rPr>
        <w:t xml:space="preserve">Typically, file notes should be </w:t>
      </w:r>
      <w:r w:rsidR="00DA3724">
        <w:rPr>
          <w:sz w:val="20"/>
          <w:szCs w:val="20"/>
        </w:rPr>
        <w:t xml:space="preserve">sprinkled liberally </w:t>
      </w:r>
      <w:r>
        <w:rPr>
          <w:sz w:val="20"/>
          <w:szCs w:val="20"/>
        </w:rPr>
        <w:t>throughout the client file</w:t>
      </w:r>
      <w:r w:rsidR="00DA3724">
        <w:rPr>
          <w:sz w:val="20"/>
          <w:szCs w:val="20"/>
        </w:rPr>
        <w:t>.</w:t>
      </w:r>
    </w:p>
    <w:p w14:paraId="0483DF3B" w14:textId="521799F9" w:rsidR="00DA3724" w:rsidRDefault="00DA3724" w:rsidP="00E75250">
      <w:pPr>
        <w:rPr>
          <w:sz w:val="20"/>
          <w:szCs w:val="20"/>
        </w:rPr>
      </w:pPr>
    </w:p>
    <w:p w14:paraId="6E7AC07E" w14:textId="4379FB68" w:rsidR="00DA3724" w:rsidRDefault="00DA3724" w:rsidP="00E75250">
      <w:pPr>
        <w:rPr>
          <w:sz w:val="20"/>
          <w:szCs w:val="20"/>
        </w:rPr>
      </w:pPr>
      <w:r>
        <w:rPr>
          <w:sz w:val="20"/>
          <w:szCs w:val="20"/>
        </w:rPr>
        <w:t>If a file noted matter is significant, or anticipated to be evidence in a potential dispute:</w:t>
      </w:r>
    </w:p>
    <w:p w14:paraId="340994F7" w14:textId="6E4B89BE" w:rsidR="00E64DF8" w:rsidRDefault="00DA3724" w:rsidP="00DA3724">
      <w:pPr>
        <w:pStyle w:val="ListParagraph"/>
        <w:numPr>
          <w:ilvl w:val="0"/>
          <w:numId w:val="22"/>
        </w:numPr>
        <w:rPr>
          <w:sz w:val="20"/>
          <w:szCs w:val="20"/>
        </w:rPr>
      </w:pPr>
      <w:r>
        <w:rPr>
          <w:sz w:val="20"/>
          <w:szCs w:val="20"/>
        </w:rPr>
        <w:t xml:space="preserve">It must be </w:t>
      </w:r>
      <w:r w:rsidR="00E64DF8">
        <w:rPr>
          <w:sz w:val="20"/>
          <w:szCs w:val="20"/>
        </w:rPr>
        <w:t xml:space="preserve">as </w:t>
      </w:r>
      <w:r>
        <w:rPr>
          <w:sz w:val="20"/>
          <w:szCs w:val="20"/>
        </w:rPr>
        <w:t>current</w:t>
      </w:r>
      <w:r w:rsidR="00E64DF8">
        <w:rPr>
          <w:sz w:val="20"/>
          <w:szCs w:val="20"/>
        </w:rPr>
        <w:t xml:space="preserve"> as possible</w:t>
      </w:r>
      <w:r>
        <w:rPr>
          <w:sz w:val="20"/>
          <w:szCs w:val="20"/>
        </w:rPr>
        <w:t xml:space="preserve">.  </w:t>
      </w:r>
    </w:p>
    <w:p w14:paraId="39AEAD02" w14:textId="59913E22" w:rsidR="00DA3724" w:rsidRDefault="00DA3724" w:rsidP="00E64DF8">
      <w:pPr>
        <w:pStyle w:val="ListParagraph"/>
        <w:ind w:left="1146"/>
        <w:rPr>
          <w:sz w:val="20"/>
          <w:szCs w:val="20"/>
        </w:rPr>
      </w:pPr>
      <w:r>
        <w:rPr>
          <w:sz w:val="20"/>
          <w:szCs w:val="20"/>
        </w:rPr>
        <w:t>This helps to support the accuracy of the adviser’s memory of events</w:t>
      </w:r>
    </w:p>
    <w:p w14:paraId="2F6EAAA0" w14:textId="3F34E619" w:rsidR="00DA3724" w:rsidRDefault="00DA3724" w:rsidP="00DA3724">
      <w:pPr>
        <w:pStyle w:val="ListParagraph"/>
        <w:numPr>
          <w:ilvl w:val="0"/>
          <w:numId w:val="22"/>
        </w:numPr>
        <w:rPr>
          <w:sz w:val="20"/>
          <w:szCs w:val="20"/>
        </w:rPr>
      </w:pPr>
      <w:r>
        <w:rPr>
          <w:sz w:val="20"/>
          <w:szCs w:val="20"/>
        </w:rPr>
        <w:t xml:space="preserve">It must be comprehensive. </w:t>
      </w:r>
    </w:p>
    <w:p w14:paraId="6B6C233F" w14:textId="1CD1DD01" w:rsidR="00DA3724" w:rsidRDefault="00DA3724" w:rsidP="00DA3724">
      <w:pPr>
        <w:rPr>
          <w:sz w:val="20"/>
          <w:szCs w:val="20"/>
        </w:rPr>
      </w:pPr>
    </w:p>
    <w:p w14:paraId="3A18271C" w14:textId="0842CD04" w:rsidR="00DA3724" w:rsidRDefault="00DA3724" w:rsidP="00DA3724">
      <w:pPr>
        <w:rPr>
          <w:sz w:val="20"/>
          <w:szCs w:val="20"/>
        </w:rPr>
      </w:pPr>
      <w:r>
        <w:rPr>
          <w:sz w:val="20"/>
          <w:szCs w:val="20"/>
        </w:rPr>
        <w:t>In any situation, file notes are best:</w:t>
      </w:r>
    </w:p>
    <w:p w14:paraId="206ED1CA" w14:textId="77777777" w:rsidR="00E64DF8" w:rsidRDefault="00DA3724" w:rsidP="00DA3724">
      <w:pPr>
        <w:pStyle w:val="ListParagraph"/>
        <w:numPr>
          <w:ilvl w:val="0"/>
          <w:numId w:val="22"/>
        </w:numPr>
        <w:rPr>
          <w:sz w:val="20"/>
          <w:szCs w:val="20"/>
        </w:rPr>
      </w:pPr>
      <w:r>
        <w:rPr>
          <w:sz w:val="20"/>
          <w:szCs w:val="20"/>
        </w:rPr>
        <w:t>dated</w:t>
      </w:r>
      <w:r w:rsidR="0094798F">
        <w:rPr>
          <w:sz w:val="20"/>
          <w:szCs w:val="20"/>
        </w:rPr>
        <w:t xml:space="preserve"> </w:t>
      </w:r>
    </w:p>
    <w:p w14:paraId="3191892E" w14:textId="1DC16C92" w:rsidR="00DA3724" w:rsidRDefault="0094798F" w:rsidP="00E64DF8">
      <w:pPr>
        <w:pStyle w:val="ListParagraph"/>
        <w:ind w:left="1146"/>
        <w:rPr>
          <w:sz w:val="20"/>
          <w:szCs w:val="20"/>
        </w:rPr>
      </w:pPr>
      <w:r>
        <w:rPr>
          <w:sz w:val="20"/>
          <w:szCs w:val="20"/>
        </w:rPr>
        <w:t>(when they were produced; or when they were read/filed; or when they were actioned)</w:t>
      </w:r>
    </w:p>
    <w:p w14:paraId="15F0C0A9" w14:textId="7AFECD78" w:rsidR="00E64DF8" w:rsidRDefault="00E64DF8" w:rsidP="00DA3724">
      <w:pPr>
        <w:pStyle w:val="ListParagraph"/>
        <w:numPr>
          <w:ilvl w:val="0"/>
          <w:numId w:val="22"/>
        </w:numPr>
        <w:rPr>
          <w:sz w:val="20"/>
          <w:szCs w:val="20"/>
        </w:rPr>
      </w:pPr>
      <w:r>
        <w:rPr>
          <w:sz w:val="20"/>
          <w:szCs w:val="20"/>
        </w:rPr>
        <w:t xml:space="preserve">time </w:t>
      </w:r>
      <w:r w:rsidR="005A0212">
        <w:rPr>
          <w:sz w:val="20"/>
          <w:szCs w:val="20"/>
        </w:rPr>
        <w:t>stamped _ manually or otherwise (optional)</w:t>
      </w:r>
    </w:p>
    <w:p w14:paraId="1D497E14" w14:textId="1C1D697C" w:rsidR="00E64DF8" w:rsidRDefault="00E64DF8" w:rsidP="00E64DF8">
      <w:pPr>
        <w:pStyle w:val="ListParagraph"/>
        <w:ind w:left="1146"/>
        <w:rPr>
          <w:sz w:val="20"/>
          <w:szCs w:val="20"/>
        </w:rPr>
      </w:pPr>
      <w:r>
        <w:rPr>
          <w:sz w:val="20"/>
          <w:szCs w:val="20"/>
        </w:rPr>
        <w:t>(when the</w:t>
      </w:r>
      <w:r w:rsidR="005A0212">
        <w:rPr>
          <w:sz w:val="20"/>
          <w:szCs w:val="20"/>
        </w:rPr>
        <w:t>se notes</w:t>
      </w:r>
      <w:r>
        <w:rPr>
          <w:sz w:val="20"/>
          <w:szCs w:val="20"/>
        </w:rPr>
        <w:t xml:space="preserve"> were produced by the Adviser</w:t>
      </w:r>
      <w:r w:rsidR="005A0212">
        <w:rPr>
          <w:sz w:val="20"/>
          <w:szCs w:val="20"/>
        </w:rPr>
        <w:t>)</w:t>
      </w:r>
      <w:r>
        <w:rPr>
          <w:sz w:val="20"/>
          <w:szCs w:val="20"/>
        </w:rPr>
        <w:t xml:space="preserve"> </w:t>
      </w:r>
    </w:p>
    <w:p w14:paraId="3A7208C5" w14:textId="77777777" w:rsidR="00E64DF8" w:rsidRDefault="00DA3724" w:rsidP="00DA3724">
      <w:pPr>
        <w:pStyle w:val="ListParagraph"/>
        <w:numPr>
          <w:ilvl w:val="0"/>
          <w:numId w:val="22"/>
        </w:numPr>
        <w:rPr>
          <w:sz w:val="20"/>
          <w:szCs w:val="20"/>
        </w:rPr>
      </w:pPr>
      <w:r>
        <w:rPr>
          <w:sz w:val="20"/>
          <w:szCs w:val="20"/>
        </w:rPr>
        <w:t xml:space="preserve">initialled </w:t>
      </w:r>
    </w:p>
    <w:p w14:paraId="4C8A0D33" w14:textId="1ECD0629" w:rsidR="00DA3724" w:rsidRDefault="00DA3724" w:rsidP="00E64DF8">
      <w:pPr>
        <w:pStyle w:val="ListParagraph"/>
        <w:ind w:left="1146"/>
        <w:rPr>
          <w:sz w:val="20"/>
          <w:szCs w:val="20"/>
        </w:rPr>
      </w:pPr>
      <w:r>
        <w:rPr>
          <w:sz w:val="20"/>
          <w:szCs w:val="20"/>
        </w:rPr>
        <w:t>(to evidence that 3</w:t>
      </w:r>
      <w:r w:rsidRPr="00DA3724">
        <w:rPr>
          <w:sz w:val="20"/>
          <w:szCs w:val="20"/>
          <w:vertAlign w:val="superscript"/>
        </w:rPr>
        <w:t>rd</w:t>
      </w:r>
      <w:r>
        <w:rPr>
          <w:sz w:val="20"/>
          <w:szCs w:val="20"/>
        </w:rPr>
        <w:t xml:space="preserve"> party communications have been noted</w:t>
      </w:r>
      <w:r w:rsidR="0094798F">
        <w:rPr>
          <w:sz w:val="20"/>
          <w:szCs w:val="20"/>
        </w:rPr>
        <w:t xml:space="preserve"> by the Adviser</w:t>
      </w:r>
      <w:r>
        <w:rPr>
          <w:sz w:val="20"/>
          <w:szCs w:val="20"/>
        </w:rPr>
        <w:t xml:space="preserve"> and/or actioned)</w:t>
      </w:r>
      <w:r w:rsidR="0094798F">
        <w:rPr>
          <w:sz w:val="20"/>
          <w:szCs w:val="20"/>
        </w:rPr>
        <w:t>. This is particularly important if administrative staff are involved in maintaining a client file.</w:t>
      </w:r>
    </w:p>
    <w:p w14:paraId="501B009B" w14:textId="636FEFE5" w:rsidR="00DA3724" w:rsidRDefault="00DA3724" w:rsidP="00DA3724">
      <w:pPr>
        <w:rPr>
          <w:sz w:val="20"/>
          <w:szCs w:val="20"/>
        </w:rPr>
      </w:pPr>
    </w:p>
    <w:p w14:paraId="27DB3D31" w14:textId="77777777" w:rsidR="0094798F" w:rsidRDefault="00DA3724" w:rsidP="00DA3724">
      <w:pPr>
        <w:rPr>
          <w:sz w:val="20"/>
          <w:szCs w:val="20"/>
        </w:rPr>
      </w:pPr>
      <w:r>
        <w:rPr>
          <w:sz w:val="20"/>
          <w:szCs w:val="20"/>
        </w:rPr>
        <w:t>If a file note has been produced</w:t>
      </w:r>
      <w:r w:rsidR="0094798F">
        <w:rPr>
          <w:sz w:val="20"/>
          <w:szCs w:val="20"/>
        </w:rPr>
        <w:t xml:space="preserve"> </w:t>
      </w:r>
      <w:r>
        <w:rPr>
          <w:sz w:val="20"/>
          <w:szCs w:val="20"/>
        </w:rPr>
        <w:t>after the date to which it refers, it must not be back-dated.</w:t>
      </w:r>
      <w:r w:rsidR="0094798F">
        <w:rPr>
          <w:sz w:val="20"/>
          <w:szCs w:val="20"/>
        </w:rPr>
        <w:t xml:space="preserve"> </w:t>
      </w:r>
    </w:p>
    <w:p w14:paraId="1B09D5F6" w14:textId="77777777" w:rsidR="0094798F" w:rsidRDefault="0094798F" w:rsidP="00DA3724">
      <w:pPr>
        <w:rPr>
          <w:sz w:val="20"/>
          <w:szCs w:val="20"/>
        </w:rPr>
      </w:pPr>
    </w:p>
    <w:p w14:paraId="58531B7A" w14:textId="641F4379" w:rsidR="00DA3724" w:rsidRPr="00DA3724" w:rsidRDefault="0094798F" w:rsidP="00DA3724">
      <w:pPr>
        <w:rPr>
          <w:sz w:val="20"/>
          <w:szCs w:val="20"/>
        </w:rPr>
      </w:pPr>
      <w:r>
        <w:rPr>
          <w:sz w:val="20"/>
          <w:szCs w:val="20"/>
        </w:rPr>
        <w:t xml:space="preserve">Strong file notes, that can be shown to be a </w:t>
      </w:r>
      <w:r w:rsidRPr="00E07CD7">
        <w:rPr>
          <w:sz w:val="20"/>
          <w:szCs w:val="20"/>
          <w:u w:val="single"/>
        </w:rPr>
        <w:t>routine</w:t>
      </w:r>
      <w:r>
        <w:rPr>
          <w:sz w:val="20"/>
          <w:szCs w:val="20"/>
        </w:rPr>
        <w:t xml:space="preserve"> part of your advice process, are a strong submission in your defence should a dispute arise.  </w:t>
      </w:r>
      <w:r w:rsidR="00DA3724">
        <w:rPr>
          <w:sz w:val="20"/>
          <w:szCs w:val="20"/>
        </w:rPr>
        <w:t xml:space="preserve"> </w:t>
      </w:r>
    </w:p>
    <w:bookmarkEnd w:id="31"/>
    <w:p w14:paraId="5BA95DAA" w14:textId="77777777" w:rsidR="00AE526D" w:rsidRDefault="00AE526D" w:rsidP="00947BC6">
      <w:pPr>
        <w:ind w:left="1560" w:hanging="142"/>
        <w:rPr>
          <w:sz w:val="20"/>
          <w:szCs w:val="20"/>
        </w:rPr>
      </w:pPr>
    </w:p>
    <w:p w14:paraId="36839B0C" w14:textId="1623488D" w:rsidR="00DF3B7A" w:rsidRDefault="00EB0242" w:rsidP="00CA5046">
      <w:pPr>
        <w:pStyle w:val="Heading2"/>
        <w:rPr>
          <w:rFonts w:eastAsia="Times New Roman"/>
          <w:b/>
          <w:sz w:val="28"/>
          <w:szCs w:val="28"/>
        </w:rPr>
      </w:pPr>
      <w:bookmarkStart w:id="32" w:name="_Toc36642383"/>
      <w:r>
        <w:rPr>
          <w:rFonts w:eastAsia="Times New Roman"/>
          <w:b/>
          <w:sz w:val="28"/>
          <w:szCs w:val="28"/>
        </w:rPr>
        <w:t>Financial Services Guide</w:t>
      </w:r>
      <w:bookmarkEnd w:id="32"/>
    </w:p>
    <w:p w14:paraId="37D716D0" w14:textId="62A302C4" w:rsidR="00DF3B7A" w:rsidRDefault="00DF3B7A" w:rsidP="00DF3B7A"/>
    <w:p w14:paraId="22AE063A" w14:textId="76A96BFB" w:rsidR="00EB0242" w:rsidRPr="00120ECE" w:rsidRDefault="00EB0242" w:rsidP="00DF3B7A">
      <w:pPr>
        <w:rPr>
          <w:sz w:val="20"/>
          <w:szCs w:val="20"/>
        </w:rPr>
      </w:pPr>
      <w:r w:rsidRPr="00120ECE">
        <w:rPr>
          <w:sz w:val="20"/>
          <w:szCs w:val="20"/>
        </w:rPr>
        <w:t>When a new prospect meets with you for the first time, the current FSG issued by the Licensee must be provided. This must be recorded on the prospect file.</w:t>
      </w:r>
    </w:p>
    <w:p w14:paraId="0925C6EE" w14:textId="094D6125" w:rsidR="00EB0242" w:rsidRPr="00120ECE" w:rsidRDefault="00EB0242" w:rsidP="00DF3B7A">
      <w:pPr>
        <w:rPr>
          <w:sz w:val="20"/>
          <w:szCs w:val="20"/>
        </w:rPr>
      </w:pPr>
    </w:p>
    <w:p w14:paraId="78948342" w14:textId="395C710F" w:rsidR="00EB0242" w:rsidRPr="00120ECE" w:rsidRDefault="00EB0242" w:rsidP="00DF3B7A">
      <w:pPr>
        <w:rPr>
          <w:sz w:val="20"/>
          <w:szCs w:val="20"/>
        </w:rPr>
      </w:pPr>
      <w:r w:rsidRPr="00120ECE">
        <w:rPr>
          <w:sz w:val="20"/>
          <w:szCs w:val="20"/>
        </w:rPr>
        <w:t xml:space="preserve">When an existing client has a fresh </w:t>
      </w:r>
      <w:r w:rsidR="00120ECE">
        <w:rPr>
          <w:sz w:val="20"/>
          <w:szCs w:val="20"/>
        </w:rPr>
        <w:t xml:space="preserve">‘advice’ or ‘advice service’ </w:t>
      </w:r>
      <w:r w:rsidRPr="00120ECE">
        <w:rPr>
          <w:sz w:val="20"/>
          <w:szCs w:val="20"/>
        </w:rPr>
        <w:t>interaction with you, and they have not yet received the FSG that is current at that time, this newer FSG must be provided. This must be recorded on the client file.</w:t>
      </w:r>
    </w:p>
    <w:p w14:paraId="103E9CD7" w14:textId="4D13A43E" w:rsidR="00EB0242" w:rsidRPr="00120ECE" w:rsidRDefault="00EB0242" w:rsidP="00DF3B7A">
      <w:pPr>
        <w:rPr>
          <w:sz w:val="20"/>
          <w:szCs w:val="20"/>
        </w:rPr>
      </w:pPr>
    </w:p>
    <w:p w14:paraId="0590CAF3" w14:textId="1793D1ED" w:rsidR="00EB0242" w:rsidRPr="00120ECE" w:rsidRDefault="00EB0242" w:rsidP="00DF3B7A">
      <w:pPr>
        <w:rPr>
          <w:sz w:val="20"/>
          <w:szCs w:val="20"/>
        </w:rPr>
      </w:pPr>
      <w:r w:rsidRPr="00120ECE">
        <w:rPr>
          <w:sz w:val="20"/>
          <w:szCs w:val="20"/>
        </w:rPr>
        <w:t>A ‘fresh interaction’ may be understood to be a meeting, phone call, exchange of emails,</w:t>
      </w:r>
      <w:r w:rsidR="00AD3F81" w:rsidRPr="00120ECE">
        <w:rPr>
          <w:sz w:val="20"/>
          <w:szCs w:val="20"/>
        </w:rPr>
        <w:t xml:space="preserve"> provision of a </w:t>
      </w:r>
      <w:r w:rsidRPr="00120ECE">
        <w:rPr>
          <w:sz w:val="20"/>
          <w:szCs w:val="20"/>
        </w:rPr>
        <w:t xml:space="preserve">portfolio </w:t>
      </w:r>
      <w:r w:rsidR="00640877" w:rsidRPr="00120ECE">
        <w:rPr>
          <w:sz w:val="20"/>
          <w:szCs w:val="20"/>
        </w:rPr>
        <w:t>valuation …</w:t>
      </w:r>
      <w:r w:rsidRPr="00120ECE">
        <w:rPr>
          <w:sz w:val="20"/>
          <w:szCs w:val="20"/>
        </w:rPr>
        <w:t xml:space="preserve"> </w:t>
      </w:r>
      <w:r w:rsidR="00AD3F81" w:rsidRPr="00120ECE">
        <w:rPr>
          <w:sz w:val="20"/>
          <w:szCs w:val="20"/>
        </w:rPr>
        <w:t xml:space="preserve">associated </w:t>
      </w:r>
      <w:r w:rsidRPr="00120ECE">
        <w:rPr>
          <w:sz w:val="20"/>
          <w:szCs w:val="20"/>
        </w:rPr>
        <w:t xml:space="preserve">with the actual giving </w:t>
      </w:r>
      <w:r w:rsidR="00AD3F81" w:rsidRPr="00120ECE">
        <w:rPr>
          <w:sz w:val="20"/>
          <w:szCs w:val="20"/>
        </w:rPr>
        <w:t xml:space="preserve">of </w:t>
      </w:r>
      <w:r w:rsidRPr="00120ECE">
        <w:rPr>
          <w:sz w:val="20"/>
          <w:szCs w:val="20"/>
        </w:rPr>
        <w:t xml:space="preserve">advice, or in anticipation of giving advice or </w:t>
      </w:r>
      <w:r w:rsidR="005B4F8E" w:rsidRPr="00120ECE">
        <w:rPr>
          <w:sz w:val="20"/>
          <w:szCs w:val="20"/>
        </w:rPr>
        <w:t xml:space="preserve">facilitating the </w:t>
      </w:r>
      <w:r w:rsidRPr="00120ECE">
        <w:rPr>
          <w:sz w:val="20"/>
          <w:szCs w:val="20"/>
        </w:rPr>
        <w:t>implement</w:t>
      </w:r>
      <w:r w:rsidR="005B4F8E" w:rsidRPr="00120ECE">
        <w:rPr>
          <w:sz w:val="20"/>
          <w:szCs w:val="20"/>
        </w:rPr>
        <w:t>ation of</w:t>
      </w:r>
      <w:r w:rsidRPr="00120ECE">
        <w:rPr>
          <w:sz w:val="20"/>
          <w:szCs w:val="20"/>
        </w:rPr>
        <w:t xml:space="preserve"> advice already given.</w:t>
      </w:r>
    </w:p>
    <w:p w14:paraId="52130ED8" w14:textId="77777777" w:rsidR="005B4F8E" w:rsidRPr="00120ECE" w:rsidRDefault="005B4F8E" w:rsidP="00DF3B7A">
      <w:pPr>
        <w:rPr>
          <w:sz w:val="20"/>
          <w:szCs w:val="20"/>
        </w:rPr>
      </w:pPr>
    </w:p>
    <w:p w14:paraId="41BC7F8D" w14:textId="77777777" w:rsidR="00120ECE" w:rsidRDefault="00EB0242" w:rsidP="00DF3B7A">
      <w:pPr>
        <w:rPr>
          <w:sz w:val="20"/>
          <w:szCs w:val="20"/>
        </w:rPr>
      </w:pPr>
      <w:r w:rsidRPr="00120ECE">
        <w:rPr>
          <w:sz w:val="20"/>
          <w:szCs w:val="20"/>
        </w:rPr>
        <w:t>It is not required to be supplied in a non-advice context</w:t>
      </w:r>
      <w:r w:rsidR="005B4F8E" w:rsidRPr="00120ECE">
        <w:rPr>
          <w:sz w:val="20"/>
          <w:szCs w:val="20"/>
        </w:rPr>
        <w:t xml:space="preserve">.  </w:t>
      </w:r>
    </w:p>
    <w:p w14:paraId="16BEF2D2" w14:textId="2A6A0E8A" w:rsidR="005B4F8E" w:rsidRPr="00120ECE" w:rsidRDefault="005B4F8E" w:rsidP="00DF3B7A">
      <w:pPr>
        <w:rPr>
          <w:sz w:val="20"/>
          <w:szCs w:val="20"/>
        </w:rPr>
      </w:pPr>
      <w:r w:rsidRPr="00120ECE">
        <w:rPr>
          <w:sz w:val="20"/>
          <w:szCs w:val="20"/>
        </w:rPr>
        <w:t>For example:</w:t>
      </w:r>
    </w:p>
    <w:p w14:paraId="2892DA7D" w14:textId="77777777" w:rsidR="005B4F8E" w:rsidRPr="00120ECE" w:rsidRDefault="005B4F8E" w:rsidP="00120ECE">
      <w:pPr>
        <w:ind w:left="720"/>
        <w:rPr>
          <w:sz w:val="20"/>
          <w:szCs w:val="20"/>
        </w:rPr>
      </w:pPr>
      <w:r w:rsidRPr="00120ECE">
        <w:rPr>
          <w:sz w:val="20"/>
          <w:szCs w:val="20"/>
        </w:rPr>
        <w:t>-</w:t>
      </w:r>
      <w:r w:rsidR="00EB0242" w:rsidRPr="00120ECE">
        <w:rPr>
          <w:sz w:val="20"/>
          <w:szCs w:val="20"/>
        </w:rPr>
        <w:t xml:space="preserve"> a periodic Newsletter is supplied as part of a service agreement.</w:t>
      </w:r>
      <w:r w:rsidRPr="00120ECE">
        <w:rPr>
          <w:sz w:val="20"/>
          <w:szCs w:val="20"/>
        </w:rPr>
        <w:t xml:space="preserve"> </w:t>
      </w:r>
    </w:p>
    <w:p w14:paraId="5D879F14" w14:textId="5FD9D0A5" w:rsidR="00EB0242" w:rsidRPr="00120ECE" w:rsidRDefault="005B4F8E" w:rsidP="00120ECE">
      <w:pPr>
        <w:ind w:left="720"/>
        <w:rPr>
          <w:sz w:val="20"/>
          <w:szCs w:val="20"/>
        </w:rPr>
      </w:pPr>
      <w:r w:rsidRPr="00120ECE">
        <w:rPr>
          <w:sz w:val="20"/>
          <w:szCs w:val="20"/>
        </w:rPr>
        <w:t xml:space="preserve">- you simply </w:t>
      </w:r>
      <w:proofErr w:type="spellStart"/>
      <w:r w:rsidRPr="00120ECE">
        <w:rPr>
          <w:sz w:val="20"/>
          <w:szCs w:val="20"/>
        </w:rPr>
        <w:t>onsend</w:t>
      </w:r>
      <w:proofErr w:type="spellEnd"/>
      <w:r w:rsidRPr="00120ECE">
        <w:rPr>
          <w:sz w:val="20"/>
          <w:szCs w:val="20"/>
        </w:rPr>
        <w:t xml:space="preserve"> a copy of a product provider’s acknowledgement of a new account.</w:t>
      </w:r>
    </w:p>
    <w:p w14:paraId="4D05DB5A" w14:textId="74BCDB31" w:rsidR="00EB0242" w:rsidRPr="00120ECE" w:rsidRDefault="00EB0242" w:rsidP="00DF3B7A">
      <w:pPr>
        <w:rPr>
          <w:sz w:val="20"/>
          <w:szCs w:val="20"/>
        </w:rPr>
      </w:pPr>
    </w:p>
    <w:p w14:paraId="0C31DC4B" w14:textId="2D1456A6" w:rsidR="00EB0242" w:rsidRPr="00120ECE" w:rsidRDefault="00EB0242" w:rsidP="00DF3B7A">
      <w:pPr>
        <w:rPr>
          <w:sz w:val="20"/>
          <w:szCs w:val="20"/>
        </w:rPr>
      </w:pPr>
      <w:r w:rsidRPr="00120ECE">
        <w:rPr>
          <w:sz w:val="20"/>
          <w:szCs w:val="20"/>
        </w:rPr>
        <w:t>If fee</w:t>
      </w:r>
      <w:r w:rsidR="00640877" w:rsidRPr="00120ECE">
        <w:rPr>
          <w:sz w:val="20"/>
          <w:szCs w:val="20"/>
        </w:rPr>
        <w:t xml:space="preserve">s (FDS, renewal notice) are the source of the interaction, then </w:t>
      </w:r>
      <w:proofErr w:type="gramStart"/>
      <w:r w:rsidR="00640877" w:rsidRPr="00120ECE">
        <w:rPr>
          <w:sz w:val="20"/>
          <w:szCs w:val="20"/>
        </w:rPr>
        <w:t>a</w:t>
      </w:r>
      <w:proofErr w:type="gramEnd"/>
      <w:r w:rsidR="00640877" w:rsidRPr="00120ECE">
        <w:rPr>
          <w:sz w:val="20"/>
          <w:szCs w:val="20"/>
        </w:rPr>
        <w:t xml:space="preserve"> FSG must be provided. This must be recorded on the client file.</w:t>
      </w:r>
    </w:p>
    <w:p w14:paraId="7CD88623" w14:textId="77777777" w:rsidR="00EB0242" w:rsidRPr="00DF3B7A" w:rsidRDefault="00EB0242" w:rsidP="00DF3B7A"/>
    <w:p w14:paraId="5003976C" w14:textId="2E601147" w:rsidR="00CA5046" w:rsidRPr="00CA5046" w:rsidRDefault="00CA5046" w:rsidP="00CA5046">
      <w:pPr>
        <w:pStyle w:val="Heading2"/>
        <w:rPr>
          <w:rFonts w:eastAsia="Times New Roman"/>
          <w:b/>
          <w:sz w:val="28"/>
          <w:szCs w:val="28"/>
        </w:rPr>
      </w:pPr>
      <w:bookmarkStart w:id="33" w:name="_Toc36642384"/>
      <w:r w:rsidRPr="00CA5046">
        <w:rPr>
          <w:rFonts w:eastAsia="Times New Roman"/>
          <w:b/>
          <w:sz w:val="28"/>
          <w:szCs w:val="28"/>
        </w:rPr>
        <w:t>Record of Advice</w:t>
      </w:r>
      <w:bookmarkEnd w:id="33"/>
    </w:p>
    <w:p w14:paraId="31C708E5" w14:textId="77777777" w:rsidR="00CA5046" w:rsidRDefault="00CA5046" w:rsidP="00947BC6">
      <w:pPr>
        <w:ind w:left="1560" w:hanging="142"/>
        <w:rPr>
          <w:sz w:val="20"/>
          <w:szCs w:val="20"/>
        </w:rPr>
      </w:pPr>
    </w:p>
    <w:p w14:paraId="3092FFA7" w14:textId="04B882BE" w:rsidR="00CA5046" w:rsidRPr="00CA5046" w:rsidRDefault="00CA5046" w:rsidP="00CA5046">
      <w:pPr>
        <w:pStyle w:val="Default"/>
        <w:rPr>
          <w:sz w:val="22"/>
          <w:szCs w:val="22"/>
        </w:rPr>
      </w:pPr>
      <w:r w:rsidRPr="00CA5046">
        <w:rPr>
          <w:sz w:val="22"/>
          <w:szCs w:val="22"/>
        </w:rPr>
        <w:t xml:space="preserve">Use </w:t>
      </w:r>
      <w:proofErr w:type="spellStart"/>
      <w:r w:rsidRPr="00CA5046">
        <w:rPr>
          <w:i/>
          <w:sz w:val="22"/>
          <w:szCs w:val="22"/>
        </w:rPr>
        <w:t>InterPrac</w:t>
      </w:r>
      <w:proofErr w:type="spellEnd"/>
      <w:r w:rsidRPr="00CA5046">
        <w:rPr>
          <w:i/>
          <w:sz w:val="22"/>
          <w:szCs w:val="22"/>
        </w:rPr>
        <w:t xml:space="preserve"> Record of Advice (ROA) - &lt;Date&gt; (word)</w:t>
      </w:r>
      <w:r>
        <w:rPr>
          <w:sz w:val="22"/>
          <w:szCs w:val="22"/>
        </w:rPr>
        <w:t xml:space="preserve"> </w:t>
      </w:r>
      <w:r w:rsidRPr="00CA5046">
        <w:rPr>
          <w:sz w:val="22"/>
          <w:szCs w:val="22"/>
        </w:rPr>
        <w:t>template.</w:t>
      </w:r>
    </w:p>
    <w:p w14:paraId="1E18F3D5" w14:textId="3B103AA3" w:rsidR="00947BC6" w:rsidRDefault="00947BC6" w:rsidP="00947BC6">
      <w:pPr>
        <w:ind w:left="1560" w:hanging="142"/>
        <w:rPr>
          <w:sz w:val="20"/>
          <w:szCs w:val="20"/>
        </w:rPr>
      </w:pPr>
    </w:p>
    <w:p w14:paraId="18CA3AD3" w14:textId="5F6F46B4" w:rsidR="00947BC6" w:rsidRDefault="007E0995" w:rsidP="00CA5046">
      <w:pPr>
        <w:rPr>
          <w:sz w:val="20"/>
          <w:szCs w:val="20"/>
        </w:rPr>
      </w:pPr>
      <w:r>
        <w:rPr>
          <w:sz w:val="20"/>
          <w:szCs w:val="20"/>
        </w:rPr>
        <w:t xml:space="preserve">A Record of advice must disclose the &lt;date&gt; of the previous </w:t>
      </w:r>
      <w:proofErr w:type="spellStart"/>
      <w:r>
        <w:rPr>
          <w:sz w:val="20"/>
          <w:szCs w:val="20"/>
        </w:rPr>
        <w:t>SoA</w:t>
      </w:r>
      <w:proofErr w:type="spellEnd"/>
      <w:r>
        <w:rPr>
          <w:sz w:val="20"/>
          <w:szCs w:val="20"/>
        </w:rPr>
        <w:t xml:space="preserve"> that it is referencing.</w:t>
      </w:r>
    </w:p>
    <w:p w14:paraId="2B663713" w14:textId="40CF42D4" w:rsidR="007E0995" w:rsidRDefault="007E0995" w:rsidP="00CA5046">
      <w:pPr>
        <w:rPr>
          <w:sz w:val="20"/>
          <w:szCs w:val="20"/>
        </w:rPr>
      </w:pPr>
      <w:r>
        <w:rPr>
          <w:sz w:val="20"/>
          <w:szCs w:val="20"/>
        </w:rPr>
        <w:t>It is legitimately used for investment switching, minor changes to existing insurance policies.</w:t>
      </w:r>
    </w:p>
    <w:p w14:paraId="6A438692" w14:textId="139E4D7B" w:rsidR="007E0995" w:rsidRDefault="007E0995" w:rsidP="00CA5046">
      <w:pPr>
        <w:rPr>
          <w:sz w:val="20"/>
          <w:szCs w:val="20"/>
        </w:rPr>
      </w:pPr>
    </w:p>
    <w:p w14:paraId="3B0F3011" w14:textId="454F5482" w:rsidR="007E0995" w:rsidRDefault="007E0995" w:rsidP="00CA5046">
      <w:pPr>
        <w:rPr>
          <w:sz w:val="20"/>
          <w:szCs w:val="20"/>
        </w:rPr>
      </w:pPr>
      <w:r>
        <w:rPr>
          <w:sz w:val="20"/>
          <w:szCs w:val="20"/>
        </w:rPr>
        <w:t xml:space="preserve">If the </w:t>
      </w:r>
      <w:proofErr w:type="spellStart"/>
      <w:r>
        <w:rPr>
          <w:sz w:val="20"/>
          <w:szCs w:val="20"/>
        </w:rPr>
        <w:t>RoA</w:t>
      </w:r>
      <w:proofErr w:type="spellEnd"/>
      <w:r>
        <w:rPr>
          <w:sz w:val="20"/>
          <w:szCs w:val="20"/>
        </w:rPr>
        <w:t xml:space="preserve"> introduces new advice, then it is an invalid use of this tool.</w:t>
      </w:r>
    </w:p>
    <w:p w14:paraId="0F69D0E7" w14:textId="6646EDCD" w:rsidR="007E0995" w:rsidRDefault="007E0995" w:rsidP="00CA5046">
      <w:pPr>
        <w:rPr>
          <w:sz w:val="20"/>
          <w:szCs w:val="20"/>
        </w:rPr>
      </w:pPr>
      <w:r>
        <w:rPr>
          <w:sz w:val="20"/>
          <w:szCs w:val="20"/>
        </w:rPr>
        <w:t xml:space="preserve">For example, the reference </w:t>
      </w:r>
      <w:proofErr w:type="spellStart"/>
      <w:r>
        <w:rPr>
          <w:sz w:val="20"/>
          <w:szCs w:val="20"/>
        </w:rPr>
        <w:t>SoA</w:t>
      </w:r>
      <w:proofErr w:type="spellEnd"/>
      <w:r>
        <w:rPr>
          <w:sz w:val="20"/>
          <w:szCs w:val="20"/>
        </w:rPr>
        <w:t xml:space="preserve"> was set up an ‘accumulation’ super account; the new advice is to now start a super </w:t>
      </w:r>
      <w:r w:rsidR="001055BD">
        <w:rPr>
          <w:sz w:val="20"/>
          <w:szCs w:val="20"/>
        </w:rPr>
        <w:t>‘</w:t>
      </w:r>
      <w:r>
        <w:rPr>
          <w:sz w:val="20"/>
          <w:szCs w:val="20"/>
        </w:rPr>
        <w:t>pension</w:t>
      </w:r>
      <w:r w:rsidR="001055BD">
        <w:rPr>
          <w:sz w:val="20"/>
          <w:szCs w:val="20"/>
        </w:rPr>
        <w:t>’</w:t>
      </w:r>
      <w:r>
        <w:rPr>
          <w:sz w:val="20"/>
          <w:szCs w:val="20"/>
        </w:rPr>
        <w:t xml:space="preserve"> with that balance.</w:t>
      </w:r>
    </w:p>
    <w:p w14:paraId="064789B6" w14:textId="354C61CD" w:rsidR="007E0995" w:rsidRDefault="007E0995" w:rsidP="00CA5046">
      <w:pPr>
        <w:rPr>
          <w:sz w:val="20"/>
          <w:szCs w:val="20"/>
        </w:rPr>
      </w:pPr>
    </w:p>
    <w:p w14:paraId="4E50D455" w14:textId="57DEAF9C" w:rsidR="007E0995" w:rsidRDefault="00AE23B1" w:rsidP="00CA5046">
      <w:pPr>
        <w:rPr>
          <w:sz w:val="20"/>
          <w:szCs w:val="20"/>
        </w:rPr>
      </w:pPr>
      <w:r>
        <w:rPr>
          <w:sz w:val="20"/>
          <w:szCs w:val="20"/>
        </w:rPr>
        <w:t xml:space="preserve">The </w:t>
      </w:r>
      <w:proofErr w:type="spellStart"/>
      <w:r>
        <w:rPr>
          <w:sz w:val="20"/>
          <w:szCs w:val="20"/>
        </w:rPr>
        <w:t>RoA</w:t>
      </w:r>
      <w:proofErr w:type="spellEnd"/>
      <w:r>
        <w:rPr>
          <w:sz w:val="20"/>
          <w:szCs w:val="20"/>
        </w:rPr>
        <w:t xml:space="preserve"> is legitimised by:</w:t>
      </w:r>
    </w:p>
    <w:p w14:paraId="1503DC6D" w14:textId="4D1459C9" w:rsidR="00AE23B1" w:rsidRDefault="00AE23B1" w:rsidP="00AE23B1">
      <w:pPr>
        <w:pStyle w:val="ListParagraph"/>
        <w:numPr>
          <w:ilvl w:val="0"/>
          <w:numId w:val="22"/>
        </w:numPr>
        <w:rPr>
          <w:sz w:val="20"/>
          <w:szCs w:val="20"/>
        </w:rPr>
      </w:pPr>
      <w:r>
        <w:rPr>
          <w:sz w:val="20"/>
          <w:szCs w:val="20"/>
        </w:rPr>
        <w:t xml:space="preserve">It’s close </w:t>
      </w:r>
      <w:r w:rsidR="000251C7">
        <w:rPr>
          <w:sz w:val="20"/>
          <w:szCs w:val="20"/>
        </w:rPr>
        <w:t xml:space="preserve">strategic </w:t>
      </w:r>
      <w:r>
        <w:rPr>
          <w:sz w:val="20"/>
          <w:szCs w:val="20"/>
        </w:rPr>
        <w:t xml:space="preserve">connection to the reference </w:t>
      </w:r>
      <w:proofErr w:type="spellStart"/>
      <w:r>
        <w:rPr>
          <w:sz w:val="20"/>
          <w:szCs w:val="20"/>
        </w:rPr>
        <w:t>SoA</w:t>
      </w:r>
      <w:proofErr w:type="spellEnd"/>
    </w:p>
    <w:p w14:paraId="699B8603" w14:textId="5640484B" w:rsidR="00AE23B1" w:rsidRDefault="00AE23B1" w:rsidP="00AE23B1">
      <w:pPr>
        <w:pStyle w:val="ListParagraph"/>
        <w:numPr>
          <w:ilvl w:val="0"/>
          <w:numId w:val="22"/>
        </w:numPr>
        <w:rPr>
          <w:sz w:val="20"/>
          <w:szCs w:val="20"/>
        </w:rPr>
      </w:pPr>
      <w:r>
        <w:rPr>
          <w:sz w:val="20"/>
          <w:szCs w:val="20"/>
        </w:rPr>
        <w:t xml:space="preserve">The implication that all relevant client information impacting the disclosed change has not altered since the &lt;date&gt; of the reference </w:t>
      </w:r>
      <w:proofErr w:type="spellStart"/>
      <w:r>
        <w:rPr>
          <w:sz w:val="20"/>
          <w:szCs w:val="20"/>
        </w:rPr>
        <w:t>SoA</w:t>
      </w:r>
      <w:proofErr w:type="spellEnd"/>
      <w:r>
        <w:rPr>
          <w:sz w:val="20"/>
          <w:szCs w:val="20"/>
        </w:rPr>
        <w:t>.</w:t>
      </w:r>
    </w:p>
    <w:p w14:paraId="7B22575C" w14:textId="1DBF4D5D" w:rsidR="00AE23B1" w:rsidRDefault="00AE23B1" w:rsidP="00AE23B1">
      <w:pPr>
        <w:rPr>
          <w:sz w:val="20"/>
          <w:szCs w:val="20"/>
        </w:rPr>
      </w:pPr>
    </w:p>
    <w:p w14:paraId="4F07B5F6" w14:textId="5192F6AA" w:rsidR="00AE23B1" w:rsidRDefault="00AE23B1" w:rsidP="00AE23B1">
      <w:pPr>
        <w:rPr>
          <w:sz w:val="20"/>
          <w:szCs w:val="20"/>
        </w:rPr>
      </w:pPr>
      <w:r>
        <w:rPr>
          <w:sz w:val="20"/>
          <w:szCs w:val="20"/>
        </w:rPr>
        <w:t xml:space="preserve">The longer the elapsed time between </w:t>
      </w:r>
      <w:proofErr w:type="spellStart"/>
      <w:r>
        <w:rPr>
          <w:sz w:val="20"/>
          <w:szCs w:val="20"/>
        </w:rPr>
        <w:t>SoA</w:t>
      </w:r>
      <w:proofErr w:type="spellEnd"/>
      <w:r>
        <w:rPr>
          <w:sz w:val="20"/>
          <w:szCs w:val="20"/>
        </w:rPr>
        <w:t xml:space="preserve"> and </w:t>
      </w:r>
      <w:proofErr w:type="spellStart"/>
      <w:r>
        <w:rPr>
          <w:sz w:val="20"/>
          <w:szCs w:val="20"/>
        </w:rPr>
        <w:t>RoA</w:t>
      </w:r>
      <w:proofErr w:type="spellEnd"/>
      <w:r>
        <w:rPr>
          <w:sz w:val="20"/>
          <w:szCs w:val="20"/>
        </w:rPr>
        <w:t xml:space="preserve">, the less likely that unchanged client circumstances can be just assumed. If this assertion is made in the </w:t>
      </w:r>
      <w:proofErr w:type="spellStart"/>
      <w:r>
        <w:rPr>
          <w:sz w:val="20"/>
          <w:szCs w:val="20"/>
        </w:rPr>
        <w:t>RoA</w:t>
      </w:r>
      <w:proofErr w:type="spellEnd"/>
      <w:r>
        <w:rPr>
          <w:sz w:val="20"/>
          <w:szCs w:val="20"/>
        </w:rPr>
        <w:t xml:space="preserve">, it should be backed up with other proofs in the file </w:t>
      </w:r>
      <w:proofErr w:type="spellStart"/>
      <w:r>
        <w:rPr>
          <w:sz w:val="20"/>
          <w:szCs w:val="20"/>
        </w:rPr>
        <w:t>eg.</w:t>
      </w:r>
      <w:proofErr w:type="spellEnd"/>
      <w:r>
        <w:rPr>
          <w:sz w:val="20"/>
          <w:szCs w:val="20"/>
        </w:rPr>
        <w:t xml:space="preserve"> updated fact </w:t>
      </w:r>
      <w:proofErr w:type="gramStart"/>
      <w:r>
        <w:rPr>
          <w:sz w:val="20"/>
          <w:szCs w:val="20"/>
        </w:rPr>
        <w:t>find</w:t>
      </w:r>
      <w:proofErr w:type="gramEnd"/>
      <w:r>
        <w:rPr>
          <w:sz w:val="20"/>
          <w:szCs w:val="20"/>
        </w:rPr>
        <w:t xml:space="preserve">. </w:t>
      </w:r>
    </w:p>
    <w:p w14:paraId="0E0DAE14" w14:textId="3DDBF255" w:rsidR="00DF3B7A" w:rsidRDefault="00DF3B7A" w:rsidP="00AE23B1">
      <w:pPr>
        <w:rPr>
          <w:sz w:val="20"/>
          <w:szCs w:val="20"/>
        </w:rPr>
      </w:pPr>
    </w:p>
    <w:p w14:paraId="31A09113" w14:textId="2A66E349" w:rsidR="006529D7" w:rsidRDefault="00FD5AFA" w:rsidP="006529D7">
      <w:pPr>
        <w:pStyle w:val="Heading2"/>
        <w:rPr>
          <w:rFonts w:eastAsia="Times New Roman"/>
          <w:b/>
          <w:sz w:val="28"/>
          <w:szCs w:val="28"/>
        </w:rPr>
      </w:pPr>
      <w:bookmarkStart w:id="34" w:name="_Toc36642385"/>
      <w:r>
        <w:rPr>
          <w:rFonts w:eastAsia="Times New Roman"/>
          <w:b/>
          <w:sz w:val="28"/>
          <w:szCs w:val="28"/>
        </w:rPr>
        <w:t xml:space="preserve">Incorporation </w:t>
      </w:r>
      <w:proofErr w:type="gramStart"/>
      <w:r>
        <w:rPr>
          <w:rFonts w:eastAsia="Times New Roman"/>
          <w:b/>
          <w:sz w:val="28"/>
          <w:szCs w:val="28"/>
        </w:rPr>
        <w:t>By</w:t>
      </w:r>
      <w:proofErr w:type="gramEnd"/>
      <w:r>
        <w:rPr>
          <w:rFonts w:eastAsia="Times New Roman"/>
          <w:b/>
          <w:sz w:val="28"/>
          <w:szCs w:val="28"/>
        </w:rPr>
        <w:t xml:space="preserve"> Reference</w:t>
      </w:r>
      <w:bookmarkEnd w:id="34"/>
    </w:p>
    <w:p w14:paraId="062AC6E1" w14:textId="00DDADE7" w:rsidR="006529D7" w:rsidRDefault="006529D7" w:rsidP="006529D7">
      <w:pPr>
        <w:rPr>
          <w:sz w:val="20"/>
          <w:szCs w:val="20"/>
        </w:rPr>
      </w:pPr>
    </w:p>
    <w:p w14:paraId="53651C75" w14:textId="2A6397A8" w:rsidR="006529D7" w:rsidRDefault="00901858" w:rsidP="006529D7">
      <w:pPr>
        <w:rPr>
          <w:sz w:val="20"/>
          <w:szCs w:val="20"/>
        </w:rPr>
      </w:pPr>
      <w:r>
        <w:rPr>
          <w:sz w:val="20"/>
          <w:szCs w:val="20"/>
        </w:rPr>
        <w:t xml:space="preserve">Not a separate </w:t>
      </w:r>
      <w:r w:rsidR="00FD5AFA">
        <w:rPr>
          <w:sz w:val="20"/>
          <w:szCs w:val="20"/>
        </w:rPr>
        <w:t xml:space="preserve">Advice </w:t>
      </w:r>
      <w:r>
        <w:rPr>
          <w:sz w:val="20"/>
          <w:szCs w:val="20"/>
        </w:rPr>
        <w:t>template but a more time</w:t>
      </w:r>
      <w:r w:rsidR="00FD5AFA">
        <w:rPr>
          <w:sz w:val="20"/>
          <w:szCs w:val="20"/>
        </w:rPr>
        <w:t>-</w:t>
      </w:r>
      <w:r>
        <w:rPr>
          <w:sz w:val="20"/>
          <w:szCs w:val="20"/>
        </w:rPr>
        <w:t>effective solution to ‘extra’ advice that is strongly</w:t>
      </w:r>
      <w:r w:rsidR="00FD5AFA">
        <w:rPr>
          <w:sz w:val="20"/>
          <w:szCs w:val="20"/>
        </w:rPr>
        <w:t>,</w:t>
      </w:r>
      <w:r>
        <w:rPr>
          <w:sz w:val="20"/>
          <w:szCs w:val="20"/>
        </w:rPr>
        <w:t xml:space="preserve"> strategically related to a preceding </w:t>
      </w:r>
      <w:proofErr w:type="spellStart"/>
      <w:r>
        <w:rPr>
          <w:sz w:val="20"/>
          <w:szCs w:val="20"/>
        </w:rPr>
        <w:t>SoA</w:t>
      </w:r>
      <w:proofErr w:type="spellEnd"/>
      <w:r>
        <w:rPr>
          <w:sz w:val="20"/>
          <w:szCs w:val="20"/>
        </w:rPr>
        <w:t>.</w:t>
      </w:r>
    </w:p>
    <w:p w14:paraId="23AF9815" w14:textId="23EDE187" w:rsidR="00901858" w:rsidRDefault="00901858" w:rsidP="006529D7">
      <w:pPr>
        <w:rPr>
          <w:sz w:val="20"/>
          <w:szCs w:val="20"/>
        </w:rPr>
      </w:pPr>
    </w:p>
    <w:p w14:paraId="77F1C7FD" w14:textId="0FFC2BC1" w:rsidR="00901858" w:rsidRDefault="00901858" w:rsidP="006529D7">
      <w:pPr>
        <w:rPr>
          <w:sz w:val="20"/>
          <w:szCs w:val="20"/>
        </w:rPr>
      </w:pPr>
      <w:r>
        <w:rPr>
          <w:sz w:val="20"/>
          <w:szCs w:val="20"/>
        </w:rPr>
        <w:t>It too assumes that all relevant client informatio</w:t>
      </w:r>
      <w:r w:rsidR="00FA06CB">
        <w:rPr>
          <w:sz w:val="20"/>
          <w:szCs w:val="20"/>
        </w:rPr>
        <w:t>n impacting the fresh advice</w:t>
      </w:r>
      <w:r>
        <w:rPr>
          <w:sz w:val="20"/>
          <w:szCs w:val="20"/>
        </w:rPr>
        <w:t xml:space="preserve"> has not altered since the &lt;date&gt; of the reference </w:t>
      </w:r>
      <w:proofErr w:type="spellStart"/>
      <w:r>
        <w:rPr>
          <w:sz w:val="20"/>
          <w:szCs w:val="20"/>
        </w:rPr>
        <w:t>SoA</w:t>
      </w:r>
      <w:proofErr w:type="spellEnd"/>
      <w:r>
        <w:rPr>
          <w:sz w:val="20"/>
          <w:szCs w:val="20"/>
        </w:rPr>
        <w:t>.</w:t>
      </w:r>
    </w:p>
    <w:p w14:paraId="5827434F" w14:textId="63030042" w:rsidR="00FA06CB" w:rsidRDefault="00FA06CB" w:rsidP="006529D7">
      <w:pPr>
        <w:rPr>
          <w:sz w:val="20"/>
          <w:szCs w:val="20"/>
        </w:rPr>
      </w:pPr>
    </w:p>
    <w:p w14:paraId="052DC264" w14:textId="765D4055" w:rsidR="00FA06CB" w:rsidRDefault="00FA06CB" w:rsidP="006529D7">
      <w:pPr>
        <w:rPr>
          <w:sz w:val="20"/>
          <w:szCs w:val="20"/>
        </w:rPr>
      </w:pPr>
      <w:r>
        <w:rPr>
          <w:sz w:val="20"/>
          <w:szCs w:val="20"/>
        </w:rPr>
        <w:t xml:space="preserve">Check with the compliance staff before </w:t>
      </w:r>
      <w:r w:rsidR="00FD5AFA">
        <w:rPr>
          <w:sz w:val="20"/>
          <w:szCs w:val="20"/>
        </w:rPr>
        <w:t xml:space="preserve">relying upon </w:t>
      </w:r>
      <w:r>
        <w:rPr>
          <w:sz w:val="20"/>
          <w:szCs w:val="20"/>
        </w:rPr>
        <w:t xml:space="preserve">this </w:t>
      </w:r>
      <w:r w:rsidR="00FD5AFA">
        <w:rPr>
          <w:sz w:val="20"/>
          <w:szCs w:val="20"/>
        </w:rPr>
        <w:t>principle</w:t>
      </w:r>
      <w:r>
        <w:rPr>
          <w:sz w:val="20"/>
          <w:szCs w:val="20"/>
        </w:rPr>
        <w:t>.</w:t>
      </w:r>
    </w:p>
    <w:p w14:paraId="70579F0F" w14:textId="77777777" w:rsidR="006E2744" w:rsidRPr="006529D7" w:rsidRDefault="006E2744" w:rsidP="006529D7">
      <w:pPr>
        <w:rPr>
          <w:sz w:val="20"/>
          <w:szCs w:val="20"/>
        </w:rPr>
      </w:pPr>
    </w:p>
    <w:p w14:paraId="3E4F3135" w14:textId="36AFC86D" w:rsidR="00C75BB6" w:rsidRPr="006529D7" w:rsidRDefault="00C75BB6">
      <w:pPr>
        <w:rPr>
          <w:sz w:val="20"/>
          <w:szCs w:val="20"/>
        </w:rPr>
      </w:pPr>
    </w:p>
    <w:p w14:paraId="228D4C26" w14:textId="77777777" w:rsidR="00611D18" w:rsidRPr="000464F3" w:rsidRDefault="000464F3" w:rsidP="000464F3">
      <w:pPr>
        <w:pStyle w:val="Heading2"/>
        <w:rPr>
          <w:rFonts w:eastAsia="Times New Roman"/>
          <w:b/>
          <w:sz w:val="28"/>
          <w:szCs w:val="28"/>
        </w:rPr>
      </w:pPr>
      <w:bookmarkStart w:id="35" w:name="_Toc36642386"/>
      <w:r>
        <w:rPr>
          <w:rFonts w:eastAsia="Times New Roman"/>
          <w:b/>
          <w:sz w:val="28"/>
          <w:szCs w:val="28"/>
        </w:rPr>
        <w:t>Advice that is Not App</w:t>
      </w:r>
      <w:r w:rsidRPr="000464F3">
        <w:rPr>
          <w:rFonts w:eastAsia="Times New Roman"/>
          <w:b/>
          <w:sz w:val="28"/>
          <w:szCs w:val="28"/>
        </w:rPr>
        <w:t>ropriate</w:t>
      </w:r>
      <w:bookmarkEnd w:id="35"/>
    </w:p>
    <w:p w14:paraId="21AF17D6" w14:textId="77777777" w:rsidR="005D7A2C" w:rsidRDefault="005D7A2C" w:rsidP="005D7A2C">
      <w:pPr>
        <w:rPr>
          <w:sz w:val="20"/>
          <w:szCs w:val="20"/>
        </w:rPr>
      </w:pPr>
    </w:p>
    <w:p w14:paraId="553231E6" w14:textId="1EFD011A" w:rsidR="000464F3" w:rsidRDefault="005D7A2C" w:rsidP="005D7A2C">
      <w:pPr>
        <w:rPr>
          <w:sz w:val="20"/>
          <w:szCs w:val="20"/>
        </w:rPr>
      </w:pPr>
      <w:r w:rsidRPr="005D7A2C">
        <w:rPr>
          <w:sz w:val="20"/>
          <w:szCs w:val="20"/>
        </w:rPr>
        <w:t xml:space="preserve">That Advice be </w:t>
      </w:r>
      <w:r w:rsidR="006E2744">
        <w:rPr>
          <w:sz w:val="20"/>
          <w:szCs w:val="20"/>
        </w:rPr>
        <w:t>‘</w:t>
      </w:r>
      <w:r>
        <w:rPr>
          <w:sz w:val="20"/>
          <w:szCs w:val="20"/>
        </w:rPr>
        <w:t>Appropriate</w:t>
      </w:r>
      <w:r w:rsidR="006E2744">
        <w:rPr>
          <w:sz w:val="20"/>
          <w:szCs w:val="20"/>
        </w:rPr>
        <w:t>’</w:t>
      </w:r>
      <w:r>
        <w:rPr>
          <w:sz w:val="20"/>
          <w:szCs w:val="20"/>
        </w:rPr>
        <w:t xml:space="preserve"> is the most fundamental requirement; more fundamental than even Best Interest.</w:t>
      </w:r>
    </w:p>
    <w:p w14:paraId="01B13780" w14:textId="77777777" w:rsidR="005D7A2C" w:rsidRDefault="005D7A2C" w:rsidP="005D7A2C">
      <w:pPr>
        <w:rPr>
          <w:sz w:val="20"/>
          <w:szCs w:val="20"/>
        </w:rPr>
      </w:pPr>
    </w:p>
    <w:p w14:paraId="06AACF0B" w14:textId="77777777" w:rsidR="005D7A2C" w:rsidRDefault="005D7A2C" w:rsidP="005D7A2C">
      <w:pPr>
        <w:rPr>
          <w:sz w:val="20"/>
          <w:szCs w:val="20"/>
        </w:rPr>
      </w:pPr>
      <w:r>
        <w:rPr>
          <w:sz w:val="20"/>
          <w:szCs w:val="20"/>
        </w:rPr>
        <w:t xml:space="preserve">Advice that is fraudulent, </w:t>
      </w:r>
      <w:r w:rsidR="00432163">
        <w:rPr>
          <w:sz w:val="20"/>
          <w:szCs w:val="20"/>
        </w:rPr>
        <w:t xml:space="preserve">deceptive, </w:t>
      </w:r>
      <w:r>
        <w:rPr>
          <w:sz w:val="20"/>
          <w:szCs w:val="20"/>
        </w:rPr>
        <w:t xml:space="preserve">misleading or </w:t>
      </w:r>
      <w:r w:rsidR="00432163">
        <w:rPr>
          <w:sz w:val="20"/>
          <w:szCs w:val="20"/>
        </w:rPr>
        <w:t xml:space="preserve">seriously </w:t>
      </w:r>
      <w:r>
        <w:rPr>
          <w:sz w:val="20"/>
          <w:szCs w:val="20"/>
        </w:rPr>
        <w:t>incorrect leaves the Client in a worse position than before; especially if Fees are charged for that advice.</w:t>
      </w:r>
    </w:p>
    <w:p w14:paraId="61D58C8C" w14:textId="77777777" w:rsidR="005D7A2C" w:rsidRDefault="005D7A2C" w:rsidP="005D7A2C">
      <w:pPr>
        <w:rPr>
          <w:sz w:val="20"/>
          <w:szCs w:val="20"/>
        </w:rPr>
      </w:pPr>
    </w:p>
    <w:p w14:paraId="587DC67E" w14:textId="13A51381" w:rsidR="005D7A2C" w:rsidRDefault="005D7A2C" w:rsidP="005D7A2C">
      <w:pPr>
        <w:rPr>
          <w:sz w:val="20"/>
          <w:szCs w:val="20"/>
        </w:rPr>
      </w:pPr>
      <w:r>
        <w:rPr>
          <w:sz w:val="20"/>
          <w:szCs w:val="20"/>
        </w:rPr>
        <w:t>However,</w:t>
      </w:r>
      <w:r w:rsidR="006E2744">
        <w:rPr>
          <w:sz w:val="20"/>
          <w:szCs w:val="20"/>
        </w:rPr>
        <w:t xml:space="preserve"> some Ina</w:t>
      </w:r>
      <w:r>
        <w:rPr>
          <w:sz w:val="20"/>
          <w:szCs w:val="20"/>
        </w:rPr>
        <w:t>ppropriate advice may simply be ill-conceived and subtler in the negative outcome that it promotes.</w:t>
      </w:r>
    </w:p>
    <w:p w14:paraId="6C34B30D" w14:textId="77777777" w:rsidR="005D7A2C" w:rsidRDefault="005D7A2C" w:rsidP="005D7A2C">
      <w:pPr>
        <w:rPr>
          <w:sz w:val="20"/>
          <w:szCs w:val="20"/>
        </w:rPr>
      </w:pPr>
    </w:p>
    <w:p w14:paraId="3CC5ED6A" w14:textId="77777777" w:rsidR="005D7A2C" w:rsidRDefault="005D7A2C" w:rsidP="005D7A2C">
      <w:pPr>
        <w:rPr>
          <w:sz w:val="20"/>
          <w:szCs w:val="20"/>
        </w:rPr>
      </w:pPr>
      <w:r>
        <w:rPr>
          <w:sz w:val="20"/>
          <w:szCs w:val="20"/>
        </w:rPr>
        <w:t xml:space="preserve">For example, the strategic </w:t>
      </w:r>
      <w:r w:rsidR="008B67DE">
        <w:rPr>
          <w:sz w:val="20"/>
          <w:szCs w:val="20"/>
        </w:rPr>
        <w:t xml:space="preserve">(tax arbitrage) </w:t>
      </w:r>
      <w:r>
        <w:rPr>
          <w:sz w:val="20"/>
          <w:szCs w:val="20"/>
        </w:rPr>
        <w:t xml:space="preserve">merit of the </w:t>
      </w:r>
      <w:proofErr w:type="spellStart"/>
      <w:r>
        <w:rPr>
          <w:sz w:val="20"/>
          <w:szCs w:val="20"/>
        </w:rPr>
        <w:t>TtR</w:t>
      </w:r>
      <w:proofErr w:type="spellEnd"/>
      <w:r>
        <w:rPr>
          <w:sz w:val="20"/>
          <w:szCs w:val="20"/>
        </w:rPr>
        <w:t xml:space="preserve"> </w:t>
      </w:r>
      <w:r w:rsidRPr="00874837">
        <w:rPr>
          <w:sz w:val="20"/>
          <w:szCs w:val="20"/>
          <w:u w:val="single"/>
        </w:rPr>
        <w:t>income replacement</w:t>
      </w:r>
      <w:r>
        <w:rPr>
          <w:sz w:val="20"/>
          <w:szCs w:val="20"/>
        </w:rPr>
        <w:t xml:space="preserve"> strategy was reduced </w:t>
      </w:r>
      <w:r w:rsidR="00874837">
        <w:rPr>
          <w:sz w:val="20"/>
          <w:szCs w:val="20"/>
        </w:rPr>
        <w:t>from 1 July 2017 when the</w:t>
      </w:r>
      <w:r>
        <w:rPr>
          <w:sz w:val="20"/>
          <w:szCs w:val="20"/>
        </w:rPr>
        <w:t xml:space="preserve"> </w:t>
      </w:r>
      <w:proofErr w:type="spellStart"/>
      <w:r>
        <w:rPr>
          <w:sz w:val="20"/>
          <w:szCs w:val="20"/>
        </w:rPr>
        <w:t>TtR</w:t>
      </w:r>
      <w:proofErr w:type="spellEnd"/>
      <w:r>
        <w:rPr>
          <w:sz w:val="20"/>
          <w:szCs w:val="20"/>
        </w:rPr>
        <w:t xml:space="preserve"> pension lost tax exempt status on earnings.</w:t>
      </w:r>
    </w:p>
    <w:p w14:paraId="1031C05F" w14:textId="77777777" w:rsidR="005D7A2C" w:rsidRDefault="00874837" w:rsidP="00874837">
      <w:pPr>
        <w:tabs>
          <w:tab w:val="left" w:pos="5468"/>
        </w:tabs>
        <w:rPr>
          <w:sz w:val="20"/>
          <w:szCs w:val="20"/>
        </w:rPr>
      </w:pPr>
      <w:r>
        <w:rPr>
          <w:sz w:val="20"/>
          <w:szCs w:val="20"/>
        </w:rPr>
        <w:tab/>
      </w:r>
    </w:p>
    <w:p w14:paraId="5FADAD37" w14:textId="77777777" w:rsidR="005D7A2C" w:rsidRDefault="005D7A2C" w:rsidP="005D7A2C">
      <w:pPr>
        <w:rPr>
          <w:sz w:val="20"/>
          <w:szCs w:val="20"/>
        </w:rPr>
      </w:pPr>
      <w:r>
        <w:rPr>
          <w:sz w:val="20"/>
          <w:szCs w:val="20"/>
        </w:rPr>
        <w:lastRenderedPageBreak/>
        <w:t xml:space="preserve">As a result, for the diminishing cohort of eligible Australians </w:t>
      </w:r>
      <w:r w:rsidR="00874837">
        <w:rPr>
          <w:sz w:val="20"/>
          <w:szCs w:val="20"/>
        </w:rPr>
        <w:t>between Preservation Age and 60, the net benefit of any extra salary sacrifice is:</w:t>
      </w:r>
    </w:p>
    <w:p w14:paraId="24DAF35E" w14:textId="77777777" w:rsidR="00432163" w:rsidRDefault="00432163" w:rsidP="005D7A2C">
      <w:pPr>
        <w:rPr>
          <w:sz w:val="20"/>
          <w:szCs w:val="20"/>
        </w:rPr>
      </w:pPr>
    </w:p>
    <w:tbl>
      <w:tblPr>
        <w:tblStyle w:val="TableGrid"/>
        <w:tblW w:w="0" w:type="auto"/>
        <w:tblInd w:w="1271" w:type="dxa"/>
        <w:tblLook w:val="04A0" w:firstRow="1" w:lastRow="0" w:firstColumn="1" w:lastColumn="0" w:noHBand="0" w:noVBand="1"/>
      </w:tblPr>
      <w:tblGrid>
        <w:gridCol w:w="3237"/>
        <w:gridCol w:w="3425"/>
      </w:tblGrid>
      <w:tr w:rsidR="00A7264E" w14:paraId="5FD0A6AB" w14:textId="77777777" w:rsidTr="00A7264E">
        <w:tc>
          <w:tcPr>
            <w:tcW w:w="3237" w:type="dxa"/>
            <w:shd w:val="clear" w:color="auto" w:fill="000000" w:themeFill="text1"/>
          </w:tcPr>
          <w:p w14:paraId="7EB7358F" w14:textId="77777777" w:rsidR="00A7264E" w:rsidRPr="00A7264E" w:rsidRDefault="00A7264E" w:rsidP="00A7264E">
            <w:pPr>
              <w:jc w:val="center"/>
              <w:rPr>
                <w:b/>
                <w:color w:val="FFFFFF" w:themeColor="background1"/>
              </w:rPr>
            </w:pPr>
            <w:r w:rsidRPr="00A7264E">
              <w:rPr>
                <w:b/>
                <w:color w:val="FFFFFF" w:themeColor="background1"/>
              </w:rPr>
              <w:t>Marginal Tax Rate</w:t>
            </w:r>
          </w:p>
        </w:tc>
        <w:tc>
          <w:tcPr>
            <w:tcW w:w="3425" w:type="dxa"/>
            <w:shd w:val="clear" w:color="auto" w:fill="000000" w:themeFill="text1"/>
          </w:tcPr>
          <w:p w14:paraId="558EBC0A" w14:textId="77777777" w:rsidR="00A7264E" w:rsidRPr="00A7264E" w:rsidRDefault="00A7264E" w:rsidP="00A7264E">
            <w:pPr>
              <w:jc w:val="center"/>
              <w:rPr>
                <w:b/>
                <w:color w:val="FFFFFF" w:themeColor="background1"/>
              </w:rPr>
            </w:pPr>
            <w:r w:rsidRPr="00A7264E">
              <w:rPr>
                <w:b/>
                <w:color w:val="FFFFFF" w:themeColor="background1"/>
              </w:rPr>
              <w:t>Net benefit per $1 salary sacrifice</w:t>
            </w:r>
            <w:r w:rsidR="008673DD">
              <w:rPr>
                <w:b/>
                <w:color w:val="FFFFFF" w:themeColor="background1"/>
              </w:rPr>
              <w:t xml:space="preserve"> </w:t>
            </w:r>
            <w:r w:rsidR="008673DD" w:rsidRPr="008673DD">
              <w:rPr>
                <w:b/>
                <w:color w:val="FFFFFF" w:themeColor="background1"/>
                <w:vertAlign w:val="superscript"/>
              </w:rPr>
              <w:t>1</w:t>
            </w:r>
          </w:p>
        </w:tc>
      </w:tr>
      <w:tr w:rsidR="00A7264E" w14:paraId="7A070234" w14:textId="77777777" w:rsidTr="00A7264E">
        <w:tc>
          <w:tcPr>
            <w:tcW w:w="3237" w:type="dxa"/>
          </w:tcPr>
          <w:p w14:paraId="6296E28F" w14:textId="77777777" w:rsidR="00A7264E" w:rsidRDefault="008673DD" w:rsidP="007B24EE">
            <w:pPr>
              <w:jc w:val="center"/>
            </w:pPr>
            <w:r>
              <w:t>&lt;</w:t>
            </w:r>
            <w:r w:rsidR="00FD019F">
              <w:t xml:space="preserve"> </w:t>
            </w:r>
            <w:r>
              <w:t>$18,</w:t>
            </w:r>
            <w:r w:rsidR="00FD019F">
              <w:t>2</w:t>
            </w:r>
            <w:r>
              <w:t>00</w:t>
            </w:r>
          </w:p>
        </w:tc>
        <w:tc>
          <w:tcPr>
            <w:tcW w:w="3425" w:type="dxa"/>
          </w:tcPr>
          <w:p w14:paraId="517E6C21" w14:textId="77777777" w:rsidR="00A7264E" w:rsidRDefault="00FD019F" w:rsidP="00E761BF">
            <w:pPr>
              <w:jc w:val="center"/>
            </w:pPr>
            <w:r>
              <w:t>N</w:t>
            </w:r>
            <w:r w:rsidR="007B24EE">
              <w:t>egative benefit</w:t>
            </w:r>
          </w:p>
        </w:tc>
      </w:tr>
      <w:tr w:rsidR="00A7264E" w14:paraId="22D1637B" w14:textId="77777777" w:rsidTr="00A7264E">
        <w:tc>
          <w:tcPr>
            <w:tcW w:w="3237" w:type="dxa"/>
          </w:tcPr>
          <w:p w14:paraId="79EC8B62" w14:textId="77777777" w:rsidR="00A7264E" w:rsidRDefault="00FD019F" w:rsidP="007B24EE">
            <w:pPr>
              <w:jc w:val="center"/>
            </w:pPr>
            <w:r>
              <w:t>&lt; $37,000</w:t>
            </w:r>
          </w:p>
        </w:tc>
        <w:tc>
          <w:tcPr>
            <w:tcW w:w="3425" w:type="dxa"/>
          </w:tcPr>
          <w:p w14:paraId="02AC309B" w14:textId="77777777" w:rsidR="00A7264E" w:rsidRDefault="009D0EAD" w:rsidP="00E761BF">
            <w:pPr>
              <w:jc w:val="center"/>
            </w:pPr>
            <w:r>
              <w:t>0.63</w:t>
            </w:r>
            <w:r w:rsidR="00F32768">
              <w:t xml:space="preserve"> cents</w:t>
            </w:r>
          </w:p>
        </w:tc>
      </w:tr>
      <w:tr w:rsidR="00A7264E" w14:paraId="4C4E603C" w14:textId="77777777" w:rsidTr="00A7264E">
        <w:tc>
          <w:tcPr>
            <w:tcW w:w="3237" w:type="dxa"/>
          </w:tcPr>
          <w:p w14:paraId="55E22FDD" w14:textId="77777777" w:rsidR="00A7264E" w:rsidRDefault="00FD019F" w:rsidP="007B24EE">
            <w:pPr>
              <w:jc w:val="center"/>
            </w:pPr>
            <w:r>
              <w:t>&lt; $87,000</w:t>
            </w:r>
          </w:p>
        </w:tc>
        <w:tc>
          <w:tcPr>
            <w:tcW w:w="3425" w:type="dxa"/>
          </w:tcPr>
          <w:p w14:paraId="61531B62" w14:textId="77777777" w:rsidR="00A7264E" w:rsidRDefault="009D0EAD" w:rsidP="00E761BF">
            <w:pPr>
              <w:jc w:val="center"/>
            </w:pPr>
            <w:r>
              <w:t>3.20 cents</w:t>
            </w:r>
          </w:p>
        </w:tc>
      </w:tr>
      <w:tr w:rsidR="00A7264E" w14:paraId="10F0D2F9" w14:textId="77777777" w:rsidTr="00A7264E">
        <w:tc>
          <w:tcPr>
            <w:tcW w:w="3237" w:type="dxa"/>
          </w:tcPr>
          <w:p w14:paraId="75CEAB45" w14:textId="77777777" w:rsidR="00A7264E" w:rsidRDefault="007B24EE" w:rsidP="007B24EE">
            <w:pPr>
              <w:jc w:val="center"/>
            </w:pPr>
            <w:r>
              <w:t>&lt;$180,000</w:t>
            </w:r>
          </w:p>
        </w:tc>
        <w:tc>
          <w:tcPr>
            <w:tcW w:w="3425" w:type="dxa"/>
          </w:tcPr>
          <w:p w14:paraId="148D6F3A" w14:textId="77777777" w:rsidR="00A7264E" w:rsidRDefault="00E761BF" w:rsidP="00E761BF">
            <w:pPr>
              <w:jc w:val="center"/>
            </w:pPr>
            <w:r>
              <w:t>4.20 cents</w:t>
            </w:r>
          </w:p>
        </w:tc>
      </w:tr>
      <w:tr w:rsidR="007B24EE" w14:paraId="49C4DB8D" w14:textId="77777777" w:rsidTr="00A7264E">
        <w:tc>
          <w:tcPr>
            <w:tcW w:w="3237" w:type="dxa"/>
          </w:tcPr>
          <w:p w14:paraId="01DA5834" w14:textId="77777777" w:rsidR="007B24EE" w:rsidRDefault="007B24EE" w:rsidP="007B24EE">
            <w:pPr>
              <w:jc w:val="center"/>
            </w:pPr>
            <w:r>
              <w:t>&gt;$180,000</w:t>
            </w:r>
          </w:p>
        </w:tc>
        <w:tc>
          <w:tcPr>
            <w:tcW w:w="3425" w:type="dxa"/>
          </w:tcPr>
          <w:p w14:paraId="307669C8" w14:textId="77777777" w:rsidR="007B24EE" w:rsidRDefault="00E761BF" w:rsidP="00E761BF">
            <w:pPr>
              <w:jc w:val="center"/>
            </w:pPr>
            <w:r>
              <w:t>6.40 cents</w:t>
            </w:r>
          </w:p>
        </w:tc>
      </w:tr>
    </w:tbl>
    <w:p w14:paraId="25CED1AC" w14:textId="77777777" w:rsidR="00874837" w:rsidRPr="009D0EAD" w:rsidRDefault="008673DD" w:rsidP="008673DD">
      <w:pPr>
        <w:pStyle w:val="ListParagraph"/>
        <w:numPr>
          <w:ilvl w:val="0"/>
          <w:numId w:val="23"/>
        </w:numPr>
        <w:rPr>
          <w:i/>
          <w:sz w:val="18"/>
          <w:szCs w:val="18"/>
        </w:rPr>
      </w:pPr>
      <w:r w:rsidRPr="009D0EAD">
        <w:rPr>
          <w:i/>
          <w:sz w:val="18"/>
          <w:szCs w:val="18"/>
        </w:rPr>
        <w:t>Assumes the income stream is 100% taxable taxed component.</w:t>
      </w:r>
    </w:p>
    <w:p w14:paraId="0A4E69E3" w14:textId="77777777" w:rsidR="005D7A2C" w:rsidRPr="005D7A2C" w:rsidRDefault="005D7A2C" w:rsidP="005D7A2C">
      <w:pPr>
        <w:rPr>
          <w:sz w:val="20"/>
          <w:szCs w:val="20"/>
        </w:rPr>
      </w:pPr>
      <w:r>
        <w:rPr>
          <w:sz w:val="20"/>
          <w:szCs w:val="20"/>
        </w:rPr>
        <w:t xml:space="preserve"> </w:t>
      </w:r>
    </w:p>
    <w:p w14:paraId="7D40D7FE" w14:textId="77777777" w:rsidR="00E4620E" w:rsidRDefault="00D1608F" w:rsidP="00D1608F">
      <w:pPr>
        <w:rPr>
          <w:sz w:val="20"/>
          <w:szCs w:val="20"/>
        </w:rPr>
      </w:pPr>
      <w:r w:rsidRPr="00D1608F">
        <w:rPr>
          <w:sz w:val="20"/>
          <w:szCs w:val="20"/>
        </w:rPr>
        <w:t>If an adviser was to charge</w:t>
      </w:r>
      <w:r>
        <w:rPr>
          <w:sz w:val="20"/>
          <w:szCs w:val="20"/>
        </w:rPr>
        <w:t xml:space="preserve"> $2,200 Plan Preparation fee for this strategy</w:t>
      </w:r>
      <w:r w:rsidR="008B2A64">
        <w:rPr>
          <w:sz w:val="20"/>
          <w:szCs w:val="20"/>
        </w:rPr>
        <w:t xml:space="preserve">, recommending </w:t>
      </w:r>
      <w:r w:rsidR="00E4620E">
        <w:rPr>
          <w:sz w:val="20"/>
          <w:szCs w:val="20"/>
        </w:rPr>
        <w:t xml:space="preserve">salary sacrifice of $10,000 </w:t>
      </w:r>
      <w:r w:rsidR="00965D7B">
        <w:rPr>
          <w:sz w:val="20"/>
          <w:szCs w:val="20"/>
        </w:rPr>
        <w:t>to</w:t>
      </w:r>
      <w:r w:rsidR="00E4620E">
        <w:rPr>
          <w:sz w:val="20"/>
          <w:szCs w:val="20"/>
        </w:rPr>
        <w:t xml:space="preserve"> reduce assessable income from $80,000 to $70,000 (say) per annum for 2 years, the client would only be better off by $</w:t>
      </w:r>
      <w:r w:rsidR="004C5781">
        <w:rPr>
          <w:sz w:val="20"/>
          <w:szCs w:val="20"/>
        </w:rPr>
        <w:t>320 per annum.</w:t>
      </w:r>
    </w:p>
    <w:p w14:paraId="3BAB23C2" w14:textId="77777777" w:rsidR="00E4620E" w:rsidRPr="00D1608F" w:rsidRDefault="00E4620E" w:rsidP="00D1608F">
      <w:pPr>
        <w:rPr>
          <w:sz w:val="20"/>
          <w:szCs w:val="20"/>
        </w:rPr>
      </w:pPr>
    </w:p>
    <w:p w14:paraId="2F87A650" w14:textId="6C9F2379" w:rsidR="00797E2E" w:rsidRDefault="00797E2E" w:rsidP="00D1608F">
      <w:pPr>
        <w:rPr>
          <w:sz w:val="20"/>
          <w:szCs w:val="20"/>
        </w:rPr>
      </w:pPr>
      <w:r w:rsidRPr="00797E2E">
        <w:rPr>
          <w:sz w:val="20"/>
          <w:szCs w:val="20"/>
        </w:rPr>
        <w:t xml:space="preserve">The better arbitrage </w:t>
      </w:r>
      <w:r w:rsidR="008F298F">
        <w:rPr>
          <w:sz w:val="20"/>
          <w:szCs w:val="20"/>
        </w:rPr>
        <w:t>at</w:t>
      </w:r>
      <w:r w:rsidRPr="00797E2E">
        <w:rPr>
          <w:sz w:val="20"/>
          <w:szCs w:val="20"/>
        </w:rPr>
        <w:t xml:space="preserve"> the higher MTRs is </w:t>
      </w:r>
      <w:r>
        <w:rPr>
          <w:sz w:val="20"/>
          <w:szCs w:val="20"/>
        </w:rPr>
        <w:t xml:space="preserve">severely </w:t>
      </w:r>
      <w:r w:rsidR="00D65ECB">
        <w:rPr>
          <w:sz w:val="20"/>
          <w:szCs w:val="20"/>
        </w:rPr>
        <w:t>offset</w:t>
      </w:r>
      <w:r>
        <w:rPr>
          <w:sz w:val="20"/>
          <w:szCs w:val="20"/>
        </w:rPr>
        <w:t xml:space="preserve"> </w:t>
      </w:r>
      <w:r w:rsidRPr="00797E2E">
        <w:rPr>
          <w:sz w:val="20"/>
          <w:szCs w:val="20"/>
        </w:rPr>
        <w:t>by the concessional contributions cap.</w:t>
      </w:r>
    </w:p>
    <w:p w14:paraId="3020BBA4" w14:textId="1EC020EB" w:rsidR="00E37657" w:rsidRDefault="00E37657" w:rsidP="00D1608F">
      <w:pPr>
        <w:rPr>
          <w:sz w:val="20"/>
          <w:szCs w:val="20"/>
        </w:rPr>
      </w:pPr>
    </w:p>
    <w:p w14:paraId="4BBB9722" w14:textId="77777777" w:rsidR="00E86545" w:rsidRDefault="00E86545" w:rsidP="00D1608F">
      <w:pPr>
        <w:rPr>
          <w:sz w:val="20"/>
          <w:szCs w:val="20"/>
        </w:rPr>
      </w:pPr>
    </w:p>
    <w:p w14:paraId="416156E8" w14:textId="77777777" w:rsidR="008D1F4D" w:rsidRPr="008D1F4D" w:rsidRDefault="008D1F4D" w:rsidP="008D1F4D">
      <w:pPr>
        <w:pStyle w:val="Heading2"/>
        <w:rPr>
          <w:rFonts w:eastAsia="Times New Roman"/>
          <w:b/>
          <w:sz w:val="28"/>
          <w:szCs w:val="28"/>
        </w:rPr>
      </w:pPr>
      <w:bookmarkStart w:id="36" w:name="_Toc36642387"/>
      <w:r w:rsidRPr="008D1F4D">
        <w:rPr>
          <w:rFonts w:eastAsia="Times New Roman"/>
          <w:b/>
          <w:sz w:val="28"/>
          <w:szCs w:val="28"/>
        </w:rPr>
        <w:t>Gearing / Margin Loan / LRBA</w:t>
      </w:r>
      <w:bookmarkEnd w:id="36"/>
    </w:p>
    <w:p w14:paraId="4E4FE1AA" w14:textId="77777777" w:rsidR="008D1F4D" w:rsidRDefault="008D1F4D" w:rsidP="008D1F4D">
      <w:pPr>
        <w:rPr>
          <w:sz w:val="16"/>
          <w:szCs w:val="16"/>
        </w:rPr>
      </w:pPr>
    </w:p>
    <w:p w14:paraId="6991195C" w14:textId="72659074" w:rsidR="008D1F4D" w:rsidRDefault="008D1F4D" w:rsidP="008D1F4D">
      <w:pPr>
        <w:rPr>
          <w:sz w:val="20"/>
          <w:szCs w:val="20"/>
        </w:rPr>
      </w:pPr>
      <w:r>
        <w:rPr>
          <w:sz w:val="20"/>
          <w:szCs w:val="20"/>
        </w:rPr>
        <w:t xml:space="preserve">Investment loans (equity, margin, </w:t>
      </w:r>
      <w:r w:rsidR="0059171B">
        <w:rPr>
          <w:sz w:val="20"/>
          <w:szCs w:val="20"/>
        </w:rPr>
        <w:t>personal,</w:t>
      </w:r>
      <w:r>
        <w:rPr>
          <w:sz w:val="20"/>
          <w:szCs w:val="20"/>
        </w:rPr>
        <w:t xml:space="preserve"> mortgage) can be appropriate for some clients. </w:t>
      </w:r>
    </w:p>
    <w:p w14:paraId="7E86E01F" w14:textId="1F3B447C" w:rsidR="008D1F4D" w:rsidRDefault="008D1F4D" w:rsidP="008D1F4D">
      <w:pPr>
        <w:rPr>
          <w:sz w:val="20"/>
          <w:szCs w:val="20"/>
        </w:rPr>
      </w:pPr>
      <w:r>
        <w:rPr>
          <w:sz w:val="20"/>
          <w:szCs w:val="20"/>
        </w:rPr>
        <w:t xml:space="preserve">The </w:t>
      </w:r>
      <w:r w:rsidR="0059171B">
        <w:rPr>
          <w:sz w:val="20"/>
          <w:szCs w:val="20"/>
        </w:rPr>
        <w:t>strategy must</w:t>
      </w:r>
      <w:r>
        <w:rPr>
          <w:sz w:val="20"/>
          <w:szCs w:val="20"/>
        </w:rPr>
        <w:t xml:space="preserve"> be relevant to the “</w:t>
      </w:r>
      <w:r w:rsidR="00511C3A">
        <w:rPr>
          <w:sz w:val="20"/>
          <w:szCs w:val="20"/>
        </w:rPr>
        <w:t>C</w:t>
      </w:r>
      <w:r>
        <w:rPr>
          <w:sz w:val="20"/>
          <w:szCs w:val="20"/>
        </w:rPr>
        <w:t xml:space="preserve">lient </w:t>
      </w:r>
      <w:r w:rsidR="00511C3A">
        <w:rPr>
          <w:sz w:val="20"/>
          <w:szCs w:val="20"/>
        </w:rPr>
        <w:t>V</w:t>
      </w:r>
      <w:r>
        <w:rPr>
          <w:sz w:val="20"/>
          <w:szCs w:val="20"/>
        </w:rPr>
        <w:t>oice” and not contrived to the adviser’s benefit.</w:t>
      </w:r>
    </w:p>
    <w:p w14:paraId="1750EF37" w14:textId="77777777" w:rsidR="008D1F4D" w:rsidRDefault="008D1F4D" w:rsidP="008D1F4D"/>
    <w:p w14:paraId="16F5BE77" w14:textId="77777777" w:rsidR="008D1F4D" w:rsidRDefault="008D1F4D" w:rsidP="008D1F4D">
      <w:pPr>
        <w:rPr>
          <w:sz w:val="20"/>
          <w:szCs w:val="20"/>
        </w:rPr>
      </w:pPr>
      <w:r>
        <w:rPr>
          <w:sz w:val="20"/>
          <w:szCs w:val="20"/>
        </w:rPr>
        <w:t>When considering whether the recommendation of an investment loan is in the Best Interests of the client, the minimum hurdles are:</w:t>
      </w:r>
    </w:p>
    <w:p w14:paraId="6C989885" w14:textId="77777777" w:rsidR="008D1F4D" w:rsidRDefault="008D1F4D" w:rsidP="008D1F4D">
      <w:pPr>
        <w:numPr>
          <w:ilvl w:val="0"/>
          <w:numId w:val="32"/>
        </w:numPr>
        <w:rPr>
          <w:rFonts w:eastAsia="Times New Roman"/>
          <w:sz w:val="20"/>
          <w:szCs w:val="20"/>
        </w:rPr>
      </w:pPr>
      <w:bookmarkStart w:id="37" w:name="_Toc244413454"/>
      <w:r>
        <w:rPr>
          <w:rFonts w:eastAsia="Times New Roman"/>
          <w:sz w:val="20"/>
          <w:szCs w:val="20"/>
        </w:rPr>
        <w:t>Assessment of Unsuitability</w:t>
      </w:r>
      <w:bookmarkEnd w:id="37"/>
      <w:r>
        <w:rPr>
          <w:rFonts w:eastAsia="Times New Roman"/>
          <w:sz w:val="20"/>
          <w:szCs w:val="20"/>
        </w:rPr>
        <w:t xml:space="preserve"> (s985F Corps Act)</w:t>
      </w:r>
    </w:p>
    <w:p w14:paraId="3520167C" w14:textId="77777777" w:rsidR="008D1F4D" w:rsidRDefault="008D1F4D" w:rsidP="008D1F4D">
      <w:pPr>
        <w:ind w:left="1440"/>
        <w:rPr>
          <w:sz w:val="20"/>
          <w:szCs w:val="20"/>
        </w:rPr>
      </w:pPr>
      <w:r>
        <w:rPr>
          <w:sz w:val="20"/>
          <w:szCs w:val="20"/>
        </w:rPr>
        <w:t xml:space="preserve">A formal determination of whether a loan facility will be ‘unsuitable’ for the retail client if the facility is issued, or the limit is increased. </w:t>
      </w:r>
    </w:p>
    <w:p w14:paraId="2B0B69BE" w14:textId="77777777" w:rsidR="008D1F4D" w:rsidRDefault="008D1F4D" w:rsidP="008D1F4D">
      <w:pPr>
        <w:pStyle w:val="ListParagraph"/>
        <w:ind w:left="1068"/>
        <w:rPr>
          <w:color w:val="000000"/>
          <w:sz w:val="16"/>
          <w:szCs w:val="16"/>
          <w:shd w:val="clear" w:color="auto" w:fill="FFFFFF"/>
        </w:rPr>
      </w:pPr>
    </w:p>
    <w:p w14:paraId="6FE45791" w14:textId="77777777" w:rsidR="008D1F4D" w:rsidRDefault="008D1F4D" w:rsidP="008D1F4D">
      <w:pPr>
        <w:ind w:left="720" w:firstLine="720"/>
        <w:rPr>
          <w:sz w:val="20"/>
          <w:szCs w:val="20"/>
        </w:rPr>
      </w:pPr>
      <w:r>
        <w:rPr>
          <w:sz w:val="20"/>
          <w:szCs w:val="20"/>
        </w:rPr>
        <w:t xml:space="preserve">This assessment must be reflected in the </w:t>
      </w:r>
      <w:proofErr w:type="spellStart"/>
      <w:r>
        <w:rPr>
          <w:sz w:val="20"/>
          <w:szCs w:val="20"/>
        </w:rPr>
        <w:t>SoA</w:t>
      </w:r>
      <w:proofErr w:type="spellEnd"/>
      <w:r>
        <w:rPr>
          <w:sz w:val="20"/>
          <w:szCs w:val="20"/>
        </w:rPr>
        <w:t xml:space="preserve"> within 90 days prior to implementation.</w:t>
      </w:r>
    </w:p>
    <w:p w14:paraId="260042B3" w14:textId="77777777" w:rsidR="008D1F4D" w:rsidRDefault="008D1F4D" w:rsidP="008D1F4D">
      <w:pPr>
        <w:rPr>
          <w:sz w:val="16"/>
          <w:szCs w:val="16"/>
        </w:rPr>
      </w:pPr>
    </w:p>
    <w:p w14:paraId="730B8B97" w14:textId="77777777" w:rsidR="008D1F4D" w:rsidRDefault="008D1F4D" w:rsidP="008D1F4D">
      <w:pPr>
        <w:ind w:left="1428"/>
        <w:rPr>
          <w:sz w:val="20"/>
          <w:szCs w:val="20"/>
        </w:rPr>
      </w:pPr>
      <w:r>
        <w:rPr>
          <w:sz w:val="20"/>
          <w:szCs w:val="20"/>
        </w:rPr>
        <w:t xml:space="preserve">Our standard </w:t>
      </w:r>
      <w:proofErr w:type="spellStart"/>
      <w:r>
        <w:rPr>
          <w:sz w:val="20"/>
          <w:szCs w:val="20"/>
        </w:rPr>
        <w:t>SoA</w:t>
      </w:r>
      <w:proofErr w:type="spellEnd"/>
      <w:r>
        <w:rPr>
          <w:sz w:val="20"/>
          <w:szCs w:val="20"/>
        </w:rPr>
        <w:t xml:space="preserve"> template provides some explicit sectional prompts for this requirement: benefits gained/lost, risks of the advice, further consequences, alternative strategies considered.</w:t>
      </w:r>
    </w:p>
    <w:p w14:paraId="1CF71366" w14:textId="77777777" w:rsidR="008D1F4D" w:rsidRDefault="008D1F4D" w:rsidP="008D1F4D"/>
    <w:p w14:paraId="4DAFE720" w14:textId="77777777" w:rsidR="008D1F4D" w:rsidRDefault="008D1F4D" w:rsidP="008D1F4D">
      <w:pPr>
        <w:numPr>
          <w:ilvl w:val="0"/>
          <w:numId w:val="32"/>
        </w:numPr>
        <w:rPr>
          <w:rFonts w:eastAsia="Times New Roman"/>
          <w:sz w:val="20"/>
          <w:szCs w:val="20"/>
        </w:rPr>
      </w:pPr>
      <w:bookmarkStart w:id="38" w:name="_Toc244413455"/>
      <w:r>
        <w:rPr>
          <w:rFonts w:eastAsia="Times New Roman"/>
          <w:sz w:val="20"/>
          <w:szCs w:val="20"/>
        </w:rPr>
        <w:t>Reasonable inquiries about the retail client</w:t>
      </w:r>
      <w:bookmarkEnd w:id="38"/>
      <w:r>
        <w:rPr>
          <w:rFonts w:eastAsia="Times New Roman"/>
          <w:sz w:val="20"/>
          <w:szCs w:val="20"/>
        </w:rPr>
        <w:t xml:space="preserve"> (s985G Corps Act)</w:t>
      </w:r>
    </w:p>
    <w:p w14:paraId="7042A3DE" w14:textId="77777777" w:rsidR="008D1F4D" w:rsidRDefault="008D1F4D" w:rsidP="008D1F4D">
      <w:pPr>
        <w:ind w:left="1428"/>
        <w:rPr>
          <w:sz w:val="20"/>
          <w:szCs w:val="20"/>
        </w:rPr>
      </w:pPr>
      <w:r>
        <w:rPr>
          <w:sz w:val="20"/>
          <w:szCs w:val="20"/>
        </w:rPr>
        <w:t xml:space="preserve">Whilst this implies both a comprehensive Fact Find and detailed client/product research, it also encompasses ‘affordability </w:t>
      </w:r>
      <w:proofErr w:type="gramStart"/>
      <w:r>
        <w:rPr>
          <w:sz w:val="20"/>
          <w:szCs w:val="20"/>
        </w:rPr>
        <w:t>projections’</w:t>
      </w:r>
      <w:proofErr w:type="gramEnd"/>
      <w:r>
        <w:rPr>
          <w:sz w:val="20"/>
          <w:szCs w:val="20"/>
        </w:rPr>
        <w:t xml:space="preserve">. </w:t>
      </w:r>
    </w:p>
    <w:p w14:paraId="47957568" w14:textId="77777777" w:rsidR="008D1F4D" w:rsidRDefault="008D1F4D" w:rsidP="008D1F4D">
      <w:pPr>
        <w:ind w:left="1428"/>
        <w:rPr>
          <w:sz w:val="16"/>
          <w:szCs w:val="16"/>
        </w:rPr>
      </w:pPr>
    </w:p>
    <w:p w14:paraId="4BC5F710" w14:textId="77777777" w:rsidR="008D1F4D" w:rsidRDefault="008D1F4D" w:rsidP="008D1F4D">
      <w:pPr>
        <w:ind w:left="1428"/>
        <w:rPr>
          <w:sz w:val="20"/>
          <w:szCs w:val="20"/>
        </w:rPr>
      </w:pPr>
      <w:r>
        <w:rPr>
          <w:sz w:val="20"/>
          <w:szCs w:val="20"/>
        </w:rPr>
        <w:t>Such projections must incorporate the potential effects of an increased interest rate.</w:t>
      </w:r>
    </w:p>
    <w:p w14:paraId="04A40A51" w14:textId="77777777" w:rsidR="008D1F4D" w:rsidRDefault="008D1F4D" w:rsidP="008D1F4D">
      <w:pPr>
        <w:ind w:left="1428"/>
        <w:rPr>
          <w:sz w:val="20"/>
          <w:szCs w:val="20"/>
        </w:rPr>
      </w:pPr>
      <w:r>
        <w:rPr>
          <w:sz w:val="20"/>
          <w:szCs w:val="20"/>
        </w:rPr>
        <w:t xml:space="preserve">At </w:t>
      </w:r>
      <w:proofErr w:type="spellStart"/>
      <w:r>
        <w:rPr>
          <w:sz w:val="20"/>
          <w:szCs w:val="20"/>
        </w:rPr>
        <w:t>InterPrac</w:t>
      </w:r>
      <w:proofErr w:type="spellEnd"/>
      <w:r>
        <w:rPr>
          <w:sz w:val="20"/>
          <w:szCs w:val="20"/>
        </w:rPr>
        <w:t xml:space="preserve">, this increase is to be 3% above the actual rate that will be disclosed in the </w:t>
      </w:r>
      <w:proofErr w:type="spellStart"/>
      <w:r>
        <w:rPr>
          <w:sz w:val="20"/>
          <w:szCs w:val="20"/>
        </w:rPr>
        <w:t>SoA</w:t>
      </w:r>
      <w:proofErr w:type="spellEnd"/>
      <w:r>
        <w:rPr>
          <w:sz w:val="20"/>
          <w:szCs w:val="20"/>
        </w:rPr>
        <w:t>.</w:t>
      </w:r>
    </w:p>
    <w:p w14:paraId="242C6F50" w14:textId="77777777" w:rsidR="008D1F4D" w:rsidRDefault="008D1F4D" w:rsidP="008D1F4D">
      <w:pPr>
        <w:ind w:left="1428"/>
        <w:rPr>
          <w:sz w:val="16"/>
          <w:szCs w:val="16"/>
        </w:rPr>
      </w:pPr>
    </w:p>
    <w:p w14:paraId="57B71824" w14:textId="77777777" w:rsidR="008D1F4D" w:rsidRDefault="008D1F4D" w:rsidP="008D1F4D">
      <w:pPr>
        <w:ind w:left="1428"/>
        <w:rPr>
          <w:sz w:val="20"/>
          <w:szCs w:val="20"/>
        </w:rPr>
      </w:pPr>
      <w:r>
        <w:rPr>
          <w:sz w:val="20"/>
          <w:szCs w:val="20"/>
        </w:rPr>
        <w:t xml:space="preserve">This projection, depending upon complexity, can appear in the Appendix but must be referred to explicitly in the body of the </w:t>
      </w:r>
      <w:proofErr w:type="spellStart"/>
      <w:r>
        <w:rPr>
          <w:sz w:val="20"/>
          <w:szCs w:val="20"/>
        </w:rPr>
        <w:t>SoA</w:t>
      </w:r>
      <w:proofErr w:type="spellEnd"/>
      <w:r>
        <w:rPr>
          <w:sz w:val="20"/>
          <w:szCs w:val="20"/>
        </w:rPr>
        <w:t>.</w:t>
      </w:r>
    </w:p>
    <w:p w14:paraId="2626133E" w14:textId="77777777" w:rsidR="008D1F4D" w:rsidRDefault="008D1F4D" w:rsidP="008D1F4D">
      <w:pPr>
        <w:rPr>
          <w:b/>
          <w:bCs/>
          <w:sz w:val="20"/>
          <w:szCs w:val="20"/>
        </w:rPr>
      </w:pPr>
      <w:r>
        <w:rPr>
          <w:b/>
          <w:bCs/>
          <w:sz w:val="20"/>
          <w:szCs w:val="20"/>
        </w:rPr>
        <w:t>Margin Lending</w:t>
      </w:r>
    </w:p>
    <w:p w14:paraId="1DBCF629" w14:textId="77777777" w:rsidR="008D1F4D" w:rsidRDefault="008D1F4D" w:rsidP="008D1F4D">
      <w:pPr>
        <w:rPr>
          <w:sz w:val="20"/>
          <w:szCs w:val="20"/>
        </w:rPr>
      </w:pPr>
      <w:r>
        <w:rPr>
          <w:sz w:val="20"/>
          <w:szCs w:val="20"/>
        </w:rPr>
        <w:t xml:space="preserve">Typically, the ability to meet margin calls with sufficient surplus cashflow, must be demonstrated. </w:t>
      </w:r>
    </w:p>
    <w:p w14:paraId="753C450E" w14:textId="77777777" w:rsidR="008D1F4D" w:rsidRDefault="008D1F4D" w:rsidP="008D1F4D">
      <w:pPr>
        <w:rPr>
          <w:sz w:val="20"/>
          <w:szCs w:val="20"/>
        </w:rPr>
      </w:pPr>
    </w:p>
    <w:p w14:paraId="243212D6" w14:textId="77777777" w:rsidR="008D1F4D" w:rsidRDefault="008D1F4D" w:rsidP="008D1F4D">
      <w:pPr>
        <w:rPr>
          <w:sz w:val="20"/>
          <w:szCs w:val="20"/>
        </w:rPr>
      </w:pPr>
      <w:r>
        <w:rPr>
          <w:sz w:val="20"/>
          <w:szCs w:val="20"/>
        </w:rPr>
        <w:t>It is important that more than one increase in interest rates be evidenced by calculation.</w:t>
      </w:r>
    </w:p>
    <w:p w14:paraId="3009732F" w14:textId="77777777" w:rsidR="008D1F4D" w:rsidRDefault="008D1F4D" w:rsidP="008D1F4D">
      <w:pPr>
        <w:rPr>
          <w:sz w:val="20"/>
          <w:szCs w:val="20"/>
        </w:rPr>
      </w:pPr>
      <w:r>
        <w:rPr>
          <w:sz w:val="20"/>
          <w:szCs w:val="20"/>
        </w:rPr>
        <w:t xml:space="preserve">At </w:t>
      </w:r>
      <w:proofErr w:type="spellStart"/>
      <w:r>
        <w:rPr>
          <w:sz w:val="20"/>
          <w:szCs w:val="20"/>
        </w:rPr>
        <w:t>InterPrac</w:t>
      </w:r>
      <w:proofErr w:type="spellEnd"/>
      <w:r>
        <w:rPr>
          <w:sz w:val="20"/>
          <w:szCs w:val="20"/>
        </w:rPr>
        <w:t xml:space="preserve">, the increase(s) projected must include ‘3%’ above the actual rate disclosed in the </w:t>
      </w:r>
      <w:proofErr w:type="spellStart"/>
      <w:r>
        <w:rPr>
          <w:sz w:val="20"/>
          <w:szCs w:val="20"/>
        </w:rPr>
        <w:t>SoA</w:t>
      </w:r>
      <w:proofErr w:type="spellEnd"/>
      <w:r>
        <w:rPr>
          <w:sz w:val="20"/>
          <w:szCs w:val="20"/>
        </w:rPr>
        <w:t>.</w:t>
      </w:r>
    </w:p>
    <w:p w14:paraId="7594AAF0" w14:textId="77777777" w:rsidR="008D1F4D" w:rsidRDefault="008D1F4D" w:rsidP="008D1F4D"/>
    <w:p w14:paraId="636EA35C" w14:textId="77777777" w:rsidR="008D1F4D" w:rsidRDefault="008D1F4D" w:rsidP="008D1F4D">
      <w:pPr>
        <w:rPr>
          <w:b/>
          <w:bCs/>
          <w:sz w:val="20"/>
          <w:szCs w:val="20"/>
        </w:rPr>
      </w:pPr>
      <w:r>
        <w:rPr>
          <w:b/>
          <w:bCs/>
          <w:sz w:val="20"/>
          <w:szCs w:val="20"/>
        </w:rPr>
        <w:t>Limited Recourse Borrowing</w:t>
      </w:r>
    </w:p>
    <w:p w14:paraId="267DE919" w14:textId="77777777" w:rsidR="008D1F4D" w:rsidRDefault="008D1F4D" w:rsidP="008D1F4D">
      <w:pPr>
        <w:rPr>
          <w:sz w:val="20"/>
          <w:szCs w:val="20"/>
        </w:rPr>
      </w:pPr>
      <w:r>
        <w:rPr>
          <w:sz w:val="20"/>
          <w:szCs w:val="20"/>
        </w:rPr>
        <w:t xml:space="preserve">Whilst this isn’t a personal borrowing under the above sections of the Act, recommendations indicating a specific/minimum loan amount should be addressed for ‘affordability’. </w:t>
      </w:r>
    </w:p>
    <w:p w14:paraId="47643468" w14:textId="77777777" w:rsidR="008D1F4D" w:rsidRDefault="008D1F4D" w:rsidP="008D1F4D">
      <w:pPr>
        <w:rPr>
          <w:sz w:val="20"/>
          <w:szCs w:val="20"/>
        </w:rPr>
      </w:pPr>
      <w:r>
        <w:rPr>
          <w:sz w:val="20"/>
          <w:szCs w:val="20"/>
        </w:rPr>
        <w:t>This affordability is in the context of the reasonably foreseeable responsibilities of the Trustees to provide retirement/pension benefits and liquidity for fund expenses.</w:t>
      </w:r>
    </w:p>
    <w:p w14:paraId="6A3B48D4" w14:textId="77777777" w:rsidR="008D1F4D" w:rsidRDefault="008D1F4D" w:rsidP="008D1F4D">
      <w:pPr>
        <w:rPr>
          <w:sz w:val="20"/>
          <w:szCs w:val="20"/>
        </w:rPr>
      </w:pPr>
    </w:p>
    <w:p w14:paraId="7F65DF0E" w14:textId="77777777" w:rsidR="008D1F4D" w:rsidRDefault="008D1F4D" w:rsidP="008D1F4D">
      <w:pPr>
        <w:rPr>
          <w:sz w:val="20"/>
          <w:szCs w:val="20"/>
        </w:rPr>
      </w:pPr>
      <w:r>
        <w:rPr>
          <w:sz w:val="20"/>
          <w:szCs w:val="20"/>
        </w:rPr>
        <w:lastRenderedPageBreak/>
        <w:t xml:space="preserve">Whilst a projection may not always be necessary, a clear indication of how upcoming liabilities will be met is crucial. </w:t>
      </w:r>
    </w:p>
    <w:p w14:paraId="022B0776" w14:textId="0F75B024" w:rsidR="008D1F4D" w:rsidRDefault="008D1F4D" w:rsidP="008D1F4D">
      <w:pPr>
        <w:rPr>
          <w:sz w:val="20"/>
          <w:szCs w:val="20"/>
        </w:rPr>
      </w:pPr>
      <w:r>
        <w:rPr>
          <w:sz w:val="20"/>
          <w:szCs w:val="20"/>
        </w:rPr>
        <w:t xml:space="preserve">An indication that is too broad </w:t>
      </w:r>
      <w:proofErr w:type="spellStart"/>
      <w:r>
        <w:rPr>
          <w:sz w:val="20"/>
          <w:szCs w:val="20"/>
        </w:rPr>
        <w:t>eg.</w:t>
      </w:r>
      <w:proofErr w:type="spellEnd"/>
      <w:r>
        <w:rPr>
          <w:sz w:val="20"/>
          <w:szCs w:val="20"/>
        </w:rPr>
        <w:t xml:space="preserve"> ‘</w:t>
      </w:r>
      <w:r w:rsidR="00C8275E">
        <w:rPr>
          <w:sz w:val="20"/>
          <w:szCs w:val="20"/>
        </w:rPr>
        <w:t xml:space="preserve">using </w:t>
      </w:r>
      <w:r>
        <w:rPr>
          <w:sz w:val="20"/>
          <w:szCs w:val="20"/>
        </w:rPr>
        <w:t xml:space="preserve">future employer contributions’ would be insufficient. </w:t>
      </w:r>
    </w:p>
    <w:p w14:paraId="47C9F895" w14:textId="67A3A3B5" w:rsidR="008D1F4D" w:rsidRDefault="0059171B" w:rsidP="008D1F4D">
      <w:pPr>
        <w:rPr>
          <w:sz w:val="20"/>
          <w:szCs w:val="20"/>
        </w:rPr>
      </w:pPr>
      <w:r>
        <w:rPr>
          <w:sz w:val="20"/>
          <w:szCs w:val="20"/>
        </w:rPr>
        <w:t>However,</w:t>
      </w:r>
      <w:r w:rsidR="008D1F4D">
        <w:rPr>
          <w:sz w:val="20"/>
          <w:szCs w:val="20"/>
        </w:rPr>
        <w:t xml:space="preserve"> ‘future employer contributions of $300 pf for the next 10 years until retirement’ could be sufficiently specific given a suitable context.</w:t>
      </w:r>
    </w:p>
    <w:p w14:paraId="2A52473F" w14:textId="77777777" w:rsidR="008D1F4D" w:rsidRDefault="008D1F4D" w:rsidP="008D1F4D"/>
    <w:p w14:paraId="31840192" w14:textId="77777777" w:rsidR="008D1F4D" w:rsidRDefault="008D1F4D" w:rsidP="008D1F4D">
      <w:pPr>
        <w:rPr>
          <w:sz w:val="20"/>
          <w:szCs w:val="20"/>
        </w:rPr>
      </w:pPr>
      <w:r>
        <w:rPr>
          <w:sz w:val="20"/>
          <w:szCs w:val="20"/>
        </w:rPr>
        <w:t xml:space="preserve">Ideally, a projection over the expected life of the LRBA arrangement would be included in the </w:t>
      </w:r>
      <w:proofErr w:type="spellStart"/>
      <w:r>
        <w:rPr>
          <w:sz w:val="20"/>
          <w:szCs w:val="20"/>
        </w:rPr>
        <w:t>SoA</w:t>
      </w:r>
      <w:proofErr w:type="spellEnd"/>
      <w:r>
        <w:rPr>
          <w:sz w:val="20"/>
          <w:szCs w:val="20"/>
        </w:rPr>
        <w:t xml:space="preserve"> Appendix.</w:t>
      </w:r>
    </w:p>
    <w:p w14:paraId="03ED374B" w14:textId="77777777" w:rsidR="00095747" w:rsidRDefault="00095747" w:rsidP="0019148B"/>
    <w:p w14:paraId="1A9BE752" w14:textId="77777777" w:rsidR="00304265" w:rsidRDefault="00304265" w:rsidP="000A469A">
      <w:pPr>
        <w:rPr>
          <w:rFonts w:eastAsia="Times New Roman"/>
          <w:b/>
          <w:sz w:val="28"/>
          <w:szCs w:val="28"/>
        </w:rPr>
      </w:pPr>
    </w:p>
    <w:p w14:paraId="23FF1DCD" w14:textId="43E07E4E" w:rsidR="009E0EA7" w:rsidRDefault="008133A1" w:rsidP="009E0EA7">
      <w:pPr>
        <w:pStyle w:val="Heading2"/>
        <w:rPr>
          <w:rFonts w:eastAsia="Times New Roman"/>
          <w:b/>
          <w:sz w:val="28"/>
          <w:szCs w:val="28"/>
        </w:rPr>
      </w:pPr>
      <w:bookmarkStart w:id="39" w:name="_Toc36642388"/>
      <w:r>
        <w:rPr>
          <w:rFonts w:eastAsia="Times New Roman"/>
          <w:b/>
          <w:sz w:val="28"/>
          <w:szCs w:val="28"/>
        </w:rPr>
        <w:t>Implementation</w:t>
      </w:r>
      <w:r w:rsidR="009E0EA7">
        <w:rPr>
          <w:rFonts w:eastAsia="Times New Roman"/>
          <w:b/>
          <w:sz w:val="28"/>
          <w:szCs w:val="28"/>
        </w:rPr>
        <w:t xml:space="preserve"> Only ‘advice’</w:t>
      </w:r>
      <w:r w:rsidR="0083252C">
        <w:rPr>
          <w:rFonts w:eastAsia="Times New Roman"/>
          <w:b/>
          <w:sz w:val="28"/>
          <w:szCs w:val="28"/>
        </w:rPr>
        <w:t xml:space="preserve"> </w:t>
      </w:r>
      <w:r w:rsidR="0083252C" w:rsidRPr="0083252C">
        <w:rPr>
          <w:rFonts w:eastAsia="Times New Roman"/>
          <w:b/>
          <w:sz w:val="20"/>
          <w:szCs w:val="20"/>
        </w:rPr>
        <w:t>(transaction service) (nil advice) (execution only)</w:t>
      </w:r>
      <w:bookmarkEnd w:id="39"/>
    </w:p>
    <w:p w14:paraId="771359D7" w14:textId="77777777" w:rsidR="008133A1" w:rsidRDefault="008133A1" w:rsidP="008133A1">
      <w:pPr>
        <w:pStyle w:val="ListParagraph"/>
        <w:rPr>
          <w:sz w:val="20"/>
          <w:szCs w:val="20"/>
        </w:rPr>
      </w:pPr>
    </w:p>
    <w:p w14:paraId="28389FC6" w14:textId="1B417EEA" w:rsidR="008133A1" w:rsidRDefault="008133A1" w:rsidP="008133A1">
      <w:pPr>
        <w:rPr>
          <w:sz w:val="20"/>
          <w:szCs w:val="20"/>
        </w:rPr>
      </w:pPr>
      <w:r>
        <w:rPr>
          <w:sz w:val="20"/>
          <w:szCs w:val="20"/>
        </w:rPr>
        <w:t>This is not really ‘advice’ at all. The client directs in detail a particular implementation and the Adviser agrees to facilitate. An Adviser is not obliged to facilitate especially if the dire</w:t>
      </w:r>
      <w:r w:rsidR="001508B6">
        <w:rPr>
          <w:sz w:val="20"/>
          <w:szCs w:val="20"/>
        </w:rPr>
        <w:t>ction is inappropriate or risky.</w:t>
      </w:r>
    </w:p>
    <w:p w14:paraId="3AAE944D" w14:textId="77777777" w:rsidR="001508B6" w:rsidRDefault="001508B6" w:rsidP="008133A1">
      <w:pPr>
        <w:rPr>
          <w:sz w:val="20"/>
          <w:szCs w:val="20"/>
        </w:rPr>
      </w:pPr>
    </w:p>
    <w:p w14:paraId="3FE5B0B6" w14:textId="0DB5BAC6" w:rsidR="008133A1" w:rsidRDefault="008133A1" w:rsidP="008133A1">
      <w:pPr>
        <w:rPr>
          <w:sz w:val="20"/>
          <w:szCs w:val="20"/>
        </w:rPr>
      </w:pPr>
      <w:r>
        <w:rPr>
          <w:sz w:val="20"/>
          <w:szCs w:val="20"/>
        </w:rPr>
        <w:t xml:space="preserve">Use </w:t>
      </w:r>
      <w:proofErr w:type="spellStart"/>
      <w:r w:rsidRPr="00332123">
        <w:rPr>
          <w:i/>
          <w:sz w:val="20"/>
          <w:szCs w:val="20"/>
        </w:rPr>
        <w:t>InterPrac</w:t>
      </w:r>
      <w:proofErr w:type="spellEnd"/>
      <w:r w:rsidRPr="00332123">
        <w:rPr>
          <w:i/>
          <w:sz w:val="20"/>
          <w:szCs w:val="20"/>
        </w:rPr>
        <w:t xml:space="preserve"> </w:t>
      </w:r>
      <w:r w:rsidRPr="008133A1">
        <w:rPr>
          <w:i/>
          <w:sz w:val="20"/>
          <w:szCs w:val="20"/>
        </w:rPr>
        <w:t>Execution Only (Transaction Record) - &lt;Date&gt; (word)</w:t>
      </w:r>
      <w:r>
        <w:rPr>
          <w:sz w:val="20"/>
          <w:szCs w:val="20"/>
        </w:rPr>
        <w:t xml:space="preserve"> template.</w:t>
      </w:r>
    </w:p>
    <w:p w14:paraId="4B6CB504" w14:textId="0A645083" w:rsidR="008133A1" w:rsidRDefault="008133A1" w:rsidP="008133A1">
      <w:pPr>
        <w:rPr>
          <w:sz w:val="20"/>
          <w:szCs w:val="20"/>
        </w:rPr>
      </w:pPr>
      <w:r>
        <w:rPr>
          <w:sz w:val="20"/>
          <w:szCs w:val="20"/>
        </w:rPr>
        <w:t>It must never be the norm for client interactions.</w:t>
      </w:r>
    </w:p>
    <w:p w14:paraId="14988CA5" w14:textId="102747CB" w:rsidR="008133A1" w:rsidRDefault="008133A1" w:rsidP="008133A1">
      <w:pPr>
        <w:rPr>
          <w:sz w:val="20"/>
          <w:szCs w:val="20"/>
        </w:rPr>
      </w:pPr>
    </w:p>
    <w:p w14:paraId="0B0F359A" w14:textId="5021401B" w:rsidR="008133A1" w:rsidRPr="008133A1" w:rsidRDefault="008133A1" w:rsidP="008133A1">
      <w:pPr>
        <w:rPr>
          <w:sz w:val="20"/>
          <w:szCs w:val="20"/>
        </w:rPr>
      </w:pPr>
      <w:r>
        <w:rPr>
          <w:sz w:val="20"/>
          <w:szCs w:val="20"/>
        </w:rPr>
        <w:t xml:space="preserve">The use of </w:t>
      </w:r>
      <w:r w:rsidRPr="008133A1">
        <w:rPr>
          <w:sz w:val="20"/>
          <w:szCs w:val="20"/>
        </w:rPr>
        <w:t xml:space="preserve">‘Execution Only’ documentation </w:t>
      </w:r>
      <w:r>
        <w:rPr>
          <w:sz w:val="20"/>
          <w:szCs w:val="20"/>
        </w:rPr>
        <w:t xml:space="preserve">implies a process has been undertaken: </w:t>
      </w:r>
      <w:r w:rsidRPr="008133A1">
        <w:rPr>
          <w:sz w:val="20"/>
          <w:szCs w:val="20"/>
        </w:rPr>
        <w:t xml:space="preserve"> </w:t>
      </w:r>
    </w:p>
    <w:p w14:paraId="2E44DD7A" w14:textId="4A18EA83" w:rsidR="008133A1" w:rsidRDefault="008133A1" w:rsidP="008133A1">
      <w:r>
        <w:t> </w:t>
      </w:r>
    </w:p>
    <w:p w14:paraId="22F15EE0" w14:textId="77777777" w:rsidR="008133A1" w:rsidRPr="008133A1" w:rsidRDefault="008133A1" w:rsidP="008133A1">
      <w:pPr>
        <w:numPr>
          <w:ilvl w:val="0"/>
          <w:numId w:val="29"/>
        </w:numPr>
        <w:rPr>
          <w:rFonts w:eastAsia="Times New Roman"/>
          <w:sz w:val="20"/>
          <w:szCs w:val="20"/>
        </w:rPr>
      </w:pPr>
      <w:r w:rsidRPr="008133A1">
        <w:rPr>
          <w:rFonts w:eastAsia="Times New Roman"/>
          <w:sz w:val="20"/>
          <w:szCs w:val="20"/>
        </w:rPr>
        <w:t xml:space="preserve">The client’s ‘direction’ must not be contrived. </w:t>
      </w:r>
    </w:p>
    <w:p w14:paraId="20D16AC7" w14:textId="77777777" w:rsidR="008133A1" w:rsidRPr="008133A1" w:rsidRDefault="008133A1" w:rsidP="008133A1">
      <w:pPr>
        <w:ind w:left="720"/>
        <w:rPr>
          <w:sz w:val="20"/>
          <w:szCs w:val="20"/>
        </w:rPr>
      </w:pPr>
      <w:r w:rsidRPr="008133A1">
        <w:rPr>
          <w:sz w:val="20"/>
          <w:szCs w:val="20"/>
        </w:rPr>
        <w:t> </w:t>
      </w:r>
    </w:p>
    <w:p w14:paraId="1CFA1F00" w14:textId="6A1EB71C" w:rsidR="008133A1" w:rsidRPr="008133A1" w:rsidRDefault="008133A1" w:rsidP="008133A1">
      <w:pPr>
        <w:numPr>
          <w:ilvl w:val="0"/>
          <w:numId w:val="29"/>
        </w:numPr>
        <w:rPr>
          <w:rFonts w:eastAsia="Times New Roman"/>
          <w:sz w:val="20"/>
          <w:szCs w:val="20"/>
        </w:rPr>
      </w:pPr>
      <w:r w:rsidRPr="008133A1">
        <w:rPr>
          <w:rFonts w:eastAsia="Times New Roman"/>
          <w:sz w:val="20"/>
          <w:szCs w:val="20"/>
        </w:rPr>
        <w:t>It must be comprehensively documented in an accompanying file note</w:t>
      </w:r>
      <w:r w:rsidR="001508B6">
        <w:rPr>
          <w:rFonts w:eastAsia="Times New Roman"/>
          <w:sz w:val="20"/>
          <w:szCs w:val="20"/>
        </w:rPr>
        <w:t xml:space="preserve"> by the adviser</w:t>
      </w:r>
    </w:p>
    <w:p w14:paraId="4283FA26" w14:textId="0D233633" w:rsidR="008133A1" w:rsidRPr="008133A1" w:rsidRDefault="008133A1" w:rsidP="008133A1">
      <w:pPr>
        <w:numPr>
          <w:ilvl w:val="0"/>
          <w:numId w:val="30"/>
        </w:numPr>
        <w:rPr>
          <w:rFonts w:eastAsia="Times New Roman"/>
          <w:sz w:val="20"/>
          <w:szCs w:val="20"/>
        </w:rPr>
      </w:pPr>
      <w:r w:rsidRPr="008133A1">
        <w:rPr>
          <w:rFonts w:eastAsia="Times New Roman"/>
          <w:sz w:val="20"/>
          <w:szCs w:val="20"/>
        </w:rPr>
        <w:t xml:space="preserve">detailing the exact client </w:t>
      </w:r>
      <w:r w:rsidR="00836BA6" w:rsidRPr="008133A1">
        <w:rPr>
          <w:rFonts w:eastAsia="Times New Roman"/>
          <w:sz w:val="20"/>
          <w:szCs w:val="20"/>
        </w:rPr>
        <w:t>requirement; nil</w:t>
      </w:r>
      <w:r w:rsidRPr="008133A1">
        <w:rPr>
          <w:rFonts w:eastAsia="Times New Roman"/>
          <w:sz w:val="20"/>
          <w:szCs w:val="20"/>
        </w:rPr>
        <w:t xml:space="preserve"> extrapolation</w:t>
      </w:r>
    </w:p>
    <w:p w14:paraId="5C2051A7" w14:textId="05D3D31B" w:rsidR="008133A1" w:rsidRPr="008133A1" w:rsidRDefault="008133A1" w:rsidP="008133A1">
      <w:pPr>
        <w:numPr>
          <w:ilvl w:val="0"/>
          <w:numId w:val="30"/>
        </w:numPr>
        <w:rPr>
          <w:rFonts w:eastAsia="Times New Roman"/>
          <w:sz w:val="20"/>
          <w:szCs w:val="20"/>
        </w:rPr>
      </w:pPr>
      <w:r w:rsidRPr="008133A1">
        <w:rPr>
          <w:rFonts w:eastAsia="Times New Roman"/>
          <w:sz w:val="20"/>
          <w:szCs w:val="20"/>
        </w:rPr>
        <w:t>why the client explicitly refused</w:t>
      </w:r>
      <w:r w:rsidR="00E0111B">
        <w:rPr>
          <w:rFonts w:eastAsia="Times New Roman"/>
          <w:sz w:val="20"/>
          <w:szCs w:val="20"/>
        </w:rPr>
        <w:t xml:space="preserve"> the adviser’s</w:t>
      </w:r>
      <w:r w:rsidRPr="008133A1">
        <w:rPr>
          <w:rFonts w:eastAsia="Times New Roman"/>
          <w:sz w:val="20"/>
          <w:szCs w:val="20"/>
        </w:rPr>
        <w:t xml:space="preserve"> explicit recommendation to seek formal written advice</w:t>
      </w:r>
      <w:r w:rsidR="002216BD">
        <w:rPr>
          <w:rFonts w:eastAsia="Times New Roman"/>
          <w:sz w:val="20"/>
          <w:szCs w:val="20"/>
        </w:rPr>
        <w:t>**</w:t>
      </w:r>
    </w:p>
    <w:p w14:paraId="5EE9694E" w14:textId="77777777" w:rsidR="008133A1" w:rsidRPr="008133A1" w:rsidRDefault="008133A1" w:rsidP="008133A1">
      <w:pPr>
        <w:ind w:left="720"/>
        <w:rPr>
          <w:sz w:val="20"/>
          <w:szCs w:val="20"/>
        </w:rPr>
      </w:pPr>
      <w:r w:rsidRPr="008133A1">
        <w:rPr>
          <w:sz w:val="20"/>
          <w:szCs w:val="20"/>
        </w:rPr>
        <w:t> </w:t>
      </w:r>
    </w:p>
    <w:p w14:paraId="3B79B5EB" w14:textId="77777777" w:rsidR="008133A1" w:rsidRPr="008133A1" w:rsidRDefault="008133A1" w:rsidP="008133A1">
      <w:pPr>
        <w:numPr>
          <w:ilvl w:val="0"/>
          <w:numId w:val="29"/>
        </w:numPr>
        <w:rPr>
          <w:rFonts w:eastAsia="Times New Roman"/>
          <w:sz w:val="20"/>
          <w:szCs w:val="20"/>
        </w:rPr>
      </w:pPr>
      <w:r w:rsidRPr="008133A1">
        <w:rPr>
          <w:rFonts w:eastAsia="Times New Roman"/>
          <w:sz w:val="20"/>
          <w:szCs w:val="20"/>
        </w:rPr>
        <w:t xml:space="preserve">Ideally, a ‘pre’ communication to the client (email is fine) that reinforces that the adviser has been asked to prepare an advice on &lt;such &amp; such&gt; at the client’s specific direction.  </w:t>
      </w:r>
    </w:p>
    <w:p w14:paraId="4744D761" w14:textId="77777777" w:rsidR="008133A1" w:rsidRPr="008133A1" w:rsidRDefault="008133A1" w:rsidP="008133A1">
      <w:pPr>
        <w:pStyle w:val="ListParagraph"/>
        <w:rPr>
          <w:sz w:val="20"/>
          <w:szCs w:val="20"/>
        </w:rPr>
      </w:pPr>
      <w:r w:rsidRPr="008133A1">
        <w:rPr>
          <w:sz w:val="20"/>
          <w:szCs w:val="20"/>
        </w:rPr>
        <w:t> </w:t>
      </w:r>
    </w:p>
    <w:p w14:paraId="37078A5E" w14:textId="77777777" w:rsidR="008133A1" w:rsidRPr="008133A1" w:rsidRDefault="008133A1" w:rsidP="008133A1">
      <w:pPr>
        <w:numPr>
          <w:ilvl w:val="0"/>
          <w:numId w:val="29"/>
        </w:numPr>
        <w:rPr>
          <w:rFonts w:eastAsia="Times New Roman"/>
          <w:sz w:val="20"/>
          <w:szCs w:val="20"/>
        </w:rPr>
      </w:pPr>
      <w:r w:rsidRPr="008133A1">
        <w:rPr>
          <w:rFonts w:eastAsia="Times New Roman"/>
          <w:sz w:val="20"/>
          <w:szCs w:val="20"/>
        </w:rPr>
        <w:t>In some cases, this communication may need to disclose any shortfall in the client’s ‘direction’ that hinders a practical implementation.</w:t>
      </w:r>
    </w:p>
    <w:p w14:paraId="375401BB" w14:textId="77777777" w:rsidR="008133A1" w:rsidRPr="008133A1" w:rsidRDefault="008133A1" w:rsidP="008133A1">
      <w:pPr>
        <w:pStyle w:val="ListParagraph"/>
        <w:rPr>
          <w:sz w:val="20"/>
          <w:szCs w:val="20"/>
        </w:rPr>
      </w:pPr>
      <w:r w:rsidRPr="008133A1">
        <w:rPr>
          <w:sz w:val="20"/>
          <w:szCs w:val="20"/>
        </w:rPr>
        <w:t> </w:t>
      </w:r>
    </w:p>
    <w:p w14:paraId="2CD324A6" w14:textId="77777777" w:rsidR="008133A1" w:rsidRPr="008133A1" w:rsidRDefault="008133A1" w:rsidP="008133A1">
      <w:pPr>
        <w:pStyle w:val="ListParagraph"/>
        <w:rPr>
          <w:sz w:val="20"/>
          <w:szCs w:val="20"/>
        </w:rPr>
      </w:pPr>
      <w:r w:rsidRPr="008133A1">
        <w:rPr>
          <w:sz w:val="20"/>
          <w:szCs w:val="20"/>
        </w:rPr>
        <w:t>In that case, genuine General Advice, with disclaimer, can be used to help a client understand.</w:t>
      </w:r>
    </w:p>
    <w:p w14:paraId="3B31B33F" w14:textId="77777777" w:rsidR="008133A1" w:rsidRPr="008133A1" w:rsidRDefault="008133A1" w:rsidP="008133A1">
      <w:pPr>
        <w:ind w:left="720"/>
        <w:rPr>
          <w:sz w:val="20"/>
          <w:szCs w:val="20"/>
        </w:rPr>
      </w:pPr>
      <w:r w:rsidRPr="008133A1">
        <w:rPr>
          <w:sz w:val="20"/>
          <w:szCs w:val="20"/>
        </w:rPr>
        <w:t>However, the client must then initiate any augmented direction … the process effectively restarts from #2</w:t>
      </w:r>
    </w:p>
    <w:p w14:paraId="7CB6418A" w14:textId="77777777" w:rsidR="008133A1" w:rsidRPr="008133A1" w:rsidRDefault="008133A1" w:rsidP="008133A1">
      <w:pPr>
        <w:ind w:left="720"/>
        <w:rPr>
          <w:sz w:val="20"/>
          <w:szCs w:val="20"/>
        </w:rPr>
      </w:pPr>
      <w:r w:rsidRPr="008133A1">
        <w:rPr>
          <w:sz w:val="20"/>
          <w:szCs w:val="20"/>
        </w:rPr>
        <w:t> </w:t>
      </w:r>
    </w:p>
    <w:p w14:paraId="76FD3A2C" w14:textId="77777777" w:rsidR="008133A1" w:rsidRPr="008133A1" w:rsidRDefault="008133A1" w:rsidP="008133A1">
      <w:pPr>
        <w:numPr>
          <w:ilvl w:val="0"/>
          <w:numId w:val="29"/>
        </w:numPr>
        <w:rPr>
          <w:rFonts w:eastAsia="Times New Roman"/>
          <w:sz w:val="20"/>
          <w:szCs w:val="20"/>
        </w:rPr>
      </w:pPr>
      <w:r w:rsidRPr="008133A1">
        <w:rPr>
          <w:rFonts w:eastAsia="Times New Roman"/>
          <w:sz w:val="20"/>
          <w:szCs w:val="20"/>
        </w:rPr>
        <w:t>Once the client’s directions are clear and practically able to be implemented without more information, the use of the Transaction Record may proceed</w:t>
      </w:r>
    </w:p>
    <w:p w14:paraId="6BADB1AD" w14:textId="77777777" w:rsidR="008133A1" w:rsidRPr="008133A1" w:rsidRDefault="008133A1" w:rsidP="008133A1">
      <w:pPr>
        <w:pStyle w:val="ListParagraph"/>
        <w:rPr>
          <w:sz w:val="20"/>
          <w:szCs w:val="20"/>
        </w:rPr>
      </w:pPr>
      <w:r w:rsidRPr="008133A1">
        <w:rPr>
          <w:sz w:val="20"/>
          <w:szCs w:val="20"/>
        </w:rPr>
        <w:t> </w:t>
      </w:r>
    </w:p>
    <w:p w14:paraId="01863841" w14:textId="77777777" w:rsidR="008133A1" w:rsidRPr="008133A1" w:rsidRDefault="008133A1" w:rsidP="008133A1">
      <w:pPr>
        <w:rPr>
          <w:sz w:val="20"/>
          <w:szCs w:val="20"/>
        </w:rPr>
      </w:pPr>
      <w:r w:rsidRPr="008133A1">
        <w:rPr>
          <w:sz w:val="20"/>
          <w:szCs w:val="20"/>
        </w:rPr>
        <w:t xml:space="preserve">               The </w:t>
      </w:r>
      <w:proofErr w:type="spellStart"/>
      <w:r w:rsidRPr="008133A1">
        <w:rPr>
          <w:i/>
          <w:iCs/>
          <w:sz w:val="20"/>
          <w:szCs w:val="20"/>
        </w:rPr>
        <w:t>InterPrac</w:t>
      </w:r>
      <w:proofErr w:type="spellEnd"/>
      <w:r w:rsidRPr="008133A1">
        <w:rPr>
          <w:i/>
          <w:iCs/>
          <w:sz w:val="20"/>
          <w:szCs w:val="20"/>
        </w:rPr>
        <w:t xml:space="preserve"> Execution Only (Transaction Record) - &lt;Date&gt; (word)</w:t>
      </w:r>
      <w:r w:rsidRPr="008133A1">
        <w:rPr>
          <w:sz w:val="20"/>
          <w:szCs w:val="20"/>
        </w:rPr>
        <w:t xml:space="preserve"> will indicate all needful disclosures.</w:t>
      </w:r>
    </w:p>
    <w:p w14:paraId="1528D994" w14:textId="55F8EE5B" w:rsidR="008133A1" w:rsidRPr="008133A1" w:rsidRDefault="008133A1" w:rsidP="008133A1">
      <w:pPr>
        <w:rPr>
          <w:sz w:val="20"/>
          <w:szCs w:val="20"/>
        </w:rPr>
      </w:pPr>
      <w:r w:rsidRPr="008133A1">
        <w:rPr>
          <w:sz w:val="20"/>
          <w:szCs w:val="20"/>
        </w:rPr>
        <w:t>               It must be s</w:t>
      </w:r>
      <w:r w:rsidR="001508B6">
        <w:rPr>
          <w:sz w:val="20"/>
          <w:szCs w:val="20"/>
        </w:rPr>
        <w:t>igned off by the client before transactions are implemented</w:t>
      </w:r>
      <w:r w:rsidRPr="008133A1">
        <w:rPr>
          <w:sz w:val="20"/>
          <w:szCs w:val="20"/>
        </w:rPr>
        <w:t>.</w:t>
      </w:r>
    </w:p>
    <w:p w14:paraId="5B2FAC93" w14:textId="77777777" w:rsidR="008133A1" w:rsidRPr="008133A1" w:rsidRDefault="008133A1" w:rsidP="008133A1">
      <w:pPr>
        <w:rPr>
          <w:sz w:val="20"/>
          <w:szCs w:val="20"/>
        </w:rPr>
      </w:pPr>
      <w:r w:rsidRPr="008133A1">
        <w:rPr>
          <w:sz w:val="20"/>
          <w:szCs w:val="20"/>
        </w:rPr>
        <w:t> </w:t>
      </w:r>
    </w:p>
    <w:p w14:paraId="4EFC7661" w14:textId="77777777" w:rsidR="008133A1" w:rsidRPr="008133A1" w:rsidRDefault="008133A1" w:rsidP="008133A1">
      <w:pPr>
        <w:numPr>
          <w:ilvl w:val="0"/>
          <w:numId w:val="29"/>
        </w:numPr>
        <w:rPr>
          <w:rFonts w:eastAsia="Times New Roman"/>
          <w:sz w:val="20"/>
          <w:szCs w:val="20"/>
        </w:rPr>
      </w:pPr>
      <w:r w:rsidRPr="008133A1">
        <w:rPr>
          <w:rFonts w:eastAsia="Times New Roman"/>
          <w:sz w:val="20"/>
          <w:szCs w:val="20"/>
        </w:rPr>
        <w:t xml:space="preserve">Implementation cannot in any way exceed the details of the directed advice … no extrapolation by the adviser that allows a practical implementation is allowed. </w:t>
      </w:r>
    </w:p>
    <w:p w14:paraId="48518A2E" w14:textId="77777777" w:rsidR="00F1427A" w:rsidRDefault="00F1427A" w:rsidP="008133A1">
      <w:pPr>
        <w:pStyle w:val="ListParagraph"/>
        <w:rPr>
          <w:sz w:val="20"/>
          <w:szCs w:val="20"/>
        </w:rPr>
      </w:pPr>
    </w:p>
    <w:p w14:paraId="465649D8" w14:textId="3595A116" w:rsidR="008133A1" w:rsidRPr="008133A1" w:rsidRDefault="008133A1" w:rsidP="008133A1">
      <w:pPr>
        <w:pStyle w:val="ListParagraph"/>
        <w:rPr>
          <w:sz w:val="20"/>
          <w:szCs w:val="20"/>
        </w:rPr>
      </w:pPr>
      <w:r w:rsidRPr="008133A1">
        <w:rPr>
          <w:sz w:val="20"/>
          <w:szCs w:val="20"/>
        </w:rPr>
        <w:t>Otherwise it’s personal advice and requires a Statement of Advice.</w:t>
      </w:r>
    </w:p>
    <w:p w14:paraId="4DF9E593" w14:textId="2A566F34" w:rsidR="008133A1" w:rsidRDefault="008133A1" w:rsidP="008133A1">
      <w:pPr>
        <w:rPr>
          <w:sz w:val="20"/>
          <w:szCs w:val="20"/>
        </w:rPr>
      </w:pPr>
    </w:p>
    <w:p w14:paraId="1676BEFA" w14:textId="77777777" w:rsidR="002216BD" w:rsidRPr="002216BD" w:rsidRDefault="002216BD" w:rsidP="008133A1">
      <w:pPr>
        <w:rPr>
          <w:sz w:val="16"/>
          <w:szCs w:val="16"/>
        </w:rPr>
      </w:pPr>
      <w:r w:rsidRPr="002216BD">
        <w:rPr>
          <w:sz w:val="16"/>
          <w:szCs w:val="16"/>
        </w:rPr>
        <w:t>** Assuming that the area of advice is one that the Adviser is licensed to provide.</w:t>
      </w:r>
    </w:p>
    <w:p w14:paraId="50F4E0CD" w14:textId="69904C84" w:rsidR="002216BD" w:rsidRDefault="002216BD" w:rsidP="008133A1">
      <w:pPr>
        <w:rPr>
          <w:sz w:val="20"/>
          <w:szCs w:val="20"/>
        </w:rPr>
      </w:pPr>
      <w:r>
        <w:rPr>
          <w:sz w:val="20"/>
          <w:szCs w:val="20"/>
        </w:rPr>
        <w:t xml:space="preserve"> </w:t>
      </w:r>
    </w:p>
    <w:p w14:paraId="5FD454F2" w14:textId="77777777" w:rsidR="003131DB" w:rsidRPr="008133A1" w:rsidRDefault="003131DB" w:rsidP="008133A1">
      <w:pPr>
        <w:rPr>
          <w:sz w:val="20"/>
          <w:szCs w:val="20"/>
        </w:rPr>
      </w:pPr>
    </w:p>
    <w:p w14:paraId="7C64B2DC" w14:textId="77777777" w:rsidR="00C23BBC" w:rsidRDefault="00C23BBC">
      <w:pPr>
        <w:rPr>
          <w:rFonts w:asciiTheme="majorHAnsi" w:eastAsia="Times New Roman" w:hAnsiTheme="majorHAnsi" w:cstheme="majorBidi"/>
          <w:b/>
          <w:color w:val="2F5496" w:themeColor="accent1" w:themeShade="BF"/>
          <w:sz w:val="28"/>
          <w:szCs w:val="28"/>
        </w:rPr>
      </w:pPr>
      <w:r>
        <w:rPr>
          <w:rFonts w:eastAsia="Times New Roman"/>
          <w:b/>
          <w:sz w:val="28"/>
          <w:szCs w:val="28"/>
        </w:rPr>
        <w:br w:type="page"/>
      </w:r>
    </w:p>
    <w:p w14:paraId="74562018" w14:textId="5A013BEC" w:rsidR="00FB2226" w:rsidRPr="00FB2226" w:rsidRDefault="00FB2226" w:rsidP="00FB2226">
      <w:pPr>
        <w:pStyle w:val="Heading2"/>
        <w:rPr>
          <w:rFonts w:eastAsia="Times New Roman"/>
          <w:b/>
          <w:sz w:val="28"/>
          <w:szCs w:val="28"/>
        </w:rPr>
      </w:pPr>
      <w:bookmarkStart w:id="40" w:name="_Toc36642389"/>
      <w:r w:rsidRPr="00FB2226">
        <w:rPr>
          <w:rFonts w:eastAsia="Times New Roman"/>
          <w:b/>
          <w:sz w:val="28"/>
          <w:szCs w:val="28"/>
        </w:rPr>
        <w:lastRenderedPageBreak/>
        <w:t>SMSF Advice</w:t>
      </w:r>
      <w:bookmarkEnd w:id="40"/>
    </w:p>
    <w:p w14:paraId="271A3C4C" w14:textId="640E1C33" w:rsidR="00FB2226" w:rsidRDefault="00632517">
      <w:pPr>
        <w:rPr>
          <w:sz w:val="20"/>
          <w:szCs w:val="20"/>
        </w:rPr>
      </w:pPr>
      <w:r>
        <w:rPr>
          <w:sz w:val="20"/>
          <w:szCs w:val="20"/>
        </w:rPr>
        <w:t>See also Cover letter, Cover page.</w:t>
      </w:r>
    </w:p>
    <w:p w14:paraId="0C5CBE60" w14:textId="77777777" w:rsidR="00632517" w:rsidRDefault="00632517">
      <w:pPr>
        <w:rPr>
          <w:sz w:val="20"/>
          <w:szCs w:val="20"/>
        </w:rPr>
      </w:pPr>
    </w:p>
    <w:p w14:paraId="3487F8AA" w14:textId="299D7BC7" w:rsidR="00FB2226" w:rsidRPr="00605B14" w:rsidRDefault="005A6BF6" w:rsidP="00605B14">
      <w:pPr>
        <w:pStyle w:val="ListParagraph"/>
        <w:numPr>
          <w:ilvl w:val="0"/>
          <w:numId w:val="35"/>
        </w:numPr>
        <w:ind w:left="284" w:hanging="284"/>
        <w:rPr>
          <w:b/>
          <w:sz w:val="20"/>
          <w:szCs w:val="20"/>
        </w:rPr>
      </w:pPr>
      <w:r w:rsidRPr="00605B14">
        <w:rPr>
          <w:b/>
          <w:sz w:val="20"/>
          <w:szCs w:val="20"/>
        </w:rPr>
        <w:t>Trustees vs Members</w:t>
      </w:r>
    </w:p>
    <w:p w14:paraId="5F5B6F6B" w14:textId="77777777" w:rsidR="005A6BF6" w:rsidRDefault="005A6BF6">
      <w:pPr>
        <w:rPr>
          <w:sz w:val="20"/>
          <w:szCs w:val="20"/>
        </w:rPr>
      </w:pPr>
    </w:p>
    <w:p w14:paraId="51CE37A8" w14:textId="77777777" w:rsidR="00B7288B" w:rsidRDefault="00B7288B" w:rsidP="00B7288B">
      <w:pPr>
        <w:ind w:left="426"/>
        <w:rPr>
          <w:sz w:val="20"/>
          <w:szCs w:val="20"/>
        </w:rPr>
      </w:pPr>
      <w:r>
        <w:rPr>
          <w:sz w:val="20"/>
          <w:szCs w:val="20"/>
        </w:rPr>
        <w:t>Advice must differentiate between advice given to a Member and that given to Trustees.</w:t>
      </w:r>
    </w:p>
    <w:p w14:paraId="6F3A156D" w14:textId="77777777" w:rsidR="00B7288B" w:rsidRDefault="00B7288B" w:rsidP="00B7288B">
      <w:pPr>
        <w:ind w:left="426"/>
        <w:rPr>
          <w:sz w:val="20"/>
          <w:szCs w:val="20"/>
        </w:rPr>
      </w:pPr>
      <w:r>
        <w:rPr>
          <w:sz w:val="20"/>
          <w:szCs w:val="20"/>
        </w:rPr>
        <w:t xml:space="preserve">It is sufficient to </w:t>
      </w:r>
      <w:r w:rsidR="002072E4">
        <w:rPr>
          <w:sz w:val="20"/>
          <w:szCs w:val="20"/>
        </w:rPr>
        <w:t xml:space="preserve">manually </w:t>
      </w:r>
      <w:r>
        <w:rPr>
          <w:sz w:val="20"/>
          <w:szCs w:val="20"/>
        </w:rPr>
        <w:t xml:space="preserve">insert some extra sub-headers into the </w:t>
      </w:r>
      <w:proofErr w:type="spellStart"/>
      <w:r>
        <w:rPr>
          <w:sz w:val="20"/>
          <w:szCs w:val="20"/>
        </w:rPr>
        <w:t>SoA</w:t>
      </w:r>
      <w:proofErr w:type="spellEnd"/>
      <w:r>
        <w:rPr>
          <w:sz w:val="20"/>
          <w:szCs w:val="20"/>
        </w:rPr>
        <w:t>.</w:t>
      </w:r>
    </w:p>
    <w:p w14:paraId="2BEC9D81" w14:textId="77777777" w:rsidR="006E7EAF" w:rsidRDefault="006E7EAF" w:rsidP="00500F03">
      <w:pPr>
        <w:spacing w:before="120"/>
        <w:ind w:left="425"/>
        <w:rPr>
          <w:sz w:val="20"/>
          <w:szCs w:val="20"/>
        </w:rPr>
      </w:pPr>
      <w:r>
        <w:rPr>
          <w:sz w:val="20"/>
          <w:szCs w:val="20"/>
        </w:rPr>
        <w:t>For example</w:t>
      </w:r>
      <w:r w:rsidR="002072E4">
        <w:rPr>
          <w:sz w:val="20"/>
          <w:szCs w:val="20"/>
        </w:rPr>
        <w:t xml:space="preserve">, picture the </w:t>
      </w:r>
      <w:proofErr w:type="spellStart"/>
      <w:r w:rsidR="002072E4">
        <w:rPr>
          <w:sz w:val="20"/>
          <w:szCs w:val="20"/>
        </w:rPr>
        <w:t>SoA</w:t>
      </w:r>
      <w:proofErr w:type="spellEnd"/>
      <w:r>
        <w:rPr>
          <w:sz w:val="20"/>
          <w:szCs w:val="20"/>
        </w:rPr>
        <w:t>:</w:t>
      </w:r>
    </w:p>
    <w:p w14:paraId="2F6321C0" w14:textId="77777777" w:rsidR="006E7EAF" w:rsidRDefault="006E7EAF" w:rsidP="00B7288B">
      <w:pPr>
        <w:ind w:left="426"/>
        <w:rPr>
          <w:sz w:val="20"/>
          <w:szCs w:val="20"/>
        </w:rPr>
      </w:pPr>
    </w:p>
    <w:p w14:paraId="09128BF5" w14:textId="173D1E0D" w:rsidR="006E7EAF" w:rsidRPr="002072E4" w:rsidRDefault="002072E4" w:rsidP="00B7288B">
      <w:pPr>
        <w:ind w:left="426"/>
        <w:rPr>
          <w:b/>
          <w:color w:val="FF0000"/>
          <w:sz w:val="20"/>
          <w:szCs w:val="20"/>
        </w:rPr>
      </w:pPr>
      <w:r w:rsidRPr="002072E4">
        <w:rPr>
          <w:b/>
          <w:color w:val="FF0000"/>
          <w:sz w:val="20"/>
          <w:szCs w:val="20"/>
        </w:rPr>
        <w:t>As Trustees:</w:t>
      </w:r>
    </w:p>
    <w:p w14:paraId="278FFB3D" w14:textId="77777777" w:rsidR="006E7EAF" w:rsidRDefault="002072E4" w:rsidP="00B7288B">
      <w:pPr>
        <w:ind w:left="426"/>
        <w:rPr>
          <w:sz w:val="20"/>
          <w:szCs w:val="20"/>
        </w:rPr>
      </w:pPr>
      <w:r>
        <w:rPr>
          <w:noProof/>
          <w:lang w:eastAsia="en-AU"/>
        </w:rPr>
        <w:drawing>
          <wp:inline distT="0" distB="0" distL="0" distR="0" wp14:anchorId="29CFA7A0" wp14:editId="1E5E73CD">
            <wp:extent cx="3533460" cy="8945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548" cy="908468"/>
                    </a:xfrm>
                    <a:prstGeom prst="rect">
                      <a:avLst/>
                    </a:prstGeom>
                  </pic:spPr>
                </pic:pic>
              </a:graphicData>
            </a:graphic>
          </wp:inline>
        </w:drawing>
      </w:r>
    </w:p>
    <w:p w14:paraId="59A626B4" w14:textId="77777777" w:rsidR="006E7EAF" w:rsidRDefault="002072E4" w:rsidP="00B7288B">
      <w:pPr>
        <w:ind w:left="426"/>
        <w:rPr>
          <w:sz w:val="20"/>
          <w:szCs w:val="20"/>
        </w:rPr>
      </w:pPr>
      <w:r>
        <w:rPr>
          <w:noProof/>
          <w:lang w:eastAsia="en-AU"/>
        </w:rPr>
        <w:drawing>
          <wp:inline distT="0" distB="0" distL="0" distR="0" wp14:anchorId="288D4EAC" wp14:editId="500FF619">
            <wp:extent cx="3544956" cy="8935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5205" cy="903650"/>
                    </a:xfrm>
                    <a:prstGeom prst="rect">
                      <a:avLst/>
                    </a:prstGeom>
                  </pic:spPr>
                </pic:pic>
              </a:graphicData>
            </a:graphic>
          </wp:inline>
        </w:drawing>
      </w:r>
    </w:p>
    <w:p w14:paraId="5627B589" w14:textId="77777777" w:rsidR="002072E4" w:rsidRDefault="002072E4" w:rsidP="00B7288B">
      <w:pPr>
        <w:ind w:left="426"/>
        <w:rPr>
          <w:sz w:val="20"/>
          <w:szCs w:val="20"/>
        </w:rPr>
      </w:pPr>
    </w:p>
    <w:p w14:paraId="4C6C230F" w14:textId="77777777" w:rsidR="002072E4" w:rsidRPr="002072E4" w:rsidRDefault="002072E4" w:rsidP="00B7288B">
      <w:pPr>
        <w:ind w:left="426"/>
        <w:rPr>
          <w:b/>
          <w:color w:val="FF0000"/>
          <w:sz w:val="20"/>
          <w:szCs w:val="20"/>
        </w:rPr>
      </w:pPr>
      <w:r w:rsidRPr="002072E4">
        <w:rPr>
          <w:b/>
          <w:color w:val="FF0000"/>
          <w:sz w:val="20"/>
          <w:szCs w:val="20"/>
        </w:rPr>
        <w:t>As Members:</w:t>
      </w:r>
    </w:p>
    <w:p w14:paraId="6B89CB91" w14:textId="77777777" w:rsidR="002072E4" w:rsidRDefault="002072E4" w:rsidP="00B7288B">
      <w:pPr>
        <w:ind w:left="426"/>
        <w:rPr>
          <w:sz w:val="20"/>
          <w:szCs w:val="20"/>
        </w:rPr>
      </w:pPr>
      <w:r>
        <w:rPr>
          <w:noProof/>
          <w:lang w:eastAsia="en-AU"/>
        </w:rPr>
        <w:drawing>
          <wp:inline distT="0" distB="0" distL="0" distR="0" wp14:anchorId="0F610037" wp14:editId="1751FD5F">
            <wp:extent cx="3622740" cy="7553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7499" cy="758450"/>
                    </a:xfrm>
                    <a:prstGeom prst="rect">
                      <a:avLst/>
                    </a:prstGeom>
                  </pic:spPr>
                </pic:pic>
              </a:graphicData>
            </a:graphic>
          </wp:inline>
        </w:drawing>
      </w:r>
    </w:p>
    <w:p w14:paraId="39B1A9F0" w14:textId="77777777" w:rsidR="006E7EAF" w:rsidRDefault="006E7EAF" w:rsidP="00B7288B">
      <w:pPr>
        <w:ind w:left="426"/>
        <w:rPr>
          <w:sz w:val="20"/>
          <w:szCs w:val="20"/>
        </w:rPr>
      </w:pPr>
    </w:p>
    <w:p w14:paraId="6FD14024" w14:textId="13C28B62" w:rsidR="00B7288B" w:rsidRDefault="00B7288B" w:rsidP="00B7288B">
      <w:pPr>
        <w:ind w:left="426"/>
        <w:rPr>
          <w:sz w:val="20"/>
          <w:szCs w:val="20"/>
        </w:rPr>
      </w:pPr>
    </w:p>
    <w:p w14:paraId="69D8D660" w14:textId="77777777" w:rsidR="00304265" w:rsidRDefault="00304265" w:rsidP="00B7288B">
      <w:pPr>
        <w:ind w:left="426"/>
        <w:rPr>
          <w:sz w:val="20"/>
          <w:szCs w:val="20"/>
        </w:rPr>
      </w:pPr>
    </w:p>
    <w:p w14:paraId="49968AC1" w14:textId="77777777" w:rsidR="00B7288B" w:rsidRPr="00F961A3" w:rsidRDefault="002072E4" w:rsidP="00605B14">
      <w:pPr>
        <w:pStyle w:val="ListParagraph"/>
        <w:numPr>
          <w:ilvl w:val="0"/>
          <w:numId w:val="35"/>
        </w:numPr>
        <w:ind w:left="284" w:hanging="284"/>
        <w:rPr>
          <w:b/>
          <w:sz w:val="20"/>
          <w:szCs w:val="20"/>
        </w:rPr>
      </w:pPr>
      <w:r w:rsidRPr="00F961A3">
        <w:rPr>
          <w:b/>
          <w:sz w:val="20"/>
          <w:szCs w:val="20"/>
        </w:rPr>
        <w:t>Risk Profiling vs Investment Strategy</w:t>
      </w:r>
    </w:p>
    <w:p w14:paraId="2F55FAB0" w14:textId="77777777" w:rsidR="00B7288B" w:rsidRDefault="00B7288B" w:rsidP="00884C13">
      <w:pPr>
        <w:pStyle w:val="ListParagraph"/>
        <w:ind w:left="426"/>
        <w:rPr>
          <w:sz w:val="20"/>
          <w:szCs w:val="20"/>
        </w:rPr>
      </w:pPr>
    </w:p>
    <w:p w14:paraId="107EECFC" w14:textId="77777777" w:rsidR="00B7288B" w:rsidRPr="003131DB" w:rsidRDefault="00884C13" w:rsidP="003131DB">
      <w:pPr>
        <w:rPr>
          <w:sz w:val="20"/>
          <w:szCs w:val="20"/>
        </w:rPr>
      </w:pPr>
      <w:r w:rsidRPr="003131DB">
        <w:rPr>
          <w:sz w:val="20"/>
          <w:szCs w:val="20"/>
        </w:rPr>
        <w:t>Risk Profiling is a Member issue; Investment Strategy is a Trustee responsibility.</w:t>
      </w:r>
    </w:p>
    <w:p w14:paraId="7056381D" w14:textId="77777777" w:rsidR="00884C13" w:rsidRDefault="00884C13" w:rsidP="00884C13">
      <w:pPr>
        <w:pStyle w:val="ListParagraph"/>
        <w:ind w:left="426"/>
        <w:rPr>
          <w:sz w:val="20"/>
          <w:szCs w:val="20"/>
        </w:rPr>
      </w:pPr>
    </w:p>
    <w:p w14:paraId="36B3B60F" w14:textId="77777777" w:rsidR="00884C13" w:rsidRPr="00F961A3" w:rsidRDefault="00884C13" w:rsidP="00F961A3">
      <w:pPr>
        <w:rPr>
          <w:sz w:val="20"/>
          <w:szCs w:val="20"/>
        </w:rPr>
      </w:pPr>
      <w:r w:rsidRPr="00F961A3">
        <w:rPr>
          <w:sz w:val="20"/>
          <w:szCs w:val="20"/>
        </w:rPr>
        <w:t xml:space="preserve">A </w:t>
      </w:r>
      <w:proofErr w:type="spellStart"/>
      <w:r w:rsidRPr="00F961A3">
        <w:rPr>
          <w:sz w:val="20"/>
          <w:szCs w:val="20"/>
        </w:rPr>
        <w:t>SoA</w:t>
      </w:r>
      <w:proofErr w:type="spellEnd"/>
      <w:r w:rsidRPr="00F961A3">
        <w:rPr>
          <w:sz w:val="20"/>
          <w:szCs w:val="20"/>
        </w:rPr>
        <w:t xml:space="preserve"> addressed to </w:t>
      </w:r>
      <w:r w:rsidR="00BF7D00" w:rsidRPr="00F961A3">
        <w:rPr>
          <w:sz w:val="20"/>
          <w:szCs w:val="20"/>
        </w:rPr>
        <w:t xml:space="preserve">SMSF </w:t>
      </w:r>
      <w:r w:rsidRPr="00F961A3">
        <w:rPr>
          <w:sz w:val="20"/>
          <w:szCs w:val="20"/>
        </w:rPr>
        <w:t xml:space="preserve">Trustees </w:t>
      </w:r>
      <w:r w:rsidR="00BF7D00" w:rsidRPr="00F961A3">
        <w:rPr>
          <w:sz w:val="20"/>
          <w:szCs w:val="20"/>
        </w:rPr>
        <w:t>sh</w:t>
      </w:r>
      <w:r w:rsidRPr="00F961A3">
        <w:rPr>
          <w:sz w:val="20"/>
          <w:szCs w:val="20"/>
        </w:rPr>
        <w:t xml:space="preserve">ould use the Member risk profiles to </w:t>
      </w:r>
      <w:r w:rsidR="00BF7D00" w:rsidRPr="00F961A3">
        <w:rPr>
          <w:sz w:val="20"/>
          <w:szCs w:val="20"/>
        </w:rPr>
        <w:t>justify a</w:t>
      </w:r>
      <w:r w:rsidRPr="00F961A3">
        <w:rPr>
          <w:sz w:val="20"/>
          <w:szCs w:val="20"/>
        </w:rPr>
        <w:t xml:space="preserve"> defensible Investment Strategy.  The former could not substitute for the latter.</w:t>
      </w:r>
    </w:p>
    <w:p w14:paraId="275C2B4D" w14:textId="4585DA16" w:rsidR="00BF7D00" w:rsidRDefault="00BF7D00" w:rsidP="00884C13">
      <w:pPr>
        <w:pStyle w:val="ListParagraph"/>
        <w:ind w:left="426"/>
        <w:rPr>
          <w:sz w:val="20"/>
          <w:szCs w:val="20"/>
        </w:rPr>
      </w:pPr>
    </w:p>
    <w:p w14:paraId="3B0C5416" w14:textId="77777777" w:rsidR="00304265" w:rsidRDefault="00304265" w:rsidP="00884C13">
      <w:pPr>
        <w:pStyle w:val="ListParagraph"/>
        <w:ind w:left="426"/>
        <w:rPr>
          <w:sz w:val="20"/>
          <w:szCs w:val="20"/>
        </w:rPr>
      </w:pPr>
    </w:p>
    <w:p w14:paraId="15F5F840" w14:textId="77777777" w:rsidR="00BF7D00" w:rsidRDefault="00BF7D00" w:rsidP="00884C13">
      <w:pPr>
        <w:pStyle w:val="ListParagraph"/>
        <w:ind w:left="426"/>
        <w:rPr>
          <w:sz w:val="20"/>
          <w:szCs w:val="20"/>
        </w:rPr>
      </w:pPr>
      <w:r w:rsidRPr="001F58D9">
        <w:rPr>
          <w:b/>
          <w:sz w:val="20"/>
          <w:szCs w:val="20"/>
        </w:rPr>
        <w:t>Example:</w:t>
      </w:r>
      <w:r>
        <w:rPr>
          <w:sz w:val="20"/>
          <w:szCs w:val="20"/>
        </w:rPr>
        <w:t xml:space="preserve"> Both client and spouse are Balanced</w:t>
      </w:r>
      <w:r w:rsidR="001F58D9">
        <w:rPr>
          <w:sz w:val="20"/>
          <w:szCs w:val="20"/>
        </w:rPr>
        <w:t xml:space="preserve"> (60% Growth assets)</w:t>
      </w:r>
    </w:p>
    <w:p w14:paraId="18416979" w14:textId="77777777" w:rsidR="001F58D9" w:rsidRDefault="001F58D9" w:rsidP="00884C13">
      <w:pPr>
        <w:pStyle w:val="ListParagraph"/>
        <w:ind w:left="426"/>
        <w:rPr>
          <w:sz w:val="20"/>
          <w:szCs w:val="20"/>
        </w:rPr>
      </w:pPr>
    </w:p>
    <w:p w14:paraId="0E45F862" w14:textId="1FF49F67" w:rsidR="00517CE0" w:rsidRPr="00517CE0" w:rsidRDefault="00517CE0" w:rsidP="00517CE0">
      <w:pPr>
        <w:rPr>
          <w:sz w:val="20"/>
          <w:szCs w:val="20"/>
        </w:rPr>
      </w:pPr>
      <w:r>
        <w:rPr>
          <w:sz w:val="20"/>
          <w:szCs w:val="20"/>
        </w:rPr>
        <w:t>“</w:t>
      </w:r>
      <w:r w:rsidRPr="00517CE0">
        <w:rPr>
          <w:sz w:val="20"/>
          <w:szCs w:val="20"/>
        </w:rPr>
        <w:t>Despite the clients individually presenting as</w:t>
      </w:r>
      <w:r>
        <w:rPr>
          <w:sz w:val="20"/>
          <w:szCs w:val="20"/>
        </w:rPr>
        <w:t xml:space="preserve"> </w:t>
      </w:r>
      <w:r w:rsidRPr="00517CE0">
        <w:rPr>
          <w:sz w:val="20"/>
          <w:szCs w:val="20"/>
        </w:rPr>
        <w:t>Balanced</w:t>
      </w:r>
      <w:r>
        <w:rPr>
          <w:sz w:val="20"/>
          <w:szCs w:val="20"/>
        </w:rPr>
        <w:t>,</w:t>
      </w:r>
      <w:r w:rsidRPr="00517CE0">
        <w:rPr>
          <w:sz w:val="20"/>
          <w:szCs w:val="20"/>
        </w:rPr>
        <w:t xml:space="preserve"> the fund can justifiably represent the overall asset allocation as Growth. This is because the Fund’s investment horizon is at least 20 years and this allows more than sufficient time for the asset pool to reliably meet its investment mandate.</w:t>
      </w:r>
      <w:r>
        <w:rPr>
          <w:sz w:val="20"/>
          <w:szCs w:val="20"/>
        </w:rPr>
        <w:t>”</w:t>
      </w:r>
    </w:p>
    <w:p w14:paraId="2D568B6A" w14:textId="71E1478A" w:rsidR="00517CE0" w:rsidRPr="00517CE0" w:rsidRDefault="00517CE0" w:rsidP="003131DB">
      <w:pPr>
        <w:ind w:firstLine="720"/>
        <w:rPr>
          <w:b/>
          <w:sz w:val="20"/>
          <w:szCs w:val="20"/>
        </w:rPr>
      </w:pPr>
      <w:r w:rsidRPr="00517CE0">
        <w:rPr>
          <w:b/>
          <w:sz w:val="20"/>
          <w:szCs w:val="20"/>
        </w:rPr>
        <w:t>OR</w:t>
      </w:r>
    </w:p>
    <w:p w14:paraId="677B1FBD" w14:textId="22F2D547" w:rsidR="00517CE0" w:rsidRPr="00517CE0" w:rsidRDefault="00517CE0" w:rsidP="00517CE0">
      <w:pPr>
        <w:rPr>
          <w:sz w:val="20"/>
          <w:szCs w:val="20"/>
        </w:rPr>
      </w:pPr>
      <w:r>
        <w:rPr>
          <w:sz w:val="20"/>
          <w:szCs w:val="20"/>
        </w:rPr>
        <w:t>“</w:t>
      </w:r>
      <w:r w:rsidRPr="00517CE0">
        <w:rPr>
          <w:sz w:val="20"/>
          <w:szCs w:val="20"/>
        </w:rPr>
        <w:t>The fund should represent its overall asset allocation as the weighted average of the member balances and their respective Member risk profiles.</w:t>
      </w:r>
    </w:p>
    <w:p w14:paraId="797D8F44" w14:textId="3BD57E90" w:rsidR="00517CE0" w:rsidRPr="00517CE0" w:rsidRDefault="00517CE0" w:rsidP="00517CE0">
      <w:pPr>
        <w:rPr>
          <w:sz w:val="20"/>
          <w:szCs w:val="20"/>
        </w:rPr>
      </w:pPr>
      <w:r w:rsidRPr="00517CE0">
        <w:rPr>
          <w:sz w:val="20"/>
          <w:szCs w:val="20"/>
        </w:rPr>
        <w:t>This is calculated to be &lt;&lt;result&gt;&gt;.</w:t>
      </w:r>
      <w:r>
        <w:rPr>
          <w:sz w:val="20"/>
          <w:szCs w:val="20"/>
        </w:rPr>
        <w:t>”</w:t>
      </w:r>
      <w:r w:rsidRPr="00517CE0">
        <w:rPr>
          <w:sz w:val="20"/>
          <w:szCs w:val="20"/>
        </w:rPr>
        <w:t xml:space="preserve"> </w:t>
      </w:r>
    </w:p>
    <w:p w14:paraId="29C1FA2B" w14:textId="77777777" w:rsidR="00517CE0" w:rsidRPr="00B85B97" w:rsidRDefault="00517CE0" w:rsidP="003131DB">
      <w:pPr>
        <w:ind w:firstLine="720"/>
        <w:rPr>
          <w:b/>
          <w:sz w:val="20"/>
          <w:szCs w:val="20"/>
        </w:rPr>
      </w:pPr>
      <w:r w:rsidRPr="00B85B97">
        <w:rPr>
          <w:b/>
          <w:sz w:val="20"/>
          <w:szCs w:val="20"/>
        </w:rPr>
        <w:t>OR</w:t>
      </w:r>
    </w:p>
    <w:p w14:paraId="4E8A5E6F" w14:textId="6FCB9E74" w:rsidR="00517CE0" w:rsidRPr="00517CE0" w:rsidRDefault="00B85B97" w:rsidP="00517CE0">
      <w:pPr>
        <w:rPr>
          <w:sz w:val="20"/>
          <w:szCs w:val="20"/>
        </w:rPr>
      </w:pPr>
      <w:r>
        <w:rPr>
          <w:sz w:val="20"/>
          <w:szCs w:val="20"/>
        </w:rPr>
        <w:t>“</w:t>
      </w:r>
      <w:r w:rsidR="00517CE0" w:rsidRPr="00517CE0">
        <w:rPr>
          <w:sz w:val="20"/>
          <w:szCs w:val="20"/>
        </w:rPr>
        <w:t>Given that the fund has been created primarily to purchase a business premises, the overall investment mandate may be reasonably weighted to the ‘Property’ asset class.</w:t>
      </w:r>
    </w:p>
    <w:p w14:paraId="2D559F3E" w14:textId="6DE790E5" w:rsidR="00517CE0" w:rsidRPr="00517CE0" w:rsidRDefault="00517CE0" w:rsidP="00517CE0">
      <w:pPr>
        <w:rPr>
          <w:sz w:val="20"/>
          <w:szCs w:val="20"/>
        </w:rPr>
      </w:pPr>
      <w:r w:rsidRPr="00517CE0">
        <w:rPr>
          <w:sz w:val="20"/>
          <w:szCs w:val="20"/>
        </w:rPr>
        <w:t xml:space="preserve">However, as the fund </w:t>
      </w:r>
      <w:r w:rsidR="00B85B97" w:rsidRPr="00517CE0">
        <w:rPr>
          <w:sz w:val="20"/>
          <w:szCs w:val="20"/>
        </w:rPr>
        <w:t>requires</w:t>
      </w:r>
      <w:r w:rsidRPr="00517CE0">
        <w:rPr>
          <w:sz w:val="20"/>
          <w:szCs w:val="20"/>
        </w:rPr>
        <w:t xml:space="preserve"> liquid cash for operating purposes, the overall asset allocation should ‘5% Cash’, ‘90% property’ and ‘5% Other’ as a purchase opportunity may present.</w:t>
      </w:r>
    </w:p>
    <w:p w14:paraId="48CADBF9" w14:textId="707332B7" w:rsidR="00517CE0" w:rsidRDefault="00517CE0" w:rsidP="00517CE0">
      <w:pPr>
        <w:rPr>
          <w:sz w:val="20"/>
          <w:szCs w:val="20"/>
        </w:rPr>
      </w:pPr>
      <w:r w:rsidRPr="00517CE0">
        <w:rPr>
          <w:sz w:val="20"/>
          <w:szCs w:val="20"/>
        </w:rPr>
        <w:lastRenderedPageBreak/>
        <w:t>The provider of the Investment Strategy documentation will suggest appropriate +/- %’s around each of these asset classes to ensure variations in future asset valuations do not inadvertently invalidate the Investment Strategy tool.</w:t>
      </w:r>
      <w:r w:rsidR="00B85B97">
        <w:rPr>
          <w:sz w:val="20"/>
          <w:szCs w:val="20"/>
        </w:rPr>
        <w:t>”</w:t>
      </w:r>
    </w:p>
    <w:p w14:paraId="04BD7C21" w14:textId="29E00B38" w:rsidR="009D6B24" w:rsidRPr="00F961A3" w:rsidRDefault="009D6B24" w:rsidP="00605B14">
      <w:pPr>
        <w:pStyle w:val="ListParagraph"/>
        <w:numPr>
          <w:ilvl w:val="0"/>
          <w:numId w:val="35"/>
        </w:numPr>
        <w:ind w:left="284" w:hanging="284"/>
        <w:rPr>
          <w:b/>
          <w:sz w:val="20"/>
          <w:szCs w:val="20"/>
        </w:rPr>
      </w:pPr>
      <w:r w:rsidRPr="00F961A3">
        <w:rPr>
          <w:b/>
          <w:sz w:val="20"/>
          <w:szCs w:val="20"/>
        </w:rPr>
        <w:t>A pre-existing investment strategy:</w:t>
      </w:r>
    </w:p>
    <w:p w14:paraId="1FE62F95" w14:textId="77777777" w:rsidR="009D6B24" w:rsidRDefault="009D6B24" w:rsidP="00884C13">
      <w:pPr>
        <w:pStyle w:val="ListParagraph"/>
        <w:ind w:left="426"/>
        <w:rPr>
          <w:sz w:val="20"/>
          <w:szCs w:val="20"/>
        </w:rPr>
      </w:pPr>
    </w:p>
    <w:p w14:paraId="2077FF9B" w14:textId="2D948BE3" w:rsidR="001F58D9" w:rsidRDefault="001F58D9" w:rsidP="00884C13">
      <w:pPr>
        <w:pStyle w:val="ListParagraph"/>
        <w:ind w:left="426"/>
        <w:rPr>
          <w:sz w:val="20"/>
          <w:szCs w:val="20"/>
        </w:rPr>
      </w:pPr>
      <w:r>
        <w:rPr>
          <w:sz w:val="20"/>
          <w:szCs w:val="20"/>
        </w:rPr>
        <w:t xml:space="preserve">The </w:t>
      </w:r>
      <w:r w:rsidR="0068422D">
        <w:rPr>
          <w:sz w:val="20"/>
          <w:szCs w:val="20"/>
        </w:rPr>
        <w:t>asset allocation in the</w:t>
      </w:r>
      <w:r>
        <w:rPr>
          <w:sz w:val="20"/>
          <w:szCs w:val="20"/>
        </w:rPr>
        <w:t xml:space="preserve"> </w:t>
      </w:r>
      <w:r w:rsidR="0068422D">
        <w:rPr>
          <w:sz w:val="20"/>
          <w:szCs w:val="20"/>
        </w:rPr>
        <w:t>I</w:t>
      </w:r>
      <w:r>
        <w:rPr>
          <w:sz w:val="20"/>
          <w:szCs w:val="20"/>
        </w:rPr>
        <w:t xml:space="preserve">nvestment </w:t>
      </w:r>
      <w:r w:rsidR="0068422D">
        <w:rPr>
          <w:sz w:val="20"/>
          <w:szCs w:val="20"/>
        </w:rPr>
        <w:t>S</w:t>
      </w:r>
      <w:r w:rsidR="00C40EDA">
        <w:rPr>
          <w:sz w:val="20"/>
          <w:szCs w:val="20"/>
        </w:rPr>
        <w:t>trategy table</w:t>
      </w:r>
      <w:r w:rsidR="0068422D">
        <w:rPr>
          <w:sz w:val="20"/>
          <w:szCs w:val="20"/>
        </w:rPr>
        <w:t xml:space="preserve"> </w:t>
      </w:r>
      <w:r w:rsidR="00A81458">
        <w:rPr>
          <w:sz w:val="20"/>
          <w:szCs w:val="20"/>
        </w:rPr>
        <w:t>may allow</w:t>
      </w:r>
      <w:r>
        <w:rPr>
          <w:sz w:val="20"/>
          <w:szCs w:val="20"/>
        </w:rPr>
        <w:t xml:space="preserve"> ‘everything’ generally and </w:t>
      </w:r>
      <w:r w:rsidR="00A81458">
        <w:rPr>
          <w:sz w:val="20"/>
          <w:szCs w:val="20"/>
        </w:rPr>
        <w:t xml:space="preserve">therefore </w:t>
      </w:r>
      <w:r>
        <w:rPr>
          <w:sz w:val="20"/>
          <w:szCs w:val="20"/>
        </w:rPr>
        <w:t xml:space="preserve">support ‘nothing’ specifically. </w:t>
      </w:r>
    </w:p>
    <w:p w14:paraId="36959D13" w14:textId="77777777" w:rsidR="001F58D9" w:rsidRDefault="001F58D9" w:rsidP="00884C13">
      <w:pPr>
        <w:pStyle w:val="ListParagraph"/>
        <w:ind w:left="426"/>
        <w:rPr>
          <w:sz w:val="20"/>
          <w:szCs w:val="20"/>
        </w:rPr>
      </w:pPr>
    </w:p>
    <w:tbl>
      <w:tblPr>
        <w:tblStyle w:val="TableGrid"/>
        <w:tblW w:w="0" w:type="auto"/>
        <w:tblInd w:w="426" w:type="dxa"/>
        <w:tblLook w:val="04A0" w:firstRow="1" w:lastRow="0" w:firstColumn="1" w:lastColumn="0" w:noHBand="0" w:noVBand="1"/>
      </w:tblPr>
      <w:tblGrid>
        <w:gridCol w:w="4306"/>
        <w:gridCol w:w="4284"/>
      </w:tblGrid>
      <w:tr w:rsidR="001F58D9" w14:paraId="725A5A4F" w14:textId="77777777" w:rsidTr="001F58D9">
        <w:tc>
          <w:tcPr>
            <w:tcW w:w="4306" w:type="dxa"/>
            <w:shd w:val="clear" w:color="auto" w:fill="000000" w:themeFill="text1"/>
          </w:tcPr>
          <w:p w14:paraId="24B7AB7C" w14:textId="77777777" w:rsidR="001F58D9" w:rsidRPr="001F58D9" w:rsidRDefault="001F58D9" w:rsidP="001F58D9">
            <w:pPr>
              <w:jc w:val="center"/>
              <w:rPr>
                <w:b/>
                <w:color w:val="FFFFFF" w:themeColor="background1"/>
              </w:rPr>
            </w:pPr>
            <w:r w:rsidRPr="001F58D9">
              <w:rPr>
                <w:b/>
                <w:color w:val="FFFFFF" w:themeColor="background1"/>
              </w:rPr>
              <w:t>Asset Class</w:t>
            </w:r>
          </w:p>
        </w:tc>
        <w:tc>
          <w:tcPr>
            <w:tcW w:w="4284" w:type="dxa"/>
            <w:shd w:val="clear" w:color="auto" w:fill="000000" w:themeFill="text1"/>
          </w:tcPr>
          <w:p w14:paraId="353A75C3" w14:textId="77777777" w:rsidR="000B6410" w:rsidRDefault="000B6410" w:rsidP="001F58D9">
            <w:pPr>
              <w:jc w:val="center"/>
              <w:rPr>
                <w:b/>
                <w:color w:val="FFFFFF" w:themeColor="background1"/>
              </w:rPr>
            </w:pPr>
            <w:r>
              <w:rPr>
                <w:b/>
                <w:color w:val="FFFFFF" w:themeColor="background1"/>
              </w:rPr>
              <w:t>Fund</w:t>
            </w:r>
            <w:r w:rsidR="00B973B7">
              <w:rPr>
                <w:b/>
                <w:color w:val="FFFFFF" w:themeColor="background1"/>
              </w:rPr>
              <w:t>’s Mandate</w:t>
            </w:r>
          </w:p>
          <w:p w14:paraId="1EC478C8" w14:textId="77777777" w:rsidR="001F58D9" w:rsidRPr="001F58D9" w:rsidRDefault="001F58D9" w:rsidP="001F58D9">
            <w:pPr>
              <w:jc w:val="center"/>
              <w:rPr>
                <w:b/>
                <w:color w:val="FFFFFF" w:themeColor="background1"/>
              </w:rPr>
            </w:pPr>
            <w:r w:rsidRPr="001F58D9">
              <w:rPr>
                <w:b/>
                <w:color w:val="FFFFFF" w:themeColor="background1"/>
              </w:rPr>
              <w:t>Strategic Allocation</w:t>
            </w:r>
          </w:p>
        </w:tc>
      </w:tr>
      <w:tr w:rsidR="001F58D9" w14:paraId="27739C07" w14:textId="77777777" w:rsidTr="001F58D9">
        <w:tc>
          <w:tcPr>
            <w:tcW w:w="4306" w:type="dxa"/>
          </w:tcPr>
          <w:p w14:paraId="0F4777BF" w14:textId="77777777" w:rsidR="001F58D9" w:rsidRDefault="001F58D9" w:rsidP="00884C13">
            <w:pPr>
              <w:pStyle w:val="ListParagraph"/>
              <w:ind w:left="0"/>
            </w:pPr>
            <w:r>
              <w:t>Cash</w:t>
            </w:r>
          </w:p>
        </w:tc>
        <w:tc>
          <w:tcPr>
            <w:tcW w:w="4284" w:type="dxa"/>
          </w:tcPr>
          <w:p w14:paraId="43C9955B" w14:textId="77777777" w:rsidR="001F58D9" w:rsidRDefault="001F58D9" w:rsidP="001F58D9">
            <w:pPr>
              <w:pStyle w:val="ListParagraph"/>
              <w:ind w:left="0"/>
              <w:jc w:val="center"/>
            </w:pPr>
            <w:r>
              <w:t>0 – 100%</w:t>
            </w:r>
          </w:p>
        </w:tc>
      </w:tr>
      <w:tr w:rsidR="001F58D9" w14:paraId="08E92C07" w14:textId="77777777" w:rsidTr="001F58D9">
        <w:tc>
          <w:tcPr>
            <w:tcW w:w="4306" w:type="dxa"/>
          </w:tcPr>
          <w:p w14:paraId="19357576" w14:textId="77777777" w:rsidR="001F58D9" w:rsidRDefault="001F58D9" w:rsidP="001F58D9">
            <w:pPr>
              <w:pStyle w:val="ListParagraph"/>
              <w:ind w:left="0"/>
            </w:pPr>
            <w:r>
              <w:t>Fixed Interest</w:t>
            </w:r>
          </w:p>
        </w:tc>
        <w:tc>
          <w:tcPr>
            <w:tcW w:w="4284" w:type="dxa"/>
          </w:tcPr>
          <w:p w14:paraId="32E7FD32" w14:textId="77777777" w:rsidR="001F58D9" w:rsidRDefault="001F58D9" w:rsidP="001F58D9">
            <w:pPr>
              <w:pStyle w:val="ListParagraph"/>
              <w:ind w:left="0"/>
              <w:jc w:val="center"/>
            </w:pPr>
            <w:r>
              <w:t>0 – 100%</w:t>
            </w:r>
          </w:p>
        </w:tc>
      </w:tr>
      <w:tr w:rsidR="001F58D9" w14:paraId="41DF8FEC" w14:textId="77777777" w:rsidTr="001F58D9">
        <w:tc>
          <w:tcPr>
            <w:tcW w:w="4306" w:type="dxa"/>
          </w:tcPr>
          <w:p w14:paraId="744AB93E" w14:textId="77777777" w:rsidR="001F58D9" w:rsidRDefault="001F58D9" w:rsidP="001F58D9">
            <w:pPr>
              <w:pStyle w:val="ListParagraph"/>
              <w:ind w:left="0"/>
            </w:pPr>
            <w:r>
              <w:t>Australian Shares</w:t>
            </w:r>
          </w:p>
        </w:tc>
        <w:tc>
          <w:tcPr>
            <w:tcW w:w="4284" w:type="dxa"/>
          </w:tcPr>
          <w:p w14:paraId="71B18245" w14:textId="77777777" w:rsidR="001F58D9" w:rsidRDefault="001F58D9" w:rsidP="001F58D9">
            <w:pPr>
              <w:pStyle w:val="ListParagraph"/>
              <w:ind w:left="0"/>
              <w:jc w:val="center"/>
            </w:pPr>
            <w:r>
              <w:t>0 – 100%</w:t>
            </w:r>
          </w:p>
        </w:tc>
      </w:tr>
      <w:tr w:rsidR="001F58D9" w14:paraId="73D0C030" w14:textId="77777777" w:rsidTr="001F58D9">
        <w:tc>
          <w:tcPr>
            <w:tcW w:w="4306" w:type="dxa"/>
          </w:tcPr>
          <w:p w14:paraId="38A11824" w14:textId="77777777" w:rsidR="001F58D9" w:rsidRDefault="001F58D9" w:rsidP="001F58D9">
            <w:pPr>
              <w:pStyle w:val="ListParagraph"/>
              <w:ind w:left="0"/>
            </w:pPr>
            <w:r>
              <w:t>International Shares</w:t>
            </w:r>
          </w:p>
        </w:tc>
        <w:tc>
          <w:tcPr>
            <w:tcW w:w="4284" w:type="dxa"/>
          </w:tcPr>
          <w:p w14:paraId="1727FAE4" w14:textId="77777777" w:rsidR="001F58D9" w:rsidRDefault="001F58D9" w:rsidP="001F58D9">
            <w:pPr>
              <w:pStyle w:val="ListParagraph"/>
              <w:ind w:left="0"/>
              <w:jc w:val="center"/>
            </w:pPr>
            <w:r>
              <w:t>0 – 100%</w:t>
            </w:r>
          </w:p>
        </w:tc>
      </w:tr>
      <w:tr w:rsidR="001F58D9" w14:paraId="567FC7DA" w14:textId="77777777" w:rsidTr="001F58D9">
        <w:tc>
          <w:tcPr>
            <w:tcW w:w="4306" w:type="dxa"/>
          </w:tcPr>
          <w:p w14:paraId="2A69D698" w14:textId="77777777" w:rsidR="001F58D9" w:rsidRDefault="001F58D9" w:rsidP="001F58D9">
            <w:pPr>
              <w:pStyle w:val="ListParagraph"/>
              <w:ind w:left="0"/>
            </w:pPr>
            <w:r>
              <w:t>Property (listed)</w:t>
            </w:r>
          </w:p>
        </w:tc>
        <w:tc>
          <w:tcPr>
            <w:tcW w:w="4284" w:type="dxa"/>
          </w:tcPr>
          <w:p w14:paraId="395A4116" w14:textId="77777777" w:rsidR="001F58D9" w:rsidRDefault="001F58D9" w:rsidP="001F58D9">
            <w:pPr>
              <w:pStyle w:val="ListParagraph"/>
              <w:ind w:left="0"/>
              <w:jc w:val="center"/>
            </w:pPr>
            <w:r>
              <w:t>0 – 100%</w:t>
            </w:r>
          </w:p>
        </w:tc>
      </w:tr>
      <w:tr w:rsidR="001F58D9" w14:paraId="456A6F58" w14:textId="77777777" w:rsidTr="001F58D9">
        <w:tc>
          <w:tcPr>
            <w:tcW w:w="4306" w:type="dxa"/>
          </w:tcPr>
          <w:p w14:paraId="7F22CE62" w14:textId="77777777" w:rsidR="001F58D9" w:rsidRDefault="001F58D9" w:rsidP="001F58D9">
            <w:pPr>
              <w:pStyle w:val="ListParagraph"/>
              <w:ind w:left="0"/>
            </w:pPr>
            <w:r>
              <w:t>Property (direct)</w:t>
            </w:r>
          </w:p>
        </w:tc>
        <w:tc>
          <w:tcPr>
            <w:tcW w:w="4284" w:type="dxa"/>
          </w:tcPr>
          <w:p w14:paraId="75547DC9" w14:textId="77777777" w:rsidR="001F58D9" w:rsidRDefault="001F58D9" w:rsidP="001F58D9">
            <w:pPr>
              <w:pStyle w:val="ListParagraph"/>
              <w:ind w:left="0"/>
              <w:jc w:val="center"/>
            </w:pPr>
            <w:r>
              <w:t>0 – 100%</w:t>
            </w:r>
          </w:p>
        </w:tc>
      </w:tr>
      <w:tr w:rsidR="001F58D9" w14:paraId="05F7D34A" w14:textId="77777777" w:rsidTr="001F58D9">
        <w:tc>
          <w:tcPr>
            <w:tcW w:w="4306" w:type="dxa"/>
          </w:tcPr>
          <w:p w14:paraId="1F3E6F64" w14:textId="77777777" w:rsidR="001F58D9" w:rsidRDefault="001F58D9" w:rsidP="001F58D9">
            <w:pPr>
              <w:pStyle w:val="ListParagraph"/>
              <w:ind w:left="0"/>
            </w:pPr>
            <w:r>
              <w:t>Other</w:t>
            </w:r>
          </w:p>
        </w:tc>
        <w:tc>
          <w:tcPr>
            <w:tcW w:w="4284" w:type="dxa"/>
          </w:tcPr>
          <w:p w14:paraId="394422CD" w14:textId="77777777" w:rsidR="001F58D9" w:rsidRDefault="001F58D9" w:rsidP="001F58D9">
            <w:pPr>
              <w:pStyle w:val="ListParagraph"/>
              <w:ind w:left="0"/>
              <w:jc w:val="center"/>
            </w:pPr>
            <w:r>
              <w:t>0 – 100%</w:t>
            </w:r>
          </w:p>
        </w:tc>
      </w:tr>
    </w:tbl>
    <w:p w14:paraId="0F7175EF" w14:textId="77777777" w:rsidR="001F58D9" w:rsidRDefault="001F58D9" w:rsidP="00884C13">
      <w:pPr>
        <w:pStyle w:val="ListParagraph"/>
        <w:ind w:left="426"/>
        <w:rPr>
          <w:sz w:val="20"/>
          <w:szCs w:val="20"/>
        </w:rPr>
      </w:pPr>
    </w:p>
    <w:p w14:paraId="6E613050" w14:textId="5082CC33" w:rsidR="000B5ABD" w:rsidRPr="00F961A3" w:rsidRDefault="00C40EDA" w:rsidP="00F961A3">
      <w:pPr>
        <w:rPr>
          <w:sz w:val="20"/>
          <w:szCs w:val="20"/>
        </w:rPr>
      </w:pPr>
      <w:r w:rsidRPr="00F961A3">
        <w:rPr>
          <w:sz w:val="20"/>
          <w:szCs w:val="20"/>
        </w:rPr>
        <w:t xml:space="preserve">Presented with this scenario, the </w:t>
      </w:r>
      <w:r w:rsidR="00C07BE4" w:rsidRPr="00F961A3">
        <w:rPr>
          <w:sz w:val="20"/>
          <w:szCs w:val="20"/>
        </w:rPr>
        <w:t>adviser must nevertheless make M</w:t>
      </w:r>
      <w:r w:rsidRPr="00F961A3">
        <w:rPr>
          <w:sz w:val="20"/>
          <w:szCs w:val="20"/>
        </w:rPr>
        <w:t>ember level recommendations using</w:t>
      </w:r>
      <w:r w:rsidR="00AE3B2C" w:rsidRPr="00F961A3">
        <w:rPr>
          <w:sz w:val="20"/>
          <w:szCs w:val="20"/>
        </w:rPr>
        <w:t xml:space="preserve"> </w:t>
      </w:r>
      <w:proofErr w:type="spellStart"/>
      <w:r w:rsidR="00AE3B2C" w:rsidRPr="00F961A3">
        <w:rPr>
          <w:sz w:val="20"/>
          <w:szCs w:val="20"/>
        </w:rPr>
        <w:t>InterPrac’s</w:t>
      </w:r>
      <w:proofErr w:type="spellEnd"/>
      <w:r w:rsidR="00AE3B2C" w:rsidRPr="00F961A3">
        <w:rPr>
          <w:sz w:val="20"/>
          <w:szCs w:val="20"/>
        </w:rPr>
        <w:t xml:space="preserve"> max</w:t>
      </w:r>
      <w:r w:rsidRPr="00F961A3">
        <w:rPr>
          <w:sz w:val="20"/>
          <w:szCs w:val="20"/>
        </w:rPr>
        <w:t>imum variance per asset class</w:t>
      </w:r>
      <w:r w:rsidR="00AE3B2C" w:rsidRPr="00F961A3">
        <w:rPr>
          <w:sz w:val="20"/>
          <w:szCs w:val="20"/>
        </w:rPr>
        <w:t xml:space="preserve"> “+/- 10%”</w:t>
      </w:r>
      <w:r w:rsidR="008165FA" w:rsidRPr="00F961A3">
        <w:rPr>
          <w:sz w:val="20"/>
          <w:szCs w:val="20"/>
        </w:rPr>
        <w:t>.</w:t>
      </w:r>
    </w:p>
    <w:p w14:paraId="6DF4D256" w14:textId="5C347990" w:rsidR="008165FA" w:rsidRDefault="008165FA" w:rsidP="008165FA">
      <w:pPr>
        <w:pStyle w:val="ListParagraph"/>
        <w:ind w:left="426"/>
        <w:rPr>
          <w:sz w:val="20"/>
          <w:szCs w:val="20"/>
        </w:rPr>
      </w:pPr>
    </w:p>
    <w:p w14:paraId="74CA9C4E" w14:textId="77777777" w:rsidR="0086255E" w:rsidRDefault="0086255E" w:rsidP="0086255E">
      <w:pPr>
        <w:pStyle w:val="Heading2"/>
        <w:rPr>
          <w:rFonts w:eastAsia="Times New Roman"/>
          <w:b/>
          <w:sz w:val="28"/>
          <w:szCs w:val="28"/>
        </w:rPr>
      </w:pPr>
    </w:p>
    <w:p w14:paraId="0642C6C5" w14:textId="2CBD49F2" w:rsidR="0086255E" w:rsidRPr="0086255E" w:rsidRDefault="0086255E" w:rsidP="0086255E">
      <w:pPr>
        <w:pStyle w:val="Heading2"/>
        <w:rPr>
          <w:rFonts w:eastAsia="Times New Roman"/>
          <w:b/>
          <w:sz w:val="28"/>
          <w:szCs w:val="28"/>
        </w:rPr>
      </w:pPr>
      <w:bookmarkStart w:id="41" w:name="_Toc36642390"/>
      <w:r w:rsidRPr="0086255E">
        <w:rPr>
          <w:rFonts w:eastAsia="Times New Roman"/>
          <w:b/>
          <w:sz w:val="28"/>
          <w:szCs w:val="28"/>
        </w:rPr>
        <w:t>Transferring a Client from Another Licensee</w:t>
      </w:r>
      <w:bookmarkEnd w:id="41"/>
    </w:p>
    <w:p w14:paraId="0D8FF6AE" w14:textId="1BDB62E9" w:rsidR="0086255E" w:rsidRDefault="0086255E">
      <w:pPr>
        <w:pStyle w:val="ListParagraph"/>
        <w:ind w:left="426"/>
        <w:rPr>
          <w:sz w:val="20"/>
          <w:szCs w:val="20"/>
        </w:rPr>
      </w:pPr>
    </w:p>
    <w:p w14:paraId="430A110D" w14:textId="3C628DD6" w:rsidR="0086255E" w:rsidRPr="000D25E7" w:rsidRDefault="0086255E" w:rsidP="000D25E7">
      <w:pPr>
        <w:pStyle w:val="ListParagraph"/>
        <w:numPr>
          <w:ilvl w:val="0"/>
          <w:numId w:val="39"/>
        </w:numPr>
        <w:rPr>
          <w:rFonts w:eastAsia="Times New Roman"/>
          <w:sz w:val="20"/>
          <w:szCs w:val="20"/>
        </w:rPr>
      </w:pPr>
      <w:r w:rsidRPr="000D25E7">
        <w:rPr>
          <w:rFonts w:eastAsia="Times New Roman"/>
          <w:sz w:val="20"/>
          <w:szCs w:val="20"/>
        </w:rPr>
        <w:t>If you are transferring a previous client that was not yours from another Licensee:</w:t>
      </w:r>
    </w:p>
    <w:p w14:paraId="743D0639"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Full advice, fact finding, FSG, AML-CTF will be minimally required</w:t>
      </w:r>
    </w:p>
    <w:p w14:paraId="6424A520"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Fresh Implementation documentation will be required</w:t>
      </w:r>
    </w:p>
    <w:p w14:paraId="6CDFB688" w14:textId="507FA595" w:rsidR="0086255E" w:rsidRPr="0086255E" w:rsidRDefault="0086255E" w:rsidP="0086255E">
      <w:pPr>
        <w:pStyle w:val="ListParagraph"/>
        <w:rPr>
          <w:sz w:val="20"/>
          <w:szCs w:val="20"/>
        </w:rPr>
      </w:pPr>
      <w:r w:rsidRPr="0086255E">
        <w:rPr>
          <w:sz w:val="20"/>
          <w:szCs w:val="20"/>
        </w:rPr>
        <w:t>OR a Change of Adviser document</w:t>
      </w:r>
      <w:r>
        <w:rPr>
          <w:sz w:val="20"/>
          <w:szCs w:val="20"/>
        </w:rPr>
        <w:t xml:space="preserve"> (as appropriate)</w:t>
      </w:r>
    </w:p>
    <w:p w14:paraId="5D6A6D8D"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New fee arrangements must be disclosed in writing</w:t>
      </w:r>
    </w:p>
    <w:p w14:paraId="56F994A9" w14:textId="77777777" w:rsidR="0086255E" w:rsidRPr="0086255E" w:rsidRDefault="0086255E" w:rsidP="0086255E">
      <w:pPr>
        <w:rPr>
          <w:sz w:val="20"/>
          <w:szCs w:val="20"/>
        </w:rPr>
      </w:pPr>
    </w:p>
    <w:p w14:paraId="3FC8FA73" w14:textId="0DF7F08B" w:rsidR="0086255E" w:rsidRPr="000D25E7" w:rsidRDefault="0086255E" w:rsidP="000D25E7">
      <w:pPr>
        <w:pStyle w:val="ListParagraph"/>
        <w:numPr>
          <w:ilvl w:val="0"/>
          <w:numId w:val="39"/>
        </w:numPr>
        <w:rPr>
          <w:rFonts w:eastAsia="Times New Roman"/>
          <w:sz w:val="20"/>
          <w:szCs w:val="20"/>
        </w:rPr>
      </w:pPr>
      <w:r w:rsidRPr="000D25E7">
        <w:rPr>
          <w:rFonts w:eastAsia="Times New Roman"/>
          <w:sz w:val="20"/>
          <w:szCs w:val="20"/>
        </w:rPr>
        <w:t>If you are transferring a previous client of yours under a previous Licensee:</w:t>
      </w:r>
    </w:p>
    <w:p w14:paraId="1C3CEC90"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Fact finding, FSG, AML-CTF will be minimally required</w:t>
      </w:r>
    </w:p>
    <w:p w14:paraId="684C2188"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Fresh Implementation documentation will be required</w:t>
      </w:r>
    </w:p>
    <w:p w14:paraId="4BAF5AB6" w14:textId="6C6410FF"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OR a Change of Adviser document</w:t>
      </w:r>
      <w:r>
        <w:rPr>
          <w:rFonts w:eastAsia="Times New Roman"/>
          <w:sz w:val="20"/>
          <w:szCs w:val="20"/>
        </w:rPr>
        <w:t xml:space="preserve"> (as appropriate)</w:t>
      </w:r>
    </w:p>
    <w:p w14:paraId="2137DF12" w14:textId="77777777" w:rsidR="0086255E" w:rsidRPr="0086255E" w:rsidRDefault="0086255E" w:rsidP="0086255E">
      <w:pPr>
        <w:pStyle w:val="ListParagraph"/>
        <w:numPr>
          <w:ilvl w:val="0"/>
          <w:numId w:val="37"/>
        </w:numPr>
        <w:rPr>
          <w:rFonts w:eastAsia="Times New Roman"/>
          <w:sz w:val="20"/>
          <w:szCs w:val="20"/>
        </w:rPr>
      </w:pPr>
      <w:r w:rsidRPr="0086255E">
        <w:rPr>
          <w:rFonts w:eastAsia="Times New Roman"/>
          <w:sz w:val="20"/>
          <w:szCs w:val="20"/>
        </w:rPr>
        <w:t>New fee arrangements must be disclosed in writing</w:t>
      </w:r>
    </w:p>
    <w:p w14:paraId="77757F0A" w14:textId="77777777" w:rsidR="0086255E" w:rsidRPr="0086255E" w:rsidRDefault="0086255E" w:rsidP="0086255E">
      <w:pPr>
        <w:rPr>
          <w:sz w:val="20"/>
          <w:szCs w:val="20"/>
        </w:rPr>
      </w:pPr>
    </w:p>
    <w:p w14:paraId="7197AA1A" w14:textId="77777777" w:rsidR="0086255E" w:rsidRPr="0086255E" w:rsidRDefault="0086255E" w:rsidP="000D25E7">
      <w:pPr>
        <w:ind w:left="720"/>
        <w:rPr>
          <w:sz w:val="20"/>
          <w:szCs w:val="20"/>
        </w:rPr>
      </w:pPr>
      <w:r w:rsidRPr="0086255E">
        <w:rPr>
          <w:sz w:val="20"/>
          <w:szCs w:val="20"/>
        </w:rPr>
        <w:t>As a principle, any compliant advice documents (</w:t>
      </w:r>
      <w:proofErr w:type="spellStart"/>
      <w:r w:rsidRPr="0086255E">
        <w:rPr>
          <w:sz w:val="20"/>
          <w:szCs w:val="20"/>
        </w:rPr>
        <w:t>SoA</w:t>
      </w:r>
      <w:proofErr w:type="spellEnd"/>
      <w:r w:rsidRPr="0086255E">
        <w:rPr>
          <w:sz w:val="20"/>
          <w:szCs w:val="20"/>
        </w:rPr>
        <w:t xml:space="preserve">, </w:t>
      </w:r>
      <w:proofErr w:type="spellStart"/>
      <w:r w:rsidRPr="0086255E">
        <w:rPr>
          <w:sz w:val="20"/>
          <w:szCs w:val="20"/>
        </w:rPr>
        <w:t>RoA</w:t>
      </w:r>
      <w:proofErr w:type="spellEnd"/>
      <w:r w:rsidRPr="0086255E">
        <w:rPr>
          <w:sz w:val="20"/>
          <w:szCs w:val="20"/>
        </w:rPr>
        <w:t xml:space="preserve">) produced under the previous Licensee need </w:t>
      </w:r>
      <w:r w:rsidRPr="0086255E">
        <w:rPr>
          <w:sz w:val="20"/>
          <w:szCs w:val="20"/>
          <w:u w:val="single"/>
        </w:rPr>
        <w:t>NOT</w:t>
      </w:r>
      <w:r w:rsidRPr="0086255E">
        <w:rPr>
          <w:sz w:val="20"/>
          <w:szCs w:val="20"/>
        </w:rPr>
        <w:t xml:space="preserve"> be rewritten/reproduced under our Licence.</w:t>
      </w:r>
    </w:p>
    <w:p w14:paraId="626590DE" w14:textId="77777777" w:rsidR="0086255E" w:rsidRPr="0086255E" w:rsidRDefault="0086255E" w:rsidP="0086255E">
      <w:pPr>
        <w:ind w:firstLine="360"/>
        <w:rPr>
          <w:sz w:val="20"/>
          <w:szCs w:val="20"/>
        </w:rPr>
      </w:pPr>
    </w:p>
    <w:p w14:paraId="6D73845D" w14:textId="77777777" w:rsidR="0086255E" w:rsidRPr="0086255E" w:rsidRDefault="0086255E" w:rsidP="000D25E7">
      <w:pPr>
        <w:ind w:left="720"/>
        <w:rPr>
          <w:sz w:val="20"/>
          <w:szCs w:val="20"/>
        </w:rPr>
      </w:pPr>
      <w:r w:rsidRPr="0086255E">
        <w:rPr>
          <w:sz w:val="20"/>
          <w:szCs w:val="20"/>
        </w:rPr>
        <w:t>However, if there’s outstanding implementation, previous advice documentation cannot be relied upon if:</w:t>
      </w:r>
    </w:p>
    <w:p w14:paraId="03A9DD53" w14:textId="77777777" w:rsidR="0086255E" w:rsidRPr="0086255E" w:rsidRDefault="0086255E" w:rsidP="0086255E">
      <w:pPr>
        <w:pStyle w:val="PlainText"/>
        <w:numPr>
          <w:ilvl w:val="0"/>
          <w:numId w:val="38"/>
        </w:numPr>
        <w:rPr>
          <w:rFonts w:eastAsia="Times New Roman"/>
          <w:sz w:val="20"/>
          <w:szCs w:val="20"/>
        </w:rPr>
      </w:pPr>
      <w:r w:rsidRPr="0086255E">
        <w:rPr>
          <w:rFonts w:eastAsia="Times New Roman"/>
          <w:sz w:val="20"/>
          <w:szCs w:val="20"/>
        </w:rPr>
        <w:t xml:space="preserve">The previous advice document(s) is/are too old </w:t>
      </w:r>
    </w:p>
    <w:p w14:paraId="269C5E3E" w14:textId="77777777" w:rsidR="0086255E" w:rsidRPr="0086255E" w:rsidRDefault="0086255E" w:rsidP="000D25E7">
      <w:pPr>
        <w:pStyle w:val="PlainText"/>
        <w:ind w:left="720"/>
        <w:rPr>
          <w:sz w:val="20"/>
          <w:szCs w:val="20"/>
        </w:rPr>
      </w:pPr>
      <w:r w:rsidRPr="0086255E">
        <w:rPr>
          <w:sz w:val="20"/>
          <w:szCs w:val="20"/>
        </w:rPr>
        <w:t>Would the ‘reasonable man’ regard that the client’s relevant personal circumstances could have changed.</w:t>
      </w:r>
    </w:p>
    <w:p w14:paraId="57D846FD" w14:textId="77777777" w:rsidR="0086255E" w:rsidRPr="0086255E" w:rsidRDefault="0086255E" w:rsidP="0086255E">
      <w:pPr>
        <w:pStyle w:val="PlainText"/>
        <w:rPr>
          <w:sz w:val="20"/>
          <w:szCs w:val="20"/>
        </w:rPr>
      </w:pPr>
    </w:p>
    <w:p w14:paraId="1F284947" w14:textId="77777777" w:rsidR="0086255E" w:rsidRPr="0086255E" w:rsidRDefault="0086255E" w:rsidP="0086255E">
      <w:pPr>
        <w:pStyle w:val="PlainText"/>
        <w:numPr>
          <w:ilvl w:val="0"/>
          <w:numId w:val="38"/>
        </w:numPr>
        <w:rPr>
          <w:rFonts w:eastAsia="Times New Roman"/>
          <w:sz w:val="20"/>
          <w:szCs w:val="20"/>
        </w:rPr>
      </w:pPr>
      <w:r w:rsidRPr="0086255E">
        <w:rPr>
          <w:rFonts w:eastAsia="Times New Roman"/>
          <w:sz w:val="20"/>
          <w:szCs w:val="20"/>
        </w:rPr>
        <w:t>Will that Implementation require some change to the strategy?</w:t>
      </w:r>
    </w:p>
    <w:p w14:paraId="678FFBD0" w14:textId="77777777" w:rsidR="0086255E" w:rsidRPr="0086255E" w:rsidRDefault="0086255E" w:rsidP="0086255E">
      <w:pPr>
        <w:pStyle w:val="PlainText"/>
        <w:ind w:left="720"/>
        <w:rPr>
          <w:sz w:val="20"/>
          <w:szCs w:val="20"/>
        </w:rPr>
      </w:pPr>
      <w:r w:rsidRPr="0086255E">
        <w:rPr>
          <w:sz w:val="20"/>
          <w:szCs w:val="20"/>
        </w:rPr>
        <w:t xml:space="preserve">For example, the previously recommended portfolio has a non-approved product and </w:t>
      </w:r>
      <w:proofErr w:type="spellStart"/>
      <w:r w:rsidRPr="0086255E">
        <w:rPr>
          <w:sz w:val="20"/>
          <w:szCs w:val="20"/>
        </w:rPr>
        <w:t>InterPrac’s</w:t>
      </w:r>
      <w:proofErr w:type="spellEnd"/>
      <w:r w:rsidRPr="0086255E">
        <w:rPr>
          <w:sz w:val="20"/>
          <w:szCs w:val="20"/>
        </w:rPr>
        <w:t xml:space="preserve"> approval cannot be obtained.</w:t>
      </w:r>
    </w:p>
    <w:p w14:paraId="19BC3E4B" w14:textId="77777777" w:rsidR="0086255E" w:rsidRPr="0086255E" w:rsidRDefault="0086255E" w:rsidP="0086255E">
      <w:pPr>
        <w:pStyle w:val="PlainText"/>
        <w:rPr>
          <w:sz w:val="20"/>
          <w:szCs w:val="20"/>
        </w:rPr>
      </w:pPr>
    </w:p>
    <w:p w14:paraId="65AE9404" w14:textId="77777777" w:rsidR="0086255E" w:rsidRPr="0086255E" w:rsidRDefault="0086255E" w:rsidP="0086255E">
      <w:pPr>
        <w:pStyle w:val="PlainText"/>
        <w:numPr>
          <w:ilvl w:val="0"/>
          <w:numId w:val="38"/>
        </w:numPr>
        <w:rPr>
          <w:rFonts w:eastAsia="Times New Roman"/>
          <w:sz w:val="20"/>
          <w:szCs w:val="20"/>
        </w:rPr>
      </w:pPr>
      <w:r w:rsidRPr="0086255E">
        <w:rPr>
          <w:rFonts w:eastAsia="Times New Roman"/>
          <w:sz w:val="20"/>
          <w:szCs w:val="20"/>
        </w:rPr>
        <w:t>Will that Implementation require additional, material information disclosure?</w:t>
      </w:r>
    </w:p>
    <w:p w14:paraId="7571564F" w14:textId="5086AEEC" w:rsidR="0086255E" w:rsidRPr="0086255E" w:rsidRDefault="0086255E" w:rsidP="000D25E7">
      <w:pPr>
        <w:pStyle w:val="PlainText"/>
        <w:ind w:left="675"/>
        <w:rPr>
          <w:sz w:val="20"/>
          <w:szCs w:val="20"/>
        </w:rPr>
      </w:pPr>
      <w:r w:rsidRPr="0086255E">
        <w:rPr>
          <w:sz w:val="20"/>
          <w:szCs w:val="20"/>
        </w:rPr>
        <w:t xml:space="preserve">For example, if the previous </w:t>
      </w:r>
      <w:proofErr w:type="spellStart"/>
      <w:r w:rsidRPr="0086255E">
        <w:rPr>
          <w:sz w:val="20"/>
          <w:szCs w:val="20"/>
        </w:rPr>
        <w:t>SoA</w:t>
      </w:r>
      <w:proofErr w:type="spellEnd"/>
      <w:r w:rsidRPr="0086255E">
        <w:rPr>
          <w:sz w:val="20"/>
          <w:szCs w:val="20"/>
        </w:rPr>
        <w:t xml:space="preserve"> superficially referenced a potential ABP; then full ABP disclosures (fresh </w:t>
      </w:r>
      <w:proofErr w:type="spellStart"/>
      <w:r w:rsidRPr="0086255E">
        <w:rPr>
          <w:sz w:val="20"/>
          <w:szCs w:val="20"/>
        </w:rPr>
        <w:t>SoA</w:t>
      </w:r>
      <w:proofErr w:type="spellEnd"/>
      <w:r w:rsidRPr="0086255E">
        <w:rPr>
          <w:sz w:val="20"/>
          <w:szCs w:val="20"/>
        </w:rPr>
        <w:t>) would need to precede any new ABP Implementation.</w:t>
      </w:r>
    </w:p>
    <w:p w14:paraId="18091461" w14:textId="77777777" w:rsidR="0086255E" w:rsidRPr="0086255E" w:rsidRDefault="0086255E" w:rsidP="0086255E">
      <w:pPr>
        <w:rPr>
          <w:sz w:val="20"/>
          <w:szCs w:val="20"/>
        </w:rPr>
      </w:pPr>
    </w:p>
    <w:p w14:paraId="2F5F947F" w14:textId="77777777" w:rsidR="0086255E" w:rsidRPr="0086255E" w:rsidRDefault="0086255E" w:rsidP="000D25E7">
      <w:pPr>
        <w:ind w:firstLine="360"/>
        <w:rPr>
          <w:sz w:val="20"/>
          <w:szCs w:val="20"/>
        </w:rPr>
      </w:pPr>
      <w:r w:rsidRPr="0086255E">
        <w:rPr>
          <w:sz w:val="20"/>
          <w:szCs w:val="20"/>
        </w:rPr>
        <w:t>Assuming 1-3 do not apply, and given there is outstanding implementation:</w:t>
      </w:r>
    </w:p>
    <w:p w14:paraId="00D09C04" w14:textId="77777777" w:rsidR="0086255E" w:rsidRPr="0086255E" w:rsidRDefault="0086255E" w:rsidP="0086255E">
      <w:pPr>
        <w:pStyle w:val="PlainText"/>
        <w:numPr>
          <w:ilvl w:val="0"/>
          <w:numId w:val="38"/>
        </w:numPr>
        <w:rPr>
          <w:rFonts w:eastAsia="Times New Roman"/>
          <w:sz w:val="20"/>
          <w:szCs w:val="20"/>
        </w:rPr>
      </w:pPr>
      <w:r w:rsidRPr="0086255E">
        <w:rPr>
          <w:rFonts w:eastAsia="Times New Roman"/>
          <w:sz w:val="20"/>
          <w:szCs w:val="20"/>
        </w:rPr>
        <w:t>A comprehensive file note is minimally required.</w:t>
      </w:r>
    </w:p>
    <w:p w14:paraId="5DFDEAB1" w14:textId="77777777" w:rsidR="0086255E" w:rsidRPr="0086255E" w:rsidRDefault="0086255E" w:rsidP="0086255E">
      <w:pPr>
        <w:pStyle w:val="PlainText"/>
        <w:ind w:left="720"/>
        <w:rPr>
          <w:sz w:val="20"/>
          <w:szCs w:val="20"/>
        </w:rPr>
      </w:pPr>
      <w:r w:rsidRPr="0086255E">
        <w:rPr>
          <w:sz w:val="20"/>
          <w:szCs w:val="20"/>
        </w:rPr>
        <w:lastRenderedPageBreak/>
        <w:t xml:space="preserve">This would include: highlights of discussion with the client, confirmation that relevant personal </w:t>
      </w:r>
      <w:bookmarkStart w:id="42" w:name="_GoBack"/>
      <w:bookmarkEnd w:id="42"/>
      <w:r w:rsidRPr="0086255E">
        <w:rPr>
          <w:sz w:val="20"/>
          <w:szCs w:val="20"/>
        </w:rPr>
        <w:t xml:space="preserve">circumstances haven’t changed &amp; some indication that the client permitted the implementation. </w:t>
      </w:r>
    </w:p>
    <w:p w14:paraId="71216CB4" w14:textId="77777777" w:rsidR="0086255E" w:rsidRPr="0086255E" w:rsidRDefault="0086255E" w:rsidP="0086255E">
      <w:pPr>
        <w:pStyle w:val="PlainText"/>
        <w:ind w:left="720"/>
        <w:rPr>
          <w:sz w:val="20"/>
          <w:szCs w:val="20"/>
        </w:rPr>
      </w:pPr>
      <w:r w:rsidRPr="0086255E">
        <w:rPr>
          <w:sz w:val="20"/>
          <w:szCs w:val="20"/>
        </w:rPr>
        <w:t xml:space="preserve">The latter will be reinforced by the signed implementation documentation. </w:t>
      </w:r>
    </w:p>
    <w:p w14:paraId="2A5429FB" w14:textId="77777777" w:rsidR="0086255E" w:rsidRPr="0086255E" w:rsidRDefault="0086255E" w:rsidP="0086255E">
      <w:pPr>
        <w:rPr>
          <w:sz w:val="20"/>
          <w:szCs w:val="20"/>
        </w:rPr>
      </w:pPr>
    </w:p>
    <w:p w14:paraId="6D49BC2A" w14:textId="19D7F8DA" w:rsidR="0086255E" w:rsidRPr="00484FCD" w:rsidRDefault="0086255E" w:rsidP="005F440D">
      <w:pPr>
        <w:pStyle w:val="ListParagraph"/>
        <w:numPr>
          <w:ilvl w:val="0"/>
          <w:numId w:val="39"/>
        </w:numPr>
        <w:rPr>
          <w:sz w:val="20"/>
          <w:szCs w:val="20"/>
        </w:rPr>
      </w:pPr>
      <w:r w:rsidRPr="00484FCD">
        <w:rPr>
          <w:rFonts w:eastAsia="Times New Roman"/>
          <w:sz w:val="20"/>
          <w:szCs w:val="20"/>
        </w:rPr>
        <w:t xml:space="preserve">If a client of another </w:t>
      </w:r>
      <w:proofErr w:type="spellStart"/>
      <w:r w:rsidRPr="00484FCD">
        <w:rPr>
          <w:rFonts w:eastAsia="Times New Roman"/>
          <w:sz w:val="20"/>
          <w:szCs w:val="20"/>
        </w:rPr>
        <w:t>InterPrac</w:t>
      </w:r>
      <w:proofErr w:type="spellEnd"/>
      <w:r w:rsidRPr="00484FCD">
        <w:rPr>
          <w:rFonts w:eastAsia="Times New Roman"/>
          <w:sz w:val="20"/>
          <w:szCs w:val="20"/>
        </w:rPr>
        <w:t xml:space="preserve"> AR is being transferred to you</w:t>
      </w:r>
      <w:r w:rsidR="00484FCD" w:rsidRPr="00484FCD">
        <w:rPr>
          <w:rFonts w:eastAsia="Times New Roman"/>
          <w:sz w:val="20"/>
          <w:szCs w:val="20"/>
        </w:rPr>
        <w:t xml:space="preserve">, </w:t>
      </w:r>
      <w:r w:rsidRPr="00484FCD">
        <w:rPr>
          <w:sz w:val="20"/>
          <w:szCs w:val="20"/>
        </w:rPr>
        <w:t>‘B’ applies; with the exception of:</w:t>
      </w:r>
    </w:p>
    <w:p w14:paraId="40C4784A" w14:textId="77777777" w:rsidR="0086255E" w:rsidRPr="0086255E" w:rsidRDefault="0086255E" w:rsidP="00484FCD">
      <w:pPr>
        <w:pStyle w:val="ListParagraph"/>
        <w:numPr>
          <w:ilvl w:val="0"/>
          <w:numId w:val="37"/>
        </w:numPr>
        <w:rPr>
          <w:rFonts w:eastAsia="Times New Roman"/>
          <w:sz w:val="20"/>
          <w:szCs w:val="20"/>
        </w:rPr>
      </w:pPr>
      <w:r w:rsidRPr="0086255E">
        <w:rPr>
          <w:rFonts w:eastAsia="Times New Roman"/>
          <w:sz w:val="20"/>
          <w:szCs w:val="20"/>
        </w:rPr>
        <w:t xml:space="preserve">Only an FSG will be minimally required; fact find may need updating </w:t>
      </w:r>
    </w:p>
    <w:p w14:paraId="4C47916A" w14:textId="77777777" w:rsidR="0086255E" w:rsidRPr="0086255E" w:rsidRDefault="0086255E" w:rsidP="00484FCD">
      <w:pPr>
        <w:pStyle w:val="ListParagraph"/>
        <w:numPr>
          <w:ilvl w:val="0"/>
          <w:numId w:val="37"/>
        </w:numPr>
        <w:rPr>
          <w:rFonts w:eastAsia="Times New Roman"/>
          <w:sz w:val="20"/>
          <w:szCs w:val="20"/>
        </w:rPr>
      </w:pPr>
      <w:r w:rsidRPr="0086255E">
        <w:rPr>
          <w:rFonts w:eastAsia="Times New Roman"/>
          <w:sz w:val="20"/>
          <w:szCs w:val="20"/>
        </w:rPr>
        <w:t>Minimally, a Change of Adviser document will be required for existing platforms if that platform references the AR and not the CAR.</w:t>
      </w:r>
    </w:p>
    <w:p w14:paraId="4A6E40D0" w14:textId="0D727181" w:rsidR="0086255E" w:rsidRDefault="0086255E">
      <w:pPr>
        <w:pStyle w:val="ListParagraph"/>
        <w:ind w:left="426"/>
        <w:rPr>
          <w:sz w:val="20"/>
          <w:szCs w:val="20"/>
        </w:rPr>
      </w:pPr>
    </w:p>
    <w:p w14:paraId="7A791F14" w14:textId="71664D05" w:rsidR="00484FCD" w:rsidRDefault="00484FCD">
      <w:pPr>
        <w:pStyle w:val="ListParagraph"/>
        <w:ind w:left="426"/>
        <w:rPr>
          <w:sz w:val="20"/>
          <w:szCs w:val="20"/>
        </w:rPr>
      </w:pPr>
      <w:r w:rsidRPr="00484FCD">
        <w:rPr>
          <w:b/>
          <w:bCs/>
          <w:sz w:val="20"/>
          <w:szCs w:val="20"/>
        </w:rPr>
        <w:t xml:space="preserve">Change </w:t>
      </w:r>
      <w:proofErr w:type="gramStart"/>
      <w:r w:rsidRPr="00484FCD">
        <w:rPr>
          <w:b/>
          <w:bCs/>
          <w:sz w:val="20"/>
          <w:szCs w:val="20"/>
        </w:rPr>
        <w:t>Of</w:t>
      </w:r>
      <w:proofErr w:type="gramEnd"/>
      <w:r w:rsidRPr="00484FCD">
        <w:rPr>
          <w:b/>
          <w:bCs/>
          <w:sz w:val="20"/>
          <w:szCs w:val="20"/>
        </w:rPr>
        <w:t xml:space="preserve"> Adviser</w:t>
      </w:r>
      <w:r>
        <w:rPr>
          <w:b/>
          <w:bCs/>
          <w:sz w:val="20"/>
          <w:szCs w:val="20"/>
        </w:rPr>
        <w:t xml:space="preserve"> Authority (CoA)</w:t>
      </w:r>
    </w:p>
    <w:p w14:paraId="6ACEB98E" w14:textId="77777777" w:rsidR="002424EE" w:rsidRDefault="002424EE">
      <w:pPr>
        <w:pStyle w:val="ListParagraph"/>
        <w:ind w:left="426"/>
        <w:rPr>
          <w:sz w:val="20"/>
          <w:szCs w:val="20"/>
        </w:rPr>
      </w:pPr>
    </w:p>
    <w:p w14:paraId="07B3FA77" w14:textId="03CD01E7" w:rsidR="00484FCD" w:rsidRDefault="00484FCD">
      <w:pPr>
        <w:pStyle w:val="ListParagraph"/>
        <w:ind w:left="426"/>
        <w:rPr>
          <w:sz w:val="20"/>
          <w:szCs w:val="20"/>
        </w:rPr>
      </w:pPr>
      <w:r>
        <w:rPr>
          <w:sz w:val="20"/>
          <w:szCs w:val="20"/>
        </w:rPr>
        <w:t>This authority should be used with care:</w:t>
      </w:r>
    </w:p>
    <w:p w14:paraId="0B559D01" w14:textId="3021D200" w:rsidR="00484FCD" w:rsidRDefault="00484FCD" w:rsidP="00484FCD">
      <w:pPr>
        <w:pStyle w:val="ListParagraph"/>
        <w:numPr>
          <w:ilvl w:val="0"/>
          <w:numId w:val="37"/>
        </w:numPr>
        <w:rPr>
          <w:sz w:val="20"/>
          <w:szCs w:val="20"/>
        </w:rPr>
      </w:pPr>
      <w:r>
        <w:rPr>
          <w:sz w:val="20"/>
          <w:szCs w:val="20"/>
        </w:rPr>
        <w:t xml:space="preserve">It isn’t a substitute for an Authority </w:t>
      </w:r>
      <w:proofErr w:type="gramStart"/>
      <w:r>
        <w:rPr>
          <w:sz w:val="20"/>
          <w:szCs w:val="20"/>
        </w:rPr>
        <w:t>To</w:t>
      </w:r>
      <w:proofErr w:type="gramEnd"/>
      <w:r>
        <w:rPr>
          <w:sz w:val="20"/>
          <w:szCs w:val="20"/>
        </w:rPr>
        <w:t xml:space="preserve"> Enquire</w:t>
      </w:r>
    </w:p>
    <w:p w14:paraId="1C820C3D" w14:textId="5AE7CC56" w:rsidR="00484FCD" w:rsidRDefault="00484FCD" w:rsidP="00484FCD">
      <w:pPr>
        <w:pStyle w:val="ListParagraph"/>
        <w:numPr>
          <w:ilvl w:val="0"/>
          <w:numId w:val="37"/>
        </w:numPr>
        <w:rPr>
          <w:sz w:val="20"/>
          <w:szCs w:val="20"/>
        </w:rPr>
      </w:pPr>
      <w:r>
        <w:rPr>
          <w:sz w:val="20"/>
          <w:szCs w:val="20"/>
        </w:rPr>
        <w:t>It may access a fee stream which will then require a level of service as ongoing justification</w:t>
      </w:r>
    </w:p>
    <w:p w14:paraId="749A3ED4" w14:textId="53115789" w:rsidR="00484FCD" w:rsidRDefault="00484FCD" w:rsidP="00484FCD">
      <w:pPr>
        <w:pStyle w:val="ListParagraph"/>
        <w:numPr>
          <w:ilvl w:val="0"/>
          <w:numId w:val="37"/>
        </w:numPr>
        <w:rPr>
          <w:sz w:val="20"/>
          <w:szCs w:val="20"/>
        </w:rPr>
      </w:pPr>
      <w:r>
        <w:rPr>
          <w:sz w:val="20"/>
          <w:szCs w:val="20"/>
        </w:rPr>
        <w:t xml:space="preserve">If a client </w:t>
      </w:r>
      <w:proofErr w:type="spellStart"/>
      <w:r>
        <w:rPr>
          <w:sz w:val="20"/>
          <w:szCs w:val="20"/>
        </w:rPr>
        <w:t>renegs</w:t>
      </w:r>
      <w:proofErr w:type="spellEnd"/>
      <w:r>
        <w:rPr>
          <w:sz w:val="20"/>
          <w:szCs w:val="20"/>
        </w:rPr>
        <w:t xml:space="preserve"> on the </w:t>
      </w:r>
      <w:proofErr w:type="spellStart"/>
      <w:r>
        <w:rPr>
          <w:sz w:val="20"/>
          <w:szCs w:val="20"/>
        </w:rPr>
        <w:t>SoA</w:t>
      </w:r>
      <w:proofErr w:type="spellEnd"/>
      <w:r>
        <w:rPr>
          <w:sz w:val="20"/>
          <w:szCs w:val="20"/>
        </w:rPr>
        <w:t xml:space="preserve"> Authority to Proceed, then the CoA must be undone and, in some cases, fees/commissions received may need to be rebated.</w:t>
      </w:r>
      <w:r w:rsidR="002B60FC">
        <w:rPr>
          <w:sz w:val="20"/>
          <w:szCs w:val="20"/>
        </w:rPr>
        <w:t xml:space="preserve"> The new adviser may be responsible for commission clawback.</w:t>
      </w:r>
    </w:p>
    <w:p w14:paraId="0996D6FD" w14:textId="23279B17" w:rsidR="00484FCD" w:rsidRPr="00484FCD" w:rsidRDefault="00484FCD" w:rsidP="00484FCD">
      <w:pPr>
        <w:pStyle w:val="ListParagraph"/>
        <w:numPr>
          <w:ilvl w:val="0"/>
          <w:numId w:val="37"/>
        </w:numPr>
        <w:rPr>
          <w:sz w:val="20"/>
          <w:szCs w:val="20"/>
        </w:rPr>
      </w:pPr>
      <w:r>
        <w:rPr>
          <w:sz w:val="20"/>
          <w:szCs w:val="20"/>
        </w:rPr>
        <w:t>The ongoing responsibility for portfolio decisions made by another adviser can be blurred</w:t>
      </w:r>
      <w:r w:rsidR="002B60FC">
        <w:rPr>
          <w:sz w:val="20"/>
          <w:szCs w:val="20"/>
        </w:rPr>
        <w:t>.</w:t>
      </w:r>
      <w:r>
        <w:rPr>
          <w:sz w:val="20"/>
          <w:szCs w:val="20"/>
        </w:rPr>
        <w:t xml:space="preserve"> </w:t>
      </w:r>
      <w:r w:rsidR="002B60FC">
        <w:rPr>
          <w:sz w:val="20"/>
          <w:szCs w:val="20"/>
        </w:rPr>
        <w:t>The new adviser has a duty of care to ensure inherited investments remain appropriate.</w:t>
      </w:r>
    </w:p>
    <w:sectPr w:rsidR="00484FCD" w:rsidRPr="00484F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6051" w14:textId="77777777" w:rsidR="005F440D" w:rsidRDefault="005F440D" w:rsidP="004E1880">
      <w:r>
        <w:separator/>
      </w:r>
    </w:p>
  </w:endnote>
  <w:endnote w:type="continuationSeparator" w:id="0">
    <w:p w14:paraId="2F9CD008" w14:textId="77777777" w:rsidR="005F440D" w:rsidRDefault="005F440D" w:rsidP="004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66A1" w14:textId="48B42984" w:rsidR="005F440D" w:rsidRPr="004E1880" w:rsidRDefault="005F440D" w:rsidP="00020EC5">
    <w:pPr>
      <w:pStyle w:val="Footer"/>
      <w:jc w:val="right"/>
    </w:pPr>
    <w:r w:rsidRPr="004E1880">
      <w:rPr>
        <w:noProof/>
        <w:lang w:eastAsia="en-AU"/>
      </w:rPr>
      <mc:AlternateContent>
        <mc:Choice Requires="wps">
          <w:drawing>
            <wp:anchor distT="0" distB="0" distL="114300" distR="114300" simplePos="0" relativeHeight="251659264" behindDoc="0" locked="0" layoutInCell="1" allowOverlap="1" wp14:anchorId="6FBBDE53" wp14:editId="154CFEC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F33BB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E1880">
      <w:t xml:space="preserve"> </w:t>
    </w:r>
    <w:r w:rsidRPr="004E1880">
      <w:rPr>
        <w:rFonts w:asciiTheme="majorHAnsi" w:eastAsiaTheme="majorEastAsia" w:hAnsiTheme="majorHAnsi" w:cstheme="majorBidi"/>
        <w:sz w:val="20"/>
        <w:szCs w:val="20"/>
      </w:rPr>
      <w:t xml:space="preserve">pg. </w:t>
    </w:r>
    <w:r w:rsidRPr="004E1880">
      <w:rPr>
        <w:rFonts w:asciiTheme="minorHAnsi" w:eastAsiaTheme="minorEastAsia" w:hAnsiTheme="minorHAnsi" w:cstheme="minorBidi"/>
        <w:sz w:val="20"/>
        <w:szCs w:val="20"/>
      </w:rPr>
      <w:fldChar w:fldCharType="begin"/>
    </w:r>
    <w:r w:rsidRPr="004E1880">
      <w:rPr>
        <w:sz w:val="20"/>
        <w:szCs w:val="20"/>
      </w:rPr>
      <w:instrText xml:space="preserve"> PAGE    \* MERGEFORMAT </w:instrText>
    </w:r>
    <w:r w:rsidRPr="004E1880">
      <w:rPr>
        <w:rFonts w:asciiTheme="minorHAnsi" w:eastAsiaTheme="minorEastAsia" w:hAnsiTheme="minorHAnsi" w:cstheme="minorBidi"/>
        <w:sz w:val="20"/>
        <w:szCs w:val="20"/>
      </w:rPr>
      <w:fldChar w:fldCharType="separate"/>
    </w:r>
    <w:r w:rsidRPr="00A32566">
      <w:rPr>
        <w:rFonts w:asciiTheme="majorHAnsi" w:eastAsiaTheme="majorEastAsia" w:hAnsiTheme="majorHAnsi" w:cstheme="majorBidi"/>
        <w:noProof/>
        <w:sz w:val="20"/>
        <w:szCs w:val="20"/>
      </w:rPr>
      <w:t>4</w:t>
    </w:r>
    <w:r w:rsidRPr="004E1880">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B266" w14:textId="77777777" w:rsidR="005F440D" w:rsidRDefault="005F440D" w:rsidP="004E1880">
      <w:r>
        <w:separator/>
      </w:r>
    </w:p>
  </w:footnote>
  <w:footnote w:type="continuationSeparator" w:id="0">
    <w:p w14:paraId="03213995" w14:textId="77777777" w:rsidR="005F440D" w:rsidRDefault="005F440D" w:rsidP="004E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68D"/>
    <w:multiLevelType w:val="hybridMultilevel"/>
    <w:tmpl w:val="772AE4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9C2044D"/>
    <w:multiLevelType w:val="hybridMultilevel"/>
    <w:tmpl w:val="3732FD7E"/>
    <w:lvl w:ilvl="0" w:tplc="AE96415E">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8218C1"/>
    <w:multiLevelType w:val="hybridMultilevel"/>
    <w:tmpl w:val="1CC62ABC"/>
    <w:lvl w:ilvl="0" w:tplc="32FC59C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60E3"/>
    <w:multiLevelType w:val="hybridMultilevel"/>
    <w:tmpl w:val="D8D4DC36"/>
    <w:lvl w:ilvl="0" w:tplc="2FB20D04">
      <w:start w:val="1"/>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0E47724C"/>
    <w:multiLevelType w:val="hybridMultilevel"/>
    <w:tmpl w:val="ECBC8D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671108C"/>
    <w:multiLevelType w:val="hybridMultilevel"/>
    <w:tmpl w:val="B68EDF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20122"/>
    <w:multiLevelType w:val="hybridMultilevel"/>
    <w:tmpl w:val="05C82A32"/>
    <w:lvl w:ilvl="0" w:tplc="40544D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1A54"/>
    <w:multiLevelType w:val="hybridMultilevel"/>
    <w:tmpl w:val="70583C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AC62BCA"/>
    <w:multiLevelType w:val="hybridMultilevel"/>
    <w:tmpl w:val="794CCE14"/>
    <w:lvl w:ilvl="0" w:tplc="758032A0">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BE70440"/>
    <w:multiLevelType w:val="hybridMultilevel"/>
    <w:tmpl w:val="6E646F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B8176C"/>
    <w:multiLevelType w:val="hybridMultilevel"/>
    <w:tmpl w:val="542A474A"/>
    <w:lvl w:ilvl="0" w:tplc="95205258">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331138F"/>
    <w:multiLevelType w:val="hybridMultilevel"/>
    <w:tmpl w:val="D37E2B74"/>
    <w:lvl w:ilvl="0" w:tplc="100E4314">
      <w:start w:val="1"/>
      <w:numFmt w:val="low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8EB53D9"/>
    <w:multiLevelType w:val="hybridMultilevel"/>
    <w:tmpl w:val="8B6408AC"/>
    <w:lvl w:ilvl="0" w:tplc="2B06E83A">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153CB8"/>
    <w:multiLevelType w:val="hybridMultilevel"/>
    <w:tmpl w:val="A22602FE"/>
    <w:lvl w:ilvl="0" w:tplc="1AC6A63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5057A"/>
    <w:multiLevelType w:val="hybridMultilevel"/>
    <w:tmpl w:val="D1CE7A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1C034D"/>
    <w:multiLevelType w:val="hybridMultilevel"/>
    <w:tmpl w:val="64A22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80043A"/>
    <w:multiLevelType w:val="hybridMultilevel"/>
    <w:tmpl w:val="B3EE5148"/>
    <w:lvl w:ilvl="0" w:tplc="23501404">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D3C5A"/>
    <w:multiLevelType w:val="hybridMultilevel"/>
    <w:tmpl w:val="9E48D5FA"/>
    <w:lvl w:ilvl="0" w:tplc="72BE480E">
      <w:start w:val="1"/>
      <w:numFmt w:val="lowerLetter"/>
      <w:lvlText w:val="%1."/>
      <w:lvlJc w:val="left"/>
      <w:pPr>
        <w:ind w:left="2280" w:hanging="360"/>
      </w:pPr>
      <w:rPr>
        <w:rFonts w:ascii="Calibri" w:eastAsiaTheme="minorHAnsi" w:hAnsi="Calibri" w:cs="Calibri"/>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8" w15:restartNumberingAfterBreak="0">
    <w:nsid w:val="49661BA5"/>
    <w:multiLevelType w:val="hybridMultilevel"/>
    <w:tmpl w:val="97BC9B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A540AE"/>
    <w:multiLevelType w:val="hybridMultilevel"/>
    <w:tmpl w:val="4588C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EE3D4F"/>
    <w:multiLevelType w:val="hybridMultilevel"/>
    <w:tmpl w:val="19D0958A"/>
    <w:lvl w:ilvl="0" w:tplc="55B8C3D4">
      <w:start w:val="43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400205"/>
    <w:multiLevelType w:val="hybridMultilevel"/>
    <w:tmpl w:val="753AC708"/>
    <w:lvl w:ilvl="0" w:tplc="1AC6A634">
      <w:start w:val="1"/>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0840D01"/>
    <w:multiLevelType w:val="hybridMultilevel"/>
    <w:tmpl w:val="10446800"/>
    <w:lvl w:ilvl="0" w:tplc="6156AF8E">
      <w:start w:val="1"/>
      <w:numFmt w:val="lowerRoman"/>
      <w:lvlText w:val="(%1)"/>
      <w:lvlJc w:val="left"/>
      <w:pPr>
        <w:ind w:left="753" w:hanging="720"/>
      </w:pPr>
      <w:rPr>
        <w:rFonts w:ascii="Calibri" w:eastAsia="Calibri" w:hAnsi="Calibri" w:cs="Times New Roman"/>
      </w:rPr>
    </w:lvl>
    <w:lvl w:ilvl="1" w:tplc="0C090019">
      <w:start w:val="1"/>
      <w:numFmt w:val="lowerLetter"/>
      <w:lvlText w:val="%2."/>
      <w:lvlJc w:val="left"/>
      <w:pPr>
        <w:ind w:left="1113" w:hanging="360"/>
      </w:pPr>
    </w:lvl>
    <w:lvl w:ilvl="2" w:tplc="0C09001B">
      <w:start w:val="1"/>
      <w:numFmt w:val="lowerRoman"/>
      <w:lvlText w:val="%3."/>
      <w:lvlJc w:val="right"/>
      <w:pPr>
        <w:ind w:left="1833" w:hanging="180"/>
      </w:pPr>
    </w:lvl>
    <w:lvl w:ilvl="3" w:tplc="0C09000F">
      <w:start w:val="1"/>
      <w:numFmt w:val="decimal"/>
      <w:lvlText w:val="%4."/>
      <w:lvlJc w:val="left"/>
      <w:pPr>
        <w:ind w:left="2553" w:hanging="360"/>
      </w:pPr>
    </w:lvl>
    <w:lvl w:ilvl="4" w:tplc="0C090019">
      <w:start w:val="1"/>
      <w:numFmt w:val="lowerLetter"/>
      <w:lvlText w:val="%5."/>
      <w:lvlJc w:val="left"/>
      <w:pPr>
        <w:ind w:left="3273" w:hanging="360"/>
      </w:pPr>
    </w:lvl>
    <w:lvl w:ilvl="5" w:tplc="0C09001B">
      <w:start w:val="1"/>
      <w:numFmt w:val="lowerRoman"/>
      <w:lvlText w:val="%6."/>
      <w:lvlJc w:val="right"/>
      <w:pPr>
        <w:ind w:left="3993" w:hanging="180"/>
      </w:pPr>
    </w:lvl>
    <w:lvl w:ilvl="6" w:tplc="0C09000F">
      <w:start w:val="1"/>
      <w:numFmt w:val="decimal"/>
      <w:lvlText w:val="%7."/>
      <w:lvlJc w:val="left"/>
      <w:pPr>
        <w:ind w:left="4713" w:hanging="360"/>
      </w:pPr>
    </w:lvl>
    <w:lvl w:ilvl="7" w:tplc="0C090019">
      <w:start w:val="1"/>
      <w:numFmt w:val="lowerLetter"/>
      <w:lvlText w:val="%8."/>
      <w:lvlJc w:val="left"/>
      <w:pPr>
        <w:ind w:left="5433" w:hanging="360"/>
      </w:pPr>
    </w:lvl>
    <w:lvl w:ilvl="8" w:tplc="0C09001B">
      <w:start w:val="1"/>
      <w:numFmt w:val="lowerRoman"/>
      <w:lvlText w:val="%9."/>
      <w:lvlJc w:val="right"/>
      <w:pPr>
        <w:ind w:left="6153" w:hanging="180"/>
      </w:pPr>
    </w:lvl>
  </w:abstractNum>
  <w:abstractNum w:abstractNumId="23" w15:restartNumberingAfterBreak="0">
    <w:nsid w:val="50EC2584"/>
    <w:multiLevelType w:val="hybridMultilevel"/>
    <w:tmpl w:val="15BAD512"/>
    <w:lvl w:ilvl="0" w:tplc="CFC2EE7E">
      <w:start w:val="1"/>
      <w:numFmt w:val="upperLetter"/>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31B6C67"/>
    <w:multiLevelType w:val="hybridMultilevel"/>
    <w:tmpl w:val="D09EEE5C"/>
    <w:lvl w:ilvl="0" w:tplc="24F40C3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3D85036"/>
    <w:multiLevelType w:val="hybridMultilevel"/>
    <w:tmpl w:val="B22A71F4"/>
    <w:lvl w:ilvl="0" w:tplc="1AC6A63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B34CF"/>
    <w:multiLevelType w:val="hybridMultilevel"/>
    <w:tmpl w:val="2A86CEF0"/>
    <w:lvl w:ilvl="0" w:tplc="AA02B20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BC6508"/>
    <w:multiLevelType w:val="hybridMultilevel"/>
    <w:tmpl w:val="97BC9B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D04B06"/>
    <w:multiLevelType w:val="hybridMultilevel"/>
    <w:tmpl w:val="75E43F24"/>
    <w:lvl w:ilvl="0" w:tplc="CA2465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C53D3"/>
    <w:multiLevelType w:val="hybridMultilevel"/>
    <w:tmpl w:val="EC7C171E"/>
    <w:lvl w:ilvl="0" w:tplc="E00CD79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93F5869"/>
    <w:multiLevelType w:val="hybridMultilevel"/>
    <w:tmpl w:val="48DC8AD4"/>
    <w:lvl w:ilvl="0" w:tplc="0C56C32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196619"/>
    <w:multiLevelType w:val="hybridMultilevel"/>
    <w:tmpl w:val="F40AEF68"/>
    <w:lvl w:ilvl="0" w:tplc="C0E48E0C">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6C107A6B"/>
    <w:multiLevelType w:val="hybridMultilevel"/>
    <w:tmpl w:val="5A0856CC"/>
    <w:lvl w:ilvl="0" w:tplc="1AC6A63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043887"/>
    <w:multiLevelType w:val="hybridMultilevel"/>
    <w:tmpl w:val="9740D81E"/>
    <w:lvl w:ilvl="0" w:tplc="1552444C">
      <w:start w:val="1"/>
      <w:numFmt w:val="bullet"/>
      <w:lvlText w:val="-"/>
      <w:lvlJc w:val="left"/>
      <w:pPr>
        <w:ind w:left="1068" w:hanging="360"/>
      </w:pPr>
      <w:rPr>
        <w:rFonts w:ascii="Calibri" w:eastAsiaTheme="minorEastAsia" w:hAnsi="Calibri" w:cs="Calibr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4" w15:restartNumberingAfterBreak="0">
    <w:nsid w:val="72015A6D"/>
    <w:multiLevelType w:val="hybridMultilevel"/>
    <w:tmpl w:val="97BC9B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C1707E"/>
    <w:multiLevelType w:val="hybridMultilevel"/>
    <w:tmpl w:val="323EC096"/>
    <w:lvl w:ilvl="0" w:tplc="E97E2F96">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CA397C"/>
    <w:multiLevelType w:val="hybridMultilevel"/>
    <w:tmpl w:val="D9344D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E4F5F65"/>
    <w:multiLevelType w:val="hybridMultilevel"/>
    <w:tmpl w:val="4A50370C"/>
    <w:lvl w:ilvl="0" w:tplc="51103F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5"/>
  </w:num>
  <w:num w:numId="9">
    <w:abstractNumId w:val="18"/>
  </w:num>
  <w:num w:numId="10">
    <w:abstractNumId w:val="35"/>
  </w:num>
  <w:num w:numId="11">
    <w:abstractNumId w:val="29"/>
  </w:num>
  <w:num w:numId="12">
    <w:abstractNumId w:val="28"/>
  </w:num>
  <w:num w:numId="13">
    <w:abstractNumId w:val="34"/>
  </w:num>
  <w:num w:numId="14">
    <w:abstractNumId w:val="19"/>
  </w:num>
  <w:num w:numId="15">
    <w:abstractNumId w:val="26"/>
  </w:num>
  <w:num w:numId="16">
    <w:abstractNumId w:val="2"/>
  </w:num>
  <w:num w:numId="17">
    <w:abstractNumId w:val="12"/>
  </w:num>
  <w:num w:numId="18">
    <w:abstractNumId w:val="13"/>
  </w:num>
  <w:num w:numId="19">
    <w:abstractNumId w:val="17"/>
  </w:num>
  <w:num w:numId="20">
    <w:abstractNumId w:val="37"/>
  </w:num>
  <w:num w:numId="21">
    <w:abstractNumId w:val="31"/>
  </w:num>
  <w:num w:numId="22">
    <w:abstractNumId w:val="21"/>
  </w:num>
  <w:num w:numId="23">
    <w:abstractNumId w:val="14"/>
  </w:num>
  <w:num w:numId="24">
    <w:abstractNumId w:val="15"/>
  </w:num>
  <w:num w:numId="25">
    <w:abstractNumId w:val="10"/>
  </w:num>
  <w:num w:numId="26">
    <w:abstractNumId w:val="16"/>
  </w:num>
  <w:num w:numId="27">
    <w:abstractNumId w:val="32"/>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3"/>
  </w:num>
  <w:num w:numId="32">
    <w:abstractNumId w:val="21"/>
  </w:num>
  <w:num w:numId="33">
    <w:abstractNumId w:val="8"/>
  </w:num>
  <w:num w:numId="34">
    <w:abstractNumId w:val="24"/>
  </w:num>
  <w:num w:numId="35">
    <w:abstractNumId w:val="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CA"/>
    <w:rsid w:val="00020864"/>
    <w:rsid w:val="0002094E"/>
    <w:rsid w:val="00020EC5"/>
    <w:rsid w:val="000251C7"/>
    <w:rsid w:val="000265DB"/>
    <w:rsid w:val="0004080C"/>
    <w:rsid w:val="000464F3"/>
    <w:rsid w:val="000528CC"/>
    <w:rsid w:val="00060F89"/>
    <w:rsid w:val="0008556D"/>
    <w:rsid w:val="000936BB"/>
    <w:rsid w:val="00095747"/>
    <w:rsid w:val="000972C0"/>
    <w:rsid w:val="0009749C"/>
    <w:rsid w:val="000A02E0"/>
    <w:rsid w:val="000A40BC"/>
    <w:rsid w:val="000A469A"/>
    <w:rsid w:val="000A4E01"/>
    <w:rsid w:val="000A522D"/>
    <w:rsid w:val="000A7B3A"/>
    <w:rsid w:val="000B5ABD"/>
    <w:rsid w:val="000B6410"/>
    <w:rsid w:val="000C1B7C"/>
    <w:rsid w:val="000C2600"/>
    <w:rsid w:val="000C6DB1"/>
    <w:rsid w:val="000D0D7A"/>
    <w:rsid w:val="000D25E7"/>
    <w:rsid w:val="000D4CEA"/>
    <w:rsid w:val="000D5B40"/>
    <w:rsid w:val="000F102C"/>
    <w:rsid w:val="000F32F2"/>
    <w:rsid w:val="000F61E1"/>
    <w:rsid w:val="001055BD"/>
    <w:rsid w:val="001160F2"/>
    <w:rsid w:val="00120ECE"/>
    <w:rsid w:val="00121166"/>
    <w:rsid w:val="0012488F"/>
    <w:rsid w:val="00124CFE"/>
    <w:rsid w:val="001253AF"/>
    <w:rsid w:val="00131CD4"/>
    <w:rsid w:val="001508B6"/>
    <w:rsid w:val="001570CB"/>
    <w:rsid w:val="00163D15"/>
    <w:rsid w:val="0017294C"/>
    <w:rsid w:val="001829D5"/>
    <w:rsid w:val="0019148B"/>
    <w:rsid w:val="001959B5"/>
    <w:rsid w:val="001A335C"/>
    <w:rsid w:val="001B744A"/>
    <w:rsid w:val="001C460B"/>
    <w:rsid w:val="001C6983"/>
    <w:rsid w:val="001F0CB5"/>
    <w:rsid w:val="001F58D9"/>
    <w:rsid w:val="00203D91"/>
    <w:rsid w:val="002070FD"/>
    <w:rsid w:val="002072E4"/>
    <w:rsid w:val="002216BD"/>
    <w:rsid w:val="00221BEE"/>
    <w:rsid w:val="00230212"/>
    <w:rsid w:val="002306DB"/>
    <w:rsid w:val="0024107B"/>
    <w:rsid w:val="002424EE"/>
    <w:rsid w:val="00242B32"/>
    <w:rsid w:val="00246CA4"/>
    <w:rsid w:val="00262681"/>
    <w:rsid w:val="0027137C"/>
    <w:rsid w:val="00271C44"/>
    <w:rsid w:val="00281533"/>
    <w:rsid w:val="00287E7E"/>
    <w:rsid w:val="00293BAA"/>
    <w:rsid w:val="002B60FC"/>
    <w:rsid w:val="002C7636"/>
    <w:rsid w:val="002D02A7"/>
    <w:rsid w:val="002E0723"/>
    <w:rsid w:val="002F5E79"/>
    <w:rsid w:val="002F7D65"/>
    <w:rsid w:val="00301B18"/>
    <w:rsid w:val="00304265"/>
    <w:rsid w:val="00305887"/>
    <w:rsid w:val="003131DB"/>
    <w:rsid w:val="00314C6C"/>
    <w:rsid w:val="003157CF"/>
    <w:rsid w:val="00324948"/>
    <w:rsid w:val="00324D96"/>
    <w:rsid w:val="00332123"/>
    <w:rsid w:val="00343B1C"/>
    <w:rsid w:val="0034425B"/>
    <w:rsid w:val="00373DFE"/>
    <w:rsid w:val="003751A5"/>
    <w:rsid w:val="003755E5"/>
    <w:rsid w:val="00380BFD"/>
    <w:rsid w:val="0039040D"/>
    <w:rsid w:val="003A38D9"/>
    <w:rsid w:val="003B045B"/>
    <w:rsid w:val="003B1537"/>
    <w:rsid w:val="003D375C"/>
    <w:rsid w:val="003D4619"/>
    <w:rsid w:val="003E78EA"/>
    <w:rsid w:val="003F3C7C"/>
    <w:rsid w:val="004046BF"/>
    <w:rsid w:val="004060FE"/>
    <w:rsid w:val="0041145C"/>
    <w:rsid w:val="0041197C"/>
    <w:rsid w:val="0042201F"/>
    <w:rsid w:val="004263BD"/>
    <w:rsid w:val="00431423"/>
    <w:rsid w:val="00432163"/>
    <w:rsid w:val="00434C2E"/>
    <w:rsid w:val="00436390"/>
    <w:rsid w:val="00437162"/>
    <w:rsid w:val="004454CD"/>
    <w:rsid w:val="0044700A"/>
    <w:rsid w:val="00461FC0"/>
    <w:rsid w:val="00465AF6"/>
    <w:rsid w:val="00481C87"/>
    <w:rsid w:val="00482519"/>
    <w:rsid w:val="00484FCD"/>
    <w:rsid w:val="00485A18"/>
    <w:rsid w:val="0049451B"/>
    <w:rsid w:val="004A5595"/>
    <w:rsid w:val="004B465A"/>
    <w:rsid w:val="004C1915"/>
    <w:rsid w:val="004C5723"/>
    <w:rsid w:val="004C5781"/>
    <w:rsid w:val="004C7B30"/>
    <w:rsid w:val="004E1880"/>
    <w:rsid w:val="004F2C02"/>
    <w:rsid w:val="00500F03"/>
    <w:rsid w:val="00511C3A"/>
    <w:rsid w:val="00517CE0"/>
    <w:rsid w:val="00520EB7"/>
    <w:rsid w:val="005339EE"/>
    <w:rsid w:val="00535730"/>
    <w:rsid w:val="00550A50"/>
    <w:rsid w:val="00550A8B"/>
    <w:rsid w:val="0055174E"/>
    <w:rsid w:val="00553957"/>
    <w:rsid w:val="00556C35"/>
    <w:rsid w:val="005622A5"/>
    <w:rsid w:val="005662CC"/>
    <w:rsid w:val="00575E63"/>
    <w:rsid w:val="0057685B"/>
    <w:rsid w:val="00590023"/>
    <w:rsid w:val="005901A5"/>
    <w:rsid w:val="0059171B"/>
    <w:rsid w:val="005A0212"/>
    <w:rsid w:val="005A326B"/>
    <w:rsid w:val="005A6BF6"/>
    <w:rsid w:val="005B4F8E"/>
    <w:rsid w:val="005C1E91"/>
    <w:rsid w:val="005C3D39"/>
    <w:rsid w:val="005C639E"/>
    <w:rsid w:val="005D7A2C"/>
    <w:rsid w:val="005E1D1C"/>
    <w:rsid w:val="005E4D86"/>
    <w:rsid w:val="005E57A4"/>
    <w:rsid w:val="005F440D"/>
    <w:rsid w:val="005F7BEE"/>
    <w:rsid w:val="00604642"/>
    <w:rsid w:val="00605B14"/>
    <w:rsid w:val="00611D18"/>
    <w:rsid w:val="0063137D"/>
    <w:rsid w:val="006322AD"/>
    <w:rsid w:val="00632517"/>
    <w:rsid w:val="00632985"/>
    <w:rsid w:val="00640877"/>
    <w:rsid w:val="00643C2E"/>
    <w:rsid w:val="00644654"/>
    <w:rsid w:val="006529D7"/>
    <w:rsid w:val="00653194"/>
    <w:rsid w:val="00655D0C"/>
    <w:rsid w:val="00656F68"/>
    <w:rsid w:val="00662B5D"/>
    <w:rsid w:val="006653FD"/>
    <w:rsid w:val="00671909"/>
    <w:rsid w:val="00673074"/>
    <w:rsid w:val="006769BA"/>
    <w:rsid w:val="0068422D"/>
    <w:rsid w:val="00686B62"/>
    <w:rsid w:val="00693B47"/>
    <w:rsid w:val="006975DD"/>
    <w:rsid w:val="006A1B1A"/>
    <w:rsid w:val="006A260F"/>
    <w:rsid w:val="006A603B"/>
    <w:rsid w:val="006A7982"/>
    <w:rsid w:val="006B1A3C"/>
    <w:rsid w:val="006B4D32"/>
    <w:rsid w:val="006D320A"/>
    <w:rsid w:val="006D6570"/>
    <w:rsid w:val="006E1A49"/>
    <w:rsid w:val="006E2744"/>
    <w:rsid w:val="006E7EAF"/>
    <w:rsid w:val="0071377F"/>
    <w:rsid w:val="00714736"/>
    <w:rsid w:val="00716123"/>
    <w:rsid w:val="0071714F"/>
    <w:rsid w:val="00721B30"/>
    <w:rsid w:val="00725726"/>
    <w:rsid w:val="00725D59"/>
    <w:rsid w:val="007323E2"/>
    <w:rsid w:val="00742155"/>
    <w:rsid w:val="00743781"/>
    <w:rsid w:val="00743C0A"/>
    <w:rsid w:val="00743D55"/>
    <w:rsid w:val="00745994"/>
    <w:rsid w:val="00762D9E"/>
    <w:rsid w:val="007679E9"/>
    <w:rsid w:val="00773F59"/>
    <w:rsid w:val="00774E96"/>
    <w:rsid w:val="007822EF"/>
    <w:rsid w:val="007940E1"/>
    <w:rsid w:val="00797E2E"/>
    <w:rsid w:val="007A5375"/>
    <w:rsid w:val="007B24EE"/>
    <w:rsid w:val="007B4E29"/>
    <w:rsid w:val="007C0CED"/>
    <w:rsid w:val="007D6520"/>
    <w:rsid w:val="007D6A15"/>
    <w:rsid w:val="007E0995"/>
    <w:rsid w:val="007E15B4"/>
    <w:rsid w:val="007E75C6"/>
    <w:rsid w:val="007F1AE8"/>
    <w:rsid w:val="007F1B22"/>
    <w:rsid w:val="007F1DDE"/>
    <w:rsid w:val="00800046"/>
    <w:rsid w:val="00812C86"/>
    <w:rsid w:val="008133A1"/>
    <w:rsid w:val="00813E4E"/>
    <w:rsid w:val="00814DC4"/>
    <w:rsid w:val="00816456"/>
    <w:rsid w:val="008165FA"/>
    <w:rsid w:val="00821DC2"/>
    <w:rsid w:val="0083252C"/>
    <w:rsid w:val="008348A4"/>
    <w:rsid w:val="00836BA6"/>
    <w:rsid w:val="00842C6B"/>
    <w:rsid w:val="00854180"/>
    <w:rsid w:val="008567B4"/>
    <w:rsid w:val="0086255E"/>
    <w:rsid w:val="00863EE2"/>
    <w:rsid w:val="00866936"/>
    <w:rsid w:val="008673DD"/>
    <w:rsid w:val="00873080"/>
    <w:rsid w:val="00874837"/>
    <w:rsid w:val="00884C13"/>
    <w:rsid w:val="0089289F"/>
    <w:rsid w:val="008A0747"/>
    <w:rsid w:val="008B2A64"/>
    <w:rsid w:val="008B32E7"/>
    <w:rsid w:val="008B6137"/>
    <w:rsid w:val="008B67DE"/>
    <w:rsid w:val="008C1639"/>
    <w:rsid w:val="008D1F4D"/>
    <w:rsid w:val="008D3B9E"/>
    <w:rsid w:val="008F298F"/>
    <w:rsid w:val="008F3437"/>
    <w:rsid w:val="008F3FBF"/>
    <w:rsid w:val="00901762"/>
    <w:rsid w:val="00901858"/>
    <w:rsid w:val="00907331"/>
    <w:rsid w:val="00907F78"/>
    <w:rsid w:val="009112FC"/>
    <w:rsid w:val="0091217E"/>
    <w:rsid w:val="0092547A"/>
    <w:rsid w:val="00926258"/>
    <w:rsid w:val="009306B3"/>
    <w:rsid w:val="00945409"/>
    <w:rsid w:val="0094798F"/>
    <w:rsid w:val="00947BC6"/>
    <w:rsid w:val="00957B33"/>
    <w:rsid w:val="0096486D"/>
    <w:rsid w:val="00965D7B"/>
    <w:rsid w:val="00973237"/>
    <w:rsid w:val="0097404A"/>
    <w:rsid w:val="009773C1"/>
    <w:rsid w:val="009816FE"/>
    <w:rsid w:val="0099621E"/>
    <w:rsid w:val="00997B2B"/>
    <w:rsid w:val="009A48DC"/>
    <w:rsid w:val="009C11C9"/>
    <w:rsid w:val="009C4273"/>
    <w:rsid w:val="009C67CE"/>
    <w:rsid w:val="009D0E81"/>
    <w:rsid w:val="009D0EAD"/>
    <w:rsid w:val="009D6B24"/>
    <w:rsid w:val="009D70B8"/>
    <w:rsid w:val="009E0EA7"/>
    <w:rsid w:val="009E5733"/>
    <w:rsid w:val="009F3E22"/>
    <w:rsid w:val="009F5CD7"/>
    <w:rsid w:val="00A13CDD"/>
    <w:rsid w:val="00A15BC0"/>
    <w:rsid w:val="00A21E3D"/>
    <w:rsid w:val="00A23894"/>
    <w:rsid w:val="00A250A5"/>
    <w:rsid w:val="00A30ECD"/>
    <w:rsid w:val="00A32566"/>
    <w:rsid w:val="00A32B16"/>
    <w:rsid w:val="00A42235"/>
    <w:rsid w:val="00A4425F"/>
    <w:rsid w:val="00A449F8"/>
    <w:rsid w:val="00A50E2B"/>
    <w:rsid w:val="00A50F9F"/>
    <w:rsid w:val="00A5171B"/>
    <w:rsid w:val="00A5462A"/>
    <w:rsid w:val="00A57B2C"/>
    <w:rsid w:val="00A7264E"/>
    <w:rsid w:val="00A7593F"/>
    <w:rsid w:val="00A80F92"/>
    <w:rsid w:val="00A81458"/>
    <w:rsid w:val="00A85CC3"/>
    <w:rsid w:val="00A9210F"/>
    <w:rsid w:val="00AA35EF"/>
    <w:rsid w:val="00AB1BD7"/>
    <w:rsid w:val="00AB7639"/>
    <w:rsid w:val="00AC337C"/>
    <w:rsid w:val="00AC7ADD"/>
    <w:rsid w:val="00AD1013"/>
    <w:rsid w:val="00AD3F81"/>
    <w:rsid w:val="00AE0AA2"/>
    <w:rsid w:val="00AE187C"/>
    <w:rsid w:val="00AE23B1"/>
    <w:rsid w:val="00AE3B2C"/>
    <w:rsid w:val="00AE526D"/>
    <w:rsid w:val="00AF3DC3"/>
    <w:rsid w:val="00AF63C0"/>
    <w:rsid w:val="00B00A4D"/>
    <w:rsid w:val="00B23C4C"/>
    <w:rsid w:val="00B25809"/>
    <w:rsid w:val="00B41663"/>
    <w:rsid w:val="00B42D0E"/>
    <w:rsid w:val="00B44235"/>
    <w:rsid w:val="00B45C61"/>
    <w:rsid w:val="00B604E8"/>
    <w:rsid w:val="00B70225"/>
    <w:rsid w:val="00B7288B"/>
    <w:rsid w:val="00B74160"/>
    <w:rsid w:val="00B75024"/>
    <w:rsid w:val="00B804E5"/>
    <w:rsid w:val="00B85B97"/>
    <w:rsid w:val="00B9270D"/>
    <w:rsid w:val="00B973B7"/>
    <w:rsid w:val="00BA227B"/>
    <w:rsid w:val="00BA3E87"/>
    <w:rsid w:val="00BC528B"/>
    <w:rsid w:val="00BD1325"/>
    <w:rsid w:val="00BD1660"/>
    <w:rsid w:val="00BD37A9"/>
    <w:rsid w:val="00BD7178"/>
    <w:rsid w:val="00BE353B"/>
    <w:rsid w:val="00BE69EC"/>
    <w:rsid w:val="00BF0831"/>
    <w:rsid w:val="00BF1802"/>
    <w:rsid w:val="00BF3711"/>
    <w:rsid w:val="00BF7D00"/>
    <w:rsid w:val="00C03E42"/>
    <w:rsid w:val="00C07BE4"/>
    <w:rsid w:val="00C21116"/>
    <w:rsid w:val="00C23968"/>
    <w:rsid w:val="00C23BBC"/>
    <w:rsid w:val="00C32AC6"/>
    <w:rsid w:val="00C40EDA"/>
    <w:rsid w:val="00C40F50"/>
    <w:rsid w:val="00C417DA"/>
    <w:rsid w:val="00C571A3"/>
    <w:rsid w:val="00C75BB6"/>
    <w:rsid w:val="00C75E85"/>
    <w:rsid w:val="00C77F84"/>
    <w:rsid w:val="00C8275E"/>
    <w:rsid w:val="00C84F95"/>
    <w:rsid w:val="00C905AC"/>
    <w:rsid w:val="00C92594"/>
    <w:rsid w:val="00C938BA"/>
    <w:rsid w:val="00C97153"/>
    <w:rsid w:val="00CA5046"/>
    <w:rsid w:val="00CB40E4"/>
    <w:rsid w:val="00CB6793"/>
    <w:rsid w:val="00CC372D"/>
    <w:rsid w:val="00CC54B0"/>
    <w:rsid w:val="00CD1681"/>
    <w:rsid w:val="00CE3379"/>
    <w:rsid w:val="00CE38AD"/>
    <w:rsid w:val="00CE4786"/>
    <w:rsid w:val="00CE4C44"/>
    <w:rsid w:val="00CE4F3A"/>
    <w:rsid w:val="00CF1F31"/>
    <w:rsid w:val="00CF6F6A"/>
    <w:rsid w:val="00D01B23"/>
    <w:rsid w:val="00D03BDD"/>
    <w:rsid w:val="00D05134"/>
    <w:rsid w:val="00D109D5"/>
    <w:rsid w:val="00D15D33"/>
    <w:rsid w:val="00D1608F"/>
    <w:rsid w:val="00D349BD"/>
    <w:rsid w:val="00D423CE"/>
    <w:rsid w:val="00D4656C"/>
    <w:rsid w:val="00D540DA"/>
    <w:rsid w:val="00D5534B"/>
    <w:rsid w:val="00D65ECB"/>
    <w:rsid w:val="00D66DE0"/>
    <w:rsid w:val="00D67297"/>
    <w:rsid w:val="00D6791C"/>
    <w:rsid w:val="00D76E2B"/>
    <w:rsid w:val="00D83ED7"/>
    <w:rsid w:val="00D85B9D"/>
    <w:rsid w:val="00D8606B"/>
    <w:rsid w:val="00D87DEA"/>
    <w:rsid w:val="00D9289F"/>
    <w:rsid w:val="00D943FB"/>
    <w:rsid w:val="00D95551"/>
    <w:rsid w:val="00DA2AEE"/>
    <w:rsid w:val="00DA3724"/>
    <w:rsid w:val="00DB5A17"/>
    <w:rsid w:val="00DC5E1C"/>
    <w:rsid w:val="00DD1830"/>
    <w:rsid w:val="00DD6D1D"/>
    <w:rsid w:val="00DE0A6E"/>
    <w:rsid w:val="00DE0E03"/>
    <w:rsid w:val="00DE24D3"/>
    <w:rsid w:val="00DE38F3"/>
    <w:rsid w:val="00DE4102"/>
    <w:rsid w:val="00DF24F1"/>
    <w:rsid w:val="00DF3B7A"/>
    <w:rsid w:val="00E0111B"/>
    <w:rsid w:val="00E05EAB"/>
    <w:rsid w:val="00E07CD7"/>
    <w:rsid w:val="00E11F79"/>
    <w:rsid w:val="00E13298"/>
    <w:rsid w:val="00E13B33"/>
    <w:rsid w:val="00E16894"/>
    <w:rsid w:val="00E23E6B"/>
    <w:rsid w:val="00E27E1D"/>
    <w:rsid w:val="00E3026F"/>
    <w:rsid w:val="00E32400"/>
    <w:rsid w:val="00E333BD"/>
    <w:rsid w:val="00E34510"/>
    <w:rsid w:val="00E3532B"/>
    <w:rsid w:val="00E37657"/>
    <w:rsid w:val="00E40CF7"/>
    <w:rsid w:val="00E42598"/>
    <w:rsid w:val="00E42C6C"/>
    <w:rsid w:val="00E42F6E"/>
    <w:rsid w:val="00E4620E"/>
    <w:rsid w:val="00E50C8D"/>
    <w:rsid w:val="00E53B4D"/>
    <w:rsid w:val="00E541CE"/>
    <w:rsid w:val="00E64DF8"/>
    <w:rsid w:val="00E64FC6"/>
    <w:rsid w:val="00E75250"/>
    <w:rsid w:val="00E761BF"/>
    <w:rsid w:val="00E837E6"/>
    <w:rsid w:val="00E86545"/>
    <w:rsid w:val="00E93860"/>
    <w:rsid w:val="00EA41A3"/>
    <w:rsid w:val="00EB0242"/>
    <w:rsid w:val="00EC127B"/>
    <w:rsid w:val="00EE43D9"/>
    <w:rsid w:val="00EE472F"/>
    <w:rsid w:val="00F07458"/>
    <w:rsid w:val="00F1063D"/>
    <w:rsid w:val="00F1427A"/>
    <w:rsid w:val="00F30A2F"/>
    <w:rsid w:val="00F32768"/>
    <w:rsid w:val="00F427DC"/>
    <w:rsid w:val="00F4476B"/>
    <w:rsid w:val="00F447A9"/>
    <w:rsid w:val="00F526D1"/>
    <w:rsid w:val="00F672C4"/>
    <w:rsid w:val="00F71A2A"/>
    <w:rsid w:val="00F72481"/>
    <w:rsid w:val="00F738CA"/>
    <w:rsid w:val="00F7536C"/>
    <w:rsid w:val="00F82B32"/>
    <w:rsid w:val="00F8430E"/>
    <w:rsid w:val="00F9026C"/>
    <w:rsid w:val="00F928DA"/>
    <w:rsid w:val="00F961A3"/>
    <w:rsid w:val="00F968E4"/>
    <w:rsid w:val="00FA06CB"/>
    <w:rsid w:val="00FA6B9C"/>
    <w:rsid w:val="00FB2226"/>
    <w:rsid w:val="00FB5B30"/>
    <w:rsid w:val="00FB5FB1"/>
    <w:rsid w:val="00FD019F"/>
    <w:rsid w:val="00FD0CC2"/>
    <w:rsid w:val="00FD208B"/>
    <w:rsid w:val="00FD5AFA"/>
    <w:rsid w:val="00FF6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27B8"/>
  <w15:chartTrackingRefBased/>
  <w15:docId w15:val="{E8A24D8E-5068-47EF-9E6C-C7AAB06C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1"/>
    <w:rPr>
      <w:rFonts w:ascii="Calibri" w:hAnsi="Calibri" w:cs="Calibri"/>
    </w:rPr>
  </w:style>
  <w:style w:type="paragraph" w:styleId="Heading1">
    <w:name w:val="heading 1"/>
    <w:basedOn w:val="Normal"/>
    <w:next w:val="Normal"/>
    <w:link w:val="Heading1Char"/>
    <w:uiPriority w:val="9"/>
    <w:qFormat/>
    <w:rsid w:val="00FB22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2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3D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B1"/>
    <w:pPr>
      <w:ind w:left="720"/>
    </w:pPr>
  </w:style>
  <w:style w:type="paragraph" w:customStyle="1" w:styleId="TableHeader2">
    <w:name w:val="Table Header 2"/>
    <w:basedOn w:val="Normal"/>
    <w:qFormat/>
    <w:rsid w:val="0041145C"/>
    <w:pPr>
      <w:spacing w:before="40" w:after="40"/>
    </w:pPr>
    <w:rPr>
      <w:rFonts w:ascii="Arial Narrow" w:eastAsia="Times New Roman" w:hAnsi="Arial Narrow" w:cs="Times New Roman"/>
      <w:b/>
      <w:sz w:val="20"/>
    </w:rPr>
  </w:style>
  <w:style w:type="table" w:styleId="TableGrid">
    <w:name w:val="Table Grid"/>
    <w:aliases w:val="Total"/>
    <w:basedOn w:val="TableNormal"/>
    <w:rsid w:val="0041145C"/>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autoRedefine/>
    <w:uiPriority w:val="99"/>
    <w:qFormat/>
    <w:rsid w:val="0041145C"/>
    <w:pPr>
      <w:tabs>
        <w:tab w:val="left" w:pos="0"/>
      </w:tabs>
      <w:suppressAutoHyphens/>
      <w:spacing w:before="100" w:after="100"/>
    </w:pPr>
    <w:rPr>
      <w:rFonts w:eastAsia="MS Mincho"/>
      <w:b/>
      <w:w w:val="120"/>
      <w:sz w:val="16"/>
      <w:szCs w:val="24"/>
      <w:lang w:val="en-NZ" w:eastAsia="ar-SA"/>
    </w:rPr>
  </w:style>
  <w:style w:type="paragraph" w:customStyle="1" w:styleId="InterPracBullet1">
    <w:name w:val="InterPrac Bullet 1"/>
    <w:basedOn w:val="Normal"/>
    <w:link w:val="InterPracBullet1Char"/>
    <w:autoRedefine/>
    <w:qFormat/>
    <w:rsid w:val="0041145C"/>
    <w:pPr>
      <w:numPr>
        <w:numId w:val="10"/>
      </w:numPr>
      <w:tabs>
        <w:tab w:val="left" w:pos="425"/>
      </w:tabs>
      <w:spacing w:before="100"/>
    </w:pPr>
    <w:rPr>
      <w:rFonts w:eastAsia="SimSun" w:cs="Times New Roman"/>
      <w:color w:val="7030A0"/>
      <w:sz w:val="20"/>
      <w:lang w:val="x-none" w:eastAsia="x-none"/>
    </w:rPr>
  </w:style>
  <w:style w:type="character" w:customStyle="1" w:styleId="InterPracBullet1Char">
    <w:name w:val="InterPrac Bullet 1 Char"/>
    <w:link w:val="InterPracBullet1"/>
    <w:rsid w:val="0041145C"/>
    <w:rPr>
      <w:rFonts w:ascii="Calibri" w:eastAsia="SimSun" w:hAnsi="Calibri" w:cs="Times New Roman"/>
      <w:color w:val="7030A0"/>
      <w:sz w:val="20"/>
      <w:lang w:val="x-none" w:eastAsia="x-none"/>
    </w:rPr>
  </w:style>
  <w:style w:type="paragraph" w:styleId="Header">
    <w:name w:val="header"/>
    <w:basedOn w:val="Normal"/>
    <w:link w:val="HeaderChar"/>
    <w:uiPriority w:val="99"/>
    <w:unhideWhenUsed/>
    <w:rsid w:val="004E1880"/>
    <w:pPr>
      <w:tabs>
        <w:tab w:val="center" w:pos="4513"/>
        <w:tab w:val="right" w:pos="9026"/>
      </w:tabs>
    </w:pPr>
  </w:style>
  <w:style w:type="character" w:customStyle="1" w:styleId="HeaderChar">
    <w:name w:val="Header Char"/>
    <w:basedOn w:val="DefaultParagraphFont"/>
    <w:link w:val="Header"/>
    <w:uiPriority w:val="99"/>
    <w:rsid w:val="004E1880"/>
    <w:rPr>
      <w:rFonts w:ascii="Calibri" w:hAnsi="Calibri" w:cs="Calibri"/>
    </w:rPr>
  </w:style>
  <w:style w:type="paragraph" w:styleId="Footer">
    <w:name w:val="footer"/>
    <w:basedOn w:val="Normal"/>
    <w:link w:val="FooterChar"/>
    <w:uiPriority w:val="99"/>
    <w:unhideWhenUsed/>
    <w:rsid w:val="004E1880"/>
    <w:pPr>
      <w:tabs>
        <w:tab w:val="center" w:pos="4513"/>
        <w:tab w:val="right" w:pos="9026"/>
      </w:tabs>
    </w:pPr>
  </w:style>
  <w:style w:type="character" w:customStyle="1" w:styleId="FooterChar">
    <w:name w:val="Footer Char"/>
    <w:basedOn w:val="DefaultParagraphFont"/>
    <w:link w:val="Footer"/>
    <w:uiPriority w:val="99"/>
    <w:rsid w:val="004E1880"/>
    <w:rPr>
      <w:rFonts w:ascii="Calibri" w:hAnsi="Calibri" w:cs="Calibri"/>
    </w:rPr>
  </w:style>
  <w:style w:type="character" w:customStyle="1" w:styleId="Heading1Char">
    <w:name w:val="Heading 1 Char"/>
    <w:basedOn w:val="DefaultParagraphFont"/>
    <w:link w:val="Heading1"/>
    <w:uiPriority w:val="9"/>
    <w:rsid w:val="00FB22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2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3D3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14DC4"/>
    <w:pPr>
      <w:spacing w:line="259" w:lineRule="auto"/>
      <w:outlineLvl w:val="9"/>
    </w:pPr>
    <w:rPr>
      <w:lang w:val="en-US"/>
    </w:rPr>
  </w:style>
  <w:style w:type="paragraph" w:styleId="TOC1">
    <w:name w:val="toc 1"/>
    <w:basedOn w:val="Normal"/>
    <w:next w:val="Normal"/>
    <w:autoRedefine/>
    <w:uiPriority w:val="39"/>
    <w:unhideWhenUsed/>
    <w:rsid w:val="00814DC4"/>
    <w:pPr>
      <w:spacing w:after="100"/>
    </w:pPr>
  </w:style>
  <w:style w:type="paragraph" w:styleId="TOC2">
    <w:name w:val="toc 2"/>
    <w:basedOn w:val="Normal"/>
    <w:next w:val="Normal"/>
    <w:autoRedefine/>
    <w:uiPriority w:val="39"/>
    <w:unhideWhenUsed/>
    <w:rsid w:val="00814DC4"/>
    <w:pPr>
      <w:spacing w:after="100"/>
      <w:ind w:left="220"/>
    </w:pPr>
  </w:style>
  <w:style w:type="paragraph" w:styleId="TOC3">
    <w:name w:val="toc 3"/>
    <w:basedOn w:val="Normal"/>
    <w:next w:val="Normal"/>
    <w:autoRedefine/>
    <w:uiPriority w:val="39"/>
    <w:unhideWhenUsed/>
    <w:rsid w:val="00814DC4"/>
    <w:pPr>
      <w:spacing w:after="100"/>
      <w:ind w:left="440"/>
    </w:pPr>
  </w:style>
  <w:style w:type="character" w:styleId="Hyperlink">
    <w:name w:val="Hyperlink"/>
    <w:basedOn w:val="DefaultParagraphFont"/>
    <w:uiPriority w:val="99"/>
    <w:unhideWhenUsed/>
    <w:rsid w:val="00814DC4"/>
    <w:rPr>
      <w:color w:val="0563C1" w:themeColor="hyperlink"/>
      <w:u w:val="single"/>
    </w:rPr>
  </w:style>
  <w:style w:type="character" w:styleId="CommentReference">
    <w:name w:val="annotation reference"/>
    <w:basedOn w:val="DefaultParagraphFont"/>
    <w:uiPriority w:val="99"/>
    <w:semiHidden/>
    <w:unhideWhenUsed/>
    <w:rsid w:val="0009749C"/>
    <w:rPr>
      <w:sz w:val="16"/>
      <w:szCs w:val="16"/>
    </w:rPr>
  </w:style>
  <w:style w:type="paragraph" w:styleId="CommentText">
    <w:name w:val="annotation text"/>
    <w:basedOn w:val="Normal"/>
    <w:link w:val="CommentTextChar"/>
    <w:uiPriority w:val="99"/>
    <w:semiHidden/>
    <w:unhideWhenUsed/>
    <w:rsid w:val="0009749C"/>
    <w:rPr>
      <w:sz w:val="20"/>
      <w:szCs w:val="20"/>
    </w:rPr>
  </w:style>
  <w:style w:type="character" w:customStyle="1" w:styleId="CommentTextChar">
    <w:name w:val="Comment Text Char"/>
    <w:basedOn w:val="DefaultParagraphFont"/>
    <w:link w:val="CommentText"/>
    <w:uiPriority w:val="99"/>
    <w:semiHidden/>
    <w:rsid w:val="000974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749C"/>
    <w:rPr>
      <w:b/>
      <w:bCs/>
    </w:rPr>
  </w:style>
  <w:style w:type="character" w:customStyle="1" w:styleId="CommentSubjectChar">
    <w:name w:val="Comment Subject Char"/>
    <w:basedOn w:val="CommentTextChar"/>
    <w:link w:val="CommentSubject"/>
    <w:uiPriority w:val="99"/>
    <w:semiHidden/>
    <w:rsid w:val="0009749C"/>
    <w:rPr>
      <w:rFonts w:ascii="Calibri" w:hAnsi="Calibri" w:cs="Calibri"/>
      <w:b/>
      <w:bCs/>
      <w:sz w:val="20"/>
      <w:szCs w:val="20"/>
    </w:rPr>
  </w:style>
  <w:style w:type="paragraph" w:styleId="BalloonText">
    <w:name w:val="Balloon Text"/>
    <w:basedOn w:val="Normal"/>
    <w:link w:val="BalloonTextChar"/>
    <w:uiPriority w:val="99"/>
    <w:semiHidden/>
    <w:unhideWhenUsed/>
    <w:rsid w:val="00097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9C"/>
    <w:rPr>
      <w:rFonts w:ascii="Segoe UI" w:hAnsi="Segoe UI" w:cs="Segoe UI"/>
      <w:sz w:val="18"/>
      <w:szCs w:val="18"/>
    </w:rPr>
  </w:style>
  <w:style w:type="paragraph" w:customStyle="1" w:styleId="Default">
    <w:name w:val="Default"/>
    <w:rsid w:val="00B7502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C1915"/>
    <w:rPr>
      <w:b/>
      <w:bCs/>
    </w:rPr>
  </w:style>
  <w:style w:type="paragraph" w:styleId="PlainText">
    <w:name w:val="Plain Text"/>
    <w:basedOn w:val="Normal"/>
    <w:link w:val="PlainTextChar"/>
    <w:uiPriority w:val="99"/>
    <w:semiHidden/>
    <w:unhideWhenUsed/>
    <w:rsid w:val="0086255E"/>
  </w:style>
  <w:style w:type="character" w:customStyle="1" w:styleId="PlainTextChar">
    <w:name w:val="Plain Text Char"/>
    <w:basedOn w:val="DefaultParagraphFont"/>
    <w:link w:val="PlainText"/>
    <w:uiPriority w:val="99"/>
    <w:semiHidden/>
    <w:rsid w:val="008625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757">
      <w:bodyDiv w:val="1"/>
      <w:marLeft w:val="0"/>
      <w:marRight w:val="0"/>
      <w:marTop w:val="0"/>
      <w:marBottom w:val="0"/>
      <w:divBdr>
        <w:top w:val="none" w:sz="0" w:space="0" w:color="auto"/>
        <w:left w:val="none" w:sz="0" w:space="0" w:color="auto"/>
        <w:bottom w:val="none" w:sz="0" w:space="0" w:color="auto"/>
        <w:right w:val="none" w:sz="0" w:space="0" w:color="auto"/>
      </w:divBdr>
    </w:div>
    <w:div w:id="328755999">
      <w:bodyDiv w:val="1"/>
      <w:marLeft w:val="0"/>
      <w:marRight w:val="0"/>
      <w:marTop w:val="0"/>
      <w:marBottom w:val="0"/>
      <w:divBdr>
        <w:top w:val="none" w:sz="0" w:space="0" w:color="auto"/>
        <w:left w:val="none" w:sz="0" w:space="0" w:color="auto"/>
        <w:bottom w:val="none" w:sz="0" w:space="0" w:color="auto"/>
        <w:right w:val="none" w:sz="0" w:space="0" w:color="auto"/>
      </w:divBdr>
    </w:div>
    <w:div w:id="333337058">
      <w:bodyDiv w:val="1"/>
      <w:marLeft w:val="0"/>
      <w:marRight w:val="0"/>
      <w:marTop w:val="0"/>
      <w:marBottom w:val="0"/>
      <w:divBdr>
        <w:top w:val="none" w:sz="0" w:space="0" w:color="auto"/>
        <w:left w:val="none" w:sz="0" w:space="0" w:color="auto"/>
        <w:bottom w:val="none" w:sz="0" w:space="0" w:color="auto"/>
        <w:right w:val="none" w:sz="0" w:space="0" w:color="auto"/>
      </w:divBdr>
    </w:div>
    <w:div w:id="381905327">
      <w:bodyDiv w:val="1"/>
      <w:marLeft w:val="0"/>
      <w:marRight w:val="0"/>
      <w:marTop w:val="0"/>
      <w:marBottom w:val="0"/>
      <w:divBdr>
        <w:top w:val="none" w:sz="0" w:space="0" w:color="auto"/>
        <w:left w:val="none" w:sz="0" w:space="0" w:color="auto"/>
        <w:bottom w:val="none" w:sz="0" w:space="0" w:color="auto"/>
        <w:right w:val="none" w:sz="0" w:space="0" w:color="auto"/>
      </w:divBdr>
    </w:div>
    <w:div w:id="460877400">
      <w:bodyDiv w:val="1"/>
      <w:marLeft w:val="0"/>
      <w:marRight w:val="0"/>
      <w:marTop w:val="0"/>
      <w:marBottom w:val="0"/>
      <w:divBdr>
        <w:top w:val="none" w:sz="0" w:space="0" w:color="auto"/>
        <w:left w:val="none" w:sz="0" w:space="0" w:color="auto"/>
        <w:bottom w:val="none" w:sz="0" w:space="0" w:color="auto"/>
        <w:right w:val="none" w:sz="0" w:space="0" w:color="auto"/>
      </w:divBdr>
    </w:div>
    <w:div w:id="497618754">
      <w:bodyDiv w:val="1"/>
      <w:marLeft w:val="0"/>
      <w:marRight w:val="0"/>
      <w:marTop w:val="0"/>
      <w:marBottom w:val="0"/>
      <w:divBdr>
        <w:top w:val="none" w:sz="0" w:space="0" w:color="auto"/>
        <w:left w:val="none" w:sz="0" w:space="0" w:color="auto"/>
        <w:bottom w:val="none" w:sz="0" w:space="0" w:color="auto"/>
        <w:right w:val="none" w:sz="0" w:space="0" w:color="auto"/>
      </w:divBdr>
    </w:div>
    <w:div w:id="565342114">
      <w:bodyDiv w:val="1"/>
      <w:marLeft w:val="0"/>
      <w:marRight w:val="0"/>
      <w:marTop w:val="0"/>
      <w:marBottom w:val="0"/>
      <w:divBdr>
        <w:top w:val="none" w:sz="0" w:space="0" w:color="auto"/>
        <w:left w:val="none" w:sz="0" w:space="0" w:color="auto"/>
        <w:bottom w:val="none" w:sz="0" w:space="0" w:color="auto"/>
        <w:right w:val="none" w:sz="0" w:space="0" w:color="auto"/>
      </w:divBdr>
    </w:div>
    <w:div w:id="698746252">
      <w:bodyDiv w:val="1"/>
      <w:marLeft w:val="0"/>
      <w:marRight w:val="0"/>
      <w:marTop w:val="0"/>
      <w:marBottom w:val="0"/>
      <w:divBdr>
        <w:top w:val="none" w:sz="0" w:space="0" w:color="auto"/>
        <w:left w:val="none" w:sz="0" w:space="0" w:color="auto"/>
        <w:bottom w:val="none" w:sz="0" w:space="0" w:color="auto"/>
        <w:right w:val="none" w:sz="0" w:space="0" w:color="auto"/>
      </w:divBdr>
    </w:div>
    <w:div w:id="713307419">
      <w:bodyDiv w:val="1"/>
      <w:marLeft w:val="0"/>
      <w:marRight w:val="0"/>
      <w:marTop w:val="0"/>
      <w:marBottom w:val="0"/>
      <w:divBdr>
        <w:top w:val="none" w:sz="0" w:space="0" w:color="auto"/>
        <w:left w:val="none" w:sz="0" w:space="0" w:color="auto"/>
        <w:bottom w:val="none" w:sz="0" w:space="0" w:color="auto"/>
        <w:right w:val="none" w:sz="0" w:space="0" w:color="auto"/>
      </w:divBdr>
    </w:div>
    <w:div w:id="832645280">
      <w:bodyDiv w:val="1"/>
      <w:marLeft w:val="0"/>
      <w:marRight w:val="0"/>
      <w:marTop w:val="0"/>
      <w:marBottom w:val="0"/>
      <w:divBdr>
        <w:top w:val="none" w:sz="0" w:space="0" w:color="auto"/>
        <w:left w:val="none" w:sz="0" w:space="0" w:color="auto"/>
        <w:bottom w:val="none" w:sz="0" w:space="0" w:color="auto"/>
        <w:right w:val="none" w:sz="0" w:space="0" w:color="auto"/>
      </w:divBdr>
    </w:div>
    <w:div w:id="1227112008">
      <w:bodyDiv w:val="1"/>
      <w:marLeft w:val="0"/>
      <w:marRight w:val="0"/>
      <w:marTop w:val="0"/>
      <w:marBottom w:val="0"/>
      <w:divBdr>
        <w:top w:val="none" w:sz="0" w:space="0" w:color="auto"/>
        <w:left w:val="none" w:sz="0" w:space="0" w:color="auto"/>
        <w:bottom w:val="none" w:sz="0" w:space="0" w:color="auto"/>
        <w:right w:val="none" w:sz="0" w:space="0" w:color="auto"/>
      </w:divBdr>
    </w:div>
    <w:div w:id="1383477906">
      <w:bodyDiv w:val="1"/>
      <w:marLeft w:val="0"/>
      <w:marRight w:val="0"/>
      <w:marTop w:val="0"/>
      <w:marBottom w:val="0"/>
      <w:divBdr>
        <w:top w:val="none" w:sz="0" w:space="0" w:color="auto"/>
        <w:left w:val="none" w:sz="0" w:space="0" w:color="auto"/>
        <w:bottom w:val="none" w:sz="0" w:space="0" w:color="auto"/>
        <w:right w:val="none" w:sz="0" w:space="0" w:color="auto"/>
      </w:divBdr>
    </w:div>
    <w:div w:id="2033217635">
      <w:bodyDiv w:val="1"/>
      <w:marLeft w:val="0"/>
      <w:marRight w:val="0"/>
      <w:marTop w:val="0"/>
      <w:marBottom w:val="0"/>
      <w:divBdr>
        <w:top w:val="none" w:sz="0" w:space="0" w:color="auto"/>
        <w:left w:val="none" w:sz="0" w:space="0" w:color="auto"/>
        <w:bottom w:val="none" w:sz="0" w:space="0" w:color="auto"/>
        <w:right w:val="none" w:sz="0" w:space="0" w:color="auto"/>
      </w:divBdr>
    </w:div>
    <w:div w:id="20359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terprac.com.au/wp-admin/post.php?post=2226&amp;action=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6C3E-BE6C-4210-B5D4-D7062E77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Shane Miller</cp:lastModifiedBy>
  <cp:revision>52</cp:revision>
  <dcterms:created xsi:type="dcterms:W3CDTF">2019-09-18T04:15:00Z</dcterms:created>
  <dcterms:modified xsi:type="dcterms:W3CDTF">2020-04-01T03:11:00Z</dcterms:modified>
</cp:coreProperties>
</file>