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325AE3B4" w14:textId="320B6AD2" w:rsidR="00B55852"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6234252" w:history="1">
            <w:r w:rsidR="00B55852" w:rsidRPr="0041286A">
              <w:rPr>
                <w:rStyle w:val="Hyperlink"/>
              </w:rPr>
              <w:t>Appendix 10: Taxation</w:t>
            </w:r>
            <w:r w:rsidR="00B55852">
              <w:rPr>
                <w:webHidden/>
              </w:rPr>
              <w:tab/>
            </w:r>
            <w:r w:rsidR="00B55852">
              <w:rPr>
                <w:webHidden/>
              </w:rPr>
              <w:fldChar w:fldCharType="begin"/>
            </w:r>
            <w:r w:rsidR="00B55852">
              <w:rPr>
                <w:webHidden/>
              </w:rPr>
              <w:instrText xml:space="preserve"> PAGEREF _Toc46234252 \h </w:instrText>
            </w:r>
            <w:r w:rsidR="00B55852">
              <w:rPr>
                <w:webHidden/>
              </w:rPr>
            </w:r>
            <w:r w:rsidR="00B55852">
              <w:rPr>
                <w:webHidden/>
              </w:rPr>
              <w:fldChar w:fldCharType="separate"/>
            </w:r>
            <w:r w:rsidR="00B55852">
              <w:rPr>
                <w:webHidden/>
              </w:rPr>
              <w:t>2</w:t>
            </w:r>
            <w:r w:rsidR="00B55852">
              <w:rPr>
                <w:webHidden/>
              </w:rPr>
              <w:fldChar w:fldCharType="end"/>
            </w:r>
          </w:hyperlink>
        </w:p>
        <w:p w14:paraId="63DE425C" w14:textId="63026360" w:rsidR="00B55852" w:rsidRDefault="00B55852">
          <w:pPr>
            <w:pStyle w:val="TOC2"/>
            <w:rPr>
              <w:rFonts w:asciiTheme="minorHAnsi" w:eastAsiaTheme="minorEastAsia" w:hAnsiTheme="minorHAnsi" w:cstheme="minorBidi"/>
              <w:color w:val="auto"/>
              <w:sz w:val="22"/>
              <w:szCs w:val="22"/>
              <w:lang w:val="en-AU" w:eastAsia="en-AU"/>
            </w:rPr>
          </w:pPr>
          <w:hyperlink w:anchor="_Toc46234253" w:history="1">
            <w:r w:rsidRPr="0041286A">
              <w:rPr>
                <w:rStyle w:val="Hyperlink"/>
              </w:rPr>
              <w:t>Capital Gains Tax (CGT)</w:t>
            </w:r>
            <w:r>
              <w:rPr>
                <w:webHidden/>
              </w:rPr>
              <w:tab/>
            </w:r>
            <w:r>
              <w:rPr>
                <w:webHidden/>
              </w:rPr>
              <w:fldChar w:fldCharType="begin"/>
            </w:r>
            <w:r>
              <w:rPr>
                <w:webHidden/>
              </w:rPr>
              <w:instrText xml:space="preserve"> PAGEREF _Toc46234253 \h </w:instrText>
            </w:r>
            <w:r>
              <w:rPr>
                <w:webHidden/>
              </w:rPr>
            </w:r>
            <w:r>
              <w:rPr>
                <w:webHidden/>
              </w:rPr>
              <w:fldChar w:fldCharType="separate"/>
            </w:r>
            <w:r>
              <w:rPr>
                <w:webHidden/>
              </w:rPr>
              <w:t>2</w:t>
            </w:r>
            <w:r>
              <w:rPr>
                <w:webHidden/>
              </w:rPr>
              <w:fldChar w:fldCharType="end"/>
            </w:r>
          </w:hyperlink>
        </w:p>
        <w:p w14:paraId="60A4B8AF" w14:textId="0DF90376" w:rsidR="00B55852" w:rsidRDefault="00B55852">
          <w:pPr>
            <w:pStyle w:val="TOC2"/>
            <w:rPr>
              <w:rFonts w:asciiTheme="minorHAnsi" w:eastAsiaTheme="minorEastAsia" w:hAnsiTheme="minorHAnsi" w:cstheme="minorBidi"/>
              <w:color w:val="auto"/>
              <w:sz w:val="22"/>
              <w:szCs w:val="22"/>
              <w:lang w:val="en-AU" w:eastAsia="en-AU"/>
            </w:rPr>
          </w:pPr>
          <w:hyperlink w:anchor="_Toc46234254" w:history="1">
            <w:r w:rsidRPr="0041286A">
              <w:rPr>
                <w:rStyle w:val="Hyperlink"/>
              </w:rPr>
              <w:t>Small Business CGT Concessions</w:t>
            </w:r>
            <w:r>
              <w:rPr>
                <w:webHidden/>
              </w:rPr>
              <w:tab/>
            </w:r>
            <w:r>
              <w:rPr>
                <w:webHidden/>
              </w:rPr>
              <w:fldChar w:fldCharType="begin"/>
            </w:r>
            <w:r>
              <w:rPr>
                <w:webHidden/>
              </w:rPr>
              <w:instrText xml:space="preserve"> PAGEREF _Toc46234254 \h </w:instrText>
            </w:r>
            <w:r>
              <w:rPr>
                <w:webHidden/>
              </w:rPr>
            </w:r>
            <w:r>
              <w:rPr>
                <w:webHidden/>
              </w:rPr>
              <w:fldChar w:fldCharType="separate"/>
            </w:r>
            <w:r>
              <w:rPr>
                <w:webHidden/>
              </w:rPr>
              <w:t>2</w:t>
            </w:r>
            <w:r>
              <w:rPr>
                <w:webHidden/>
              </w:rPr>
              <w:fldChar w:fldCharType="end"/>
            </w:r>
          </w:hyperlink>
        </w:p>
        <w:p w14:paraId="2A4DF5AE" w14:textId="1D13DC7A" w:rsidR="00B55852" w:rsidRDefault="00B55852">
          <w:pPr>
            <w:pStyle w:val="TOC2"/>
            <w:rPr>
              <w:rFonts w:asciiTheme="minorHAnsi" w:eastAsiaTheme="minorEastAsia" w:hAnsiTheme="minorHAnsi" w:cstheme="minorBidi"/>
              <w:color w:val="auto"/>
              <w:sz w:val="22"/>
              <w:szCs w:val="22"/>
              <w:lang w:val="en-AU" w:eastAsia="en-AU"/>
            </w:rPr>
          </w:pPr>
          <w:hyperlink w:anchor="_Toc46234255" w:history="1">
            <w:r w:rsidRPr="0041286A">
              <w:rPr>
                <w:rStyle w:val="Hyperlink"/>
              </w:rPr>
              <w:t>Salary Packaging</w:t>
            </w:r>
            <w:r>
              <w:rPr>
                <w:webHidden/>
              </w:rPr>
              <w:tab/>
            </w:r>
            <w:r>
              <w:rPr>
                <w:webHidden/>
              </w:rPr>
              <w:fldChar w:fldCharType="begin"/>
            </w:r>
            <w:r>
              <w:rPr>
                <w:webHidden/>
              </w:rPr>
              <w:instrText xml:space="preserve"> PAGEREF _Toc46234255 \h </w:instrText>
            </w:r>
            <w:r>
              <w:rPr>
                <w:webHidden/>
              </w:rPr>
            </w:r>
            <w:r>
              <w:rPr>
                <w:webHidden/>
              </w:rPr>
              <w:fldChar w:fldCharType="separate"/>
            </w:r>
            <w:r>
              <w:rPr>
                <w:webHidden/>
              </w:rPr>
              <w:t>4</w:t>
            </w:r>
            <w:r>
              <w:rPr>
                <w:webHidden/>
              </w:rPr>
              <w:fldChar w:fldCharType="end"/>
            </w:r>
          </w:hyperlink>
        </w:p>
        <w:p w14:paraId="0BD6E177" w14:textId="68E83B48" w:rsidR="00B55852" w:rsidRDefault="00B55852">
          <w:pPr>
            <w:pStyle w:val="TOC1"/>
            <w:rPr>
              <w:rFonts w:asciiTheme="minorHAnsi" w:eastAsiaTheme="minorEastAsia" w:hAnsiTheme="minorHAnsi" w:cstheme="minorBidi"/>
              <w:color w:val="auto"/>
              <w:sz w:val="22"/>
              <w:szCs w:val="22"/>
              <w:lang w:val="en-AU" w:eastAsia="en-AU"/>
            </w:rPr>
          </w:pPr>
          <w:hyperlink w:anchor="_Toc46234256" w:history="1">
            <w:r w:rsidRPr="0041286A">
              <w:rPr>
                <w:rStyle w:val="Hyperlink"/>
              </w:rPr>
              <w:t>Background to Insurance Recommendations</w:t>
            </w:r>
            <w:r>
              <w:rPr>
                <w:webHidden/>
              </w:rPr>
              <w:tab/>
            </w:r>
            <w:r>
              <w:rPr>
                <w:webHidden/>
              </w:rPr>
              <w:fldChar w:fldCharType="begin"/>
            </w:r>
            <w:r>
              <w:rPr>
                <w:webHidden/>
              </w:rPr>
              <w:instrText xml:space="preserve"> PAGEREF _Toc46234256 \h </w:instrText>
            </w:r>
            <w:r>
              <w:rPr>
                <w:webHidden/>
              </w:rPr>
            </w:r>
            <w:r>
              <w:rPr>
                <w:webHidden/>
              </w:rPr>
              <w:fldChar w:fldCharType="separate"/>
            </w:r>
            <w:r>
              <w:rPr>
                <w:webHidden/>
              </w:rPr>
              <w:t>6</w:t>
            </w:r>
            <w:r>
              <w:rPr>
                <w:webHidden/>
              </w:rPr>
              <w:fldChar w:fldCharType="end"/>
            </w:r>
          </w:hyperlink>
        </w:p>
        <w:p w14:paraId="4D94501F" w14:textId="3F7E46B8" w:rsidR="00B55852" w:rsidRDefault="00B55852">
          <w:pPr>
            <w:pStyle w:val="TOC2"/>
            <w:rPr>
              <w:rFonts w:asciiTheme="minorHAnsi" w:eastAsiaTheme="minorEastAsia" w:hAnsiTheme="minorHAnsi" w:cstheme="minorBidi"/>
              <w:color w:val="auto"/>
              <w:sz w:val="22"/>
              <w:szCs w:val="22"/>
              <w:lang w:val="en-AU" w:eastAsia="en-AU"/>
            </w:rPr>
          </w:pPr>
          <w:hyperlink w:anchor="_Toc46234257" w:history="1">
            <w:r w:rsidRPr="0041286A">
              <w:rPr>
                <w:rStyle w:val="Hyperlink"/>
              </w:rPr>
              <w:t>Risk Needs Analysis</w:t>
            </w:r>
            <w:r>
              <w:rPr>
                <w:webHidden/>
              </w:rPr>
              <w:tab/>
            </w:r>
            <w:r>
              <w:rPr>
                <w:webHidden/>
              </w:rPr>
              <w:fldChar w:fldCharType="begin"/>
            </w:r>
            <w:r>
              <w:rPr>
                <w:webHidden/>
              </w:rPr>
              <w:instrText xml:space="preserve"> PAGEREF _Toc46234257 \h </w:instrText>
            </w:r>
            <w:r>
              <w:rPr>
                <w:webHidden/>
              </w:rPr>
            </w:r>
            <w:r>
              <w:rPr>
                <w:webHidden/>
              </w:rPr>
              <w:fldChar w:fldCharType="separate"/>
            </w:r>
            <w:r>
              <w:rPr>
                <w:webHidden/>
              </w:rPr>
              <w:t>6</w:t>
            </w:r>
            <w:r>
              <w:rPr>
                <w:webHidden/>
              </w:rPr>
              <w:fldChar w:fldCharType="end"/>
            </w:r>
          </w:hyperlink>
        </w:p>
        <w:p w14:paraId="4DD29073" w14:textId="30968E56" w:rsidR="00B55852" w:rsidRDefault="00B55852">
          <w:pPr>
            <w:pStyle w:val="TOC1"/>
            <w:rPr>
              <w:rFonts w:asciiTheme="minorHAnsi" w:eastAsiaTheme="minorEastAsia" w:hAnsiTheme="minorHAnsi" w:cstheme="minorBidi"/>
              <w:color w:val="auto"/>
              <w:sz w:val="22"/>
              <w:szCs w:val="22"/>
              <w:lang w:val="en-AU" w:eastAsia="en-AU"/>
            </w:rPr>
          </w:pPr>
          <w:hyperlink w:anchor="_Toc46234258" w:history="1">
            <w:r w:rsidRPr="0041286A">
              <w:rPr>
                <w:rStyle w:val="Hyperlink"/>
              </w:rPr>
              <w:t>Projections</w:t>
            </w:r>
            <w:r>
              <w:rPr>
                <w:webHidden/>
              </w:rPr>
              <w:tab/>
            </w:r>
            <w:r>
              <w:rPr>
                <w:webHidden/>
              </w:rPr>
              <w:fldChar w:fldCharType="begin"/>
            </w:r>
            <w:r>
              <w:rPr>
                <w:webHidden/>
              </w:rPr>
              <w:instrText xml:space="preserve"> PAGEREF _Toc46234258 \h </w:instrText>
            </w:r>
            <w:r>
              <w:rPr>
                <w:webHidden/>
              </w:rPr>
            </w:r>
            <w:r>
              <w:rPr>
                <w:webHidden/>
              </w:rPr>
              <w:fldChar w:fldCharType="separate"/>
            </w:r>
            <w:r>
              <w:rPr>
                <w:webHidden/>
              </w:rPr>
              <w:t>7</w:t>
            </w:r>
            <w:r>
              <w:rPr>
                <w:webHidden/>
              </w:rPr>
              <w:fldChar w:fldCharType="end"/>
            </w:r>
          </w:hyperlink>
        </w:p>
        <w:p w14:paraId="21FC67CB" w14:textId="236DEAD9" w:rsidR="00B55852" w:rsidRDefault="00B55852">
          <w:pPr>
            <w:pStyle w:val="TOC1"/>
            <w:rPr>
              <w:rFonts w:asciiTheme="minorHAnsi" w:eastAsiaTheme="minorEastAsia" w:hAnsiTheme="minorHAnsi" w:cstheme="minorBidi"/>
              <w:color w:val="auto"/>
              <w:sz w:val="22"/>
              <w:szCs w:val="22"/>
              <w:lang w:val="en-AU" w:eastAsia="en-AU"/>
            </w:rPr>
          </w:pPr>
          <w:hyperlink w:anchor="_Toc46234259" w:history="1">
            <w:r w:rsidRPr="0041286A">
              <w:rPr>
                <w:rStyle w:val="Hyperlink"/>
              </w:rPr>
              <w:t>Superannuation Comparisons</w:t>
            </w:r>
            <w:r>
              <w:rPr>
                <w:webHidden/>
              </w:rPr>
              <w:tab/>
            </w:r>
            <w:r>
              <w:rPr>
                <w:webHidden/>
              </w:rPr>
              <w:fldChar w:fldCharType="begin"/>
            </w:r>
            <w:r>
              <w:rPr>
                <w:webHidden/>
              </w:rPr>
              <w:instrText xml:space="preserve"> PAGEREF _Toc46234259 \h </w:instrText>
            </w:r>
            <w:r>
              <w:rPr>
                <w:webHidden/>
              </w:rPr>
            </w:r>
            <w:r>
              <w:rPr>
                <w:webHidden/>
              </w:rPr>
              <w:fldChar w:fldCharType="separate"/>
            </w:r>
            <w:r>
              <w:rPr>
                <w:webHidden/>
              </w:rPr>
              <w:t>8</w:t>
            </w:r>
            <w:r>
              <w:rPr>
                <w:webHidden/>
              </w:rPr>
              <w:fldChar w:fldCharType="end"/>
            </w:r>
          </w:hyperlink>
        </w:p>
        <w:p w14:paraId="6B268C51" w14:textId="310645FF" w:rsidR="00B55852" w:rsidRDefault="00B55852">
          <w:pPr>
            <w:pStyle w:val="TOC1"/>
            <w:rPr>
              <w:rFonts w:asciiTheme="minorHAnsi" w:eastAsiaTheme="minorEastAsia" w:hAnsiTheme="minorHAnsi" w:cstheme="minorBidi"/>
              <w:color w:val="auto"/>
              <w:sz w:val="22"/>
              <w:szCs w:val="22"/>
              <w:lang w:val="en-AU" w:eastAsia="en-AU"/>
            </w:rPr>
          </w:pPr>
          <w:hyperlink w:anchor="_Toc46234260" w:history="1">
            <w:r w:rsidRPr="0041286A">
              <w:rPr>
                <w:rStyle w:val="Hyperlink"/>
              </w:rPr>
              <w:t>Product Research</w:t>
            </w:r>
            <w:r>
              <w:rPr>
                <w:webHidden/>
              </w:rPr>
              <w:tab/>
            </w:r>
            <w:r>
              <w:rPr>
                <w:webHidden/>
              </w:rPr>
              <w:fldChar w:fldCharType="begin"/>
            </w:r>
            <w:r>
              <w:rPr>
                <w:webHidden/>
              </w:rPr>
              <w:instrText xml:space="preserve"> PAGEREF _Toc46234260 \h </w:instrText>
            </w:r>
            <w:r>
              <w:rPr>
                <w:webHidden/>
              </w:rPr>
            </w:r>
            <w:r>
              <w:rPr>
                <w:webHidden/>
              </w:rPr>
              <w:fldChar w:fldCharType="separate"/>
            </w:r>
            <w:r>
              <w:rPr>
                <w:webHidden/>
              </w:rPr>
              <w:t>10</w:t>
            </w:r>
            <w:r>
              <w:rPr>
                <w:webHidden/>
              </w:rPr>
              <w:fldChar w:fldCharType="end"/>
            </w:r>
          </w:hyperlink>
        </w:p>
        <w:p w14:paraId="71AFE2FF" w14:textId="40E1FAC2"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1D0C463E" w14:textId="3E02B433" w:rsidR="0014181A" w:rsidRDefault="0014181A" w:rsidP="00AE76DF">
      <w:pPr>
        <w:pStyle w:val="Heading1"/>
      </w:pPr>
      <w:bookmarkStart w:id="5" w:name="_Toc367876701"/>
      <w:bookmarkStart w:id="6" w:name="_Toc377642915"/>
      <w:bookmarkStart w:id="7" w:name="_Toc489275728"/>
      <w:bookmarkStart w:id="8" w:name="_Toc4151626"/>
      <w:bookmarkStart w:id="9" w:name="_Toc6216218"/>
      <w:bookmarkStart w:id="10" w:name="_Toc24635586"/>
      <w:bookmarkStart w:id="11" w:name="_Toc46234252"/>
      <w:bookmarkEnd w:id="0"/>
      <w:bookmarkEnd w:id="1"/>
      <w:bookmarkEnd w:id="2"/>
      <w:bookmarkEnd w:id="3"/>
      <w:bookmarkEnd w:id="4"/>
      <w:r>
        <w:lastRenderedPageBreak/>
        <w:t>Appendix 1</w:t>
      </w:r>
      <w:r w:rsidR="00BE5413">
        <w:t>0</w:t>
      </w:r>
      <w:r w:rsidR="006505CF">
        <w:t xml:space="preserve">: </w:t>
      </w:r>
      <w:r>
        <w:t>Taxation</w:t>
      </w:r>
      <w:bookmarkEnd w:id="5"/>
      <w:bookmarkEnd w:id="6"/>
      <w:bookmarkEnd w:id="7"/>
      <w:bookmarkEnd w:id="8"/>
      <w:bookmarkEnd w:id="9"/>
      <w:bookmarkEnd w:id="10"/>
      <w:bookmarkEnd w:id="11"/>
    </w:p>
    <w:p w14:paraId="7AEF7FED" w14:textId="77777777" w:rsidR="0014181A" w:rsidRPr="003C0A74" w:rsidRDefault="0014181A" w:rsidP="0014181A">
      <w:pPr>
        <w:pStyle w:val="Heading2"/>
        <w:spacing w:after="120"/>
      </w:pPr>
      <w:bookmarkStart w:id="12" w:name="_Toc489275729"/>
      <w:bookmarkStart w:id="13" w:name="_Toc4151627"/>
      <w:bookmarkStart w:id="14" w:name="_Toc24635587"/>
      <w:bookmarkStart w:id="15" w:name="_Toc46234253"/>
      <w:r w:rsidRPr="003C0A74">
        <w:t>Capital Gains Tax (CGT)</w:t>
      </w:r>
      <w:bookmarkEnd w:id="12"/>
      <w:bookmarkEnd w:id="13"/>
      <w:bookmarkEnd w:id="14"/>
      <w:bookmarkEnd w:id="15"/>
    </w:p>
    <w:p w14:paraId="510BAB45" w14:textId="27E65FF4" w:rsidR="0014181A" w:rsidRDefault="0014181A" w:rsidP="0014181A">
      <w:pPr>
        <w:spacing w:after="120"/>
      </w:pPr>
      <w:r w:rsidRPr="00B13888">
        <w:t>For assets acquired after 19 September 1985 (where the asset has been held for at least 12 months) and disposed of after 21 September 1999, individuals have the option to elect the:</w:t>
      </w:r>
    </w:p>
    <w:p w14:paraId="4BFBDB0C" w14:textId="4D7E3EBA" w:rsidR="008E3BFD" w:rsidRDefault="008E3BFD" w:rsidP="008E3BFD">
      <w:pPr>
        <w:pStyle w:val="ListParagraph"/>
        <w:numPr>
          <w:ilvl w:val="0"/>
          <w:numId w:val="48"/>
        </w:numPr>
        <w:spacing w:after="120"/>
      </w:pPr>
      <w:r w:rsidRPr="00B13888">
        <w:t>Frozen indexation method (from the date of acquisition up to 30 September 1999, being the date of the last index number) or</w:t>
      </w:r>
    </w:p>
    <w:p w14:paraId="7F393EF5" w14:textId="67034ED5" w:rsidR="008E3BFD" w:rsidRDefault="008E3BFD" w:rsidP="008E3BFD">
      <w:pPr>
        <w:pStyle w:val="ListParagraph"/>
        <w:numPr>
          <w:ilvl w:val="0"/>
          <w:numId w:val="48"/>
        </w:numPr>
        <w:spacing w:after="120"/>
      </w:pPr>
      <w:r w:rsidRPr="00B13888">
        <w:t>Discount method, where you elect to pay tax on 50% of the capital gain.</w:t>
      </w:r>
    </w:p>
    <w:p w14:paraId="34843D55" w14:textId="77777777" w:rsidR="0014181A" w:rsidRPr="00B13888" w:rsidRDefault="0014181A" w:rsidP="0014181A">
      <w:pPr>
        <w:spacing w:after="120"/>
      </w:pPr>
      <w:r w:rsidRPr="00B13888">
        <w:t>The method that gives the smaller capital gain should be chosen.</w:t>
      </w:r>
    </w:p>
    <w:p w14:paraId="5031B6F3" w14:textId="77777777" w:rsidR="0014181A" w:rsidRPr="00B13888" w:rsidRDefault="0014181A" w:rsidP="0014181A">
      <w:pPr>
        <w:spacing w:after="120"/>
      </w:pPr>
      <w:r w:rsidRPr="00B13888">
        <w:t>Where you have a capital loss, the loss can only be offset against a capital gain. However capital losses can be carried forward to future years (indefinitely).</w:t>
      </w:r>
    </w:p>
    <w:p w14:paraId="1E4476A6" w14:textId="77777777" w:rsidR="0014181A" w:rsidRPr="00B13888" w:rsidRDefault="0014181A" w:rsidP="0014181A">
      <w:pPr>
        <w:spacing w:after="120"/>
      </w:pPr>
      <w:r w:rsidRPr="00B13888">
        <w:t>If you are electing the discount method, you should offset a capital loss to a capital gain prior to applying the 50% discount.</w:t>
      </w:r>
    </w:p>
    <w:p w14:paraId="43888723" w14:textId="77777777" w:rsidR="0014181A" w:rsidRPr="00B13888" w:rsidRDefault="0014181A" w:rsidP="0014181A">
      <w:pPr>
        <w:spacing w:after="120"/>
      </w:pPr>
    </w:p>
    <w:p w14:paraId="67B51278" w14:textId="77777777" w:rsidR="0014181A" w:rsidRPr="005B0E48" w:rsidRDefault="0014181A" w:rsidP="0014181A">
      <w:pPr>
        <w:spacing w:after="120"/>
        <w:rPr>
          <w:color w:val="002060"/>
          <w:sz w:val="24"/>
        </w:rPr>
      </w:pPr>
      <w:r w:rsidRPr="005B0E48">
        <w:rPr>
          <w:color w:val="002060"/>
          <w:sz w:val="24"/>
        </w:rPr>
        <w:t>Capital Gains Tax - Main Residence</w:t>
      </w:r>
    </w:p>
    <w:p w14:paraId="28926DBF" w14:textId="16B24B5B" w:rsidR="0014181A" w:rsidRPr="00B13888" w:rsidRDefault="0014181A" w:rsidP="0014181A">
      <w:pPr>
        <w:spacing w:after="120"/>
      </w:pPr>
      <w:r w:rsidRPr="00B13888">
        <w:t xml:space="preserve">A main residence is exempt from capital gains tax. In </w:t>
      </w:r>
      <w:r w:rsidR="0099581F" w:rsidRPr="00B13888">
        <w:t>addition,</w:t>
      </w:r>
      <w:r w:rsidRPr="00B13888">
        <w:t xml:space="preserve"> the land around the home is exempt if it is used mainly for private and domestic purposes and does not exceed two hectares.</w:t>
      </w:r>
    </w:p>
    <w:p w14:paraId="1488FE4C" w14:textId="77777777" w:rsidR="0014181A" w:rsidRPr="00B13888" w:rsidRDefault="0014181A" w:rsidP="0014181A">
      <w:pPr>
        <w:spacing w:after="120"/>
      </w:pPr>
      <w:r w:rsidRPr="00B13888">
        <w:t>To qualify for the full exemption the home must have been the sole and main residence for the total period of ownership and must not have been used for income producing purposes. There are some exceptions from this rule, for instance electing to continue with the main residence status which is described below.</w:t>
      </w:r>
    </w:p>
    <w:p w14:paraId="66906F24" w14:textId="77777777" w:rsidR="0014181A" w:rsidRPr="005B0E48" w:rsidRDefault="0014181A" w:rsidP="0014181A">
      <w:pPr>
        <w:spacing w:after="120"/>
        <w:rPr>
          <w:b/>
        </w:rPr>
      </w:pPr>
      <w:r w:rsidRPr="005B0E48">
        <w:rPr>
          <w:b/>
        </w:rPr>
        <w:t>Electing to continue main residence status</w:t>
      </w:r>
    </w:p>
    <w:p w14:paraId="4E04A77F" w14:textId="38620C80" w:rsidR="0014181A" w:rsidRPr="00B13888" w:rsidRDefault="0014181A" w:rsidP="0014181A">
      <w:pPr>
        <w:spacing w:after="120"/>
      </w:pPr>
      <w:r w:rsidRPr="00B13888">
        <w:t xml:space="preserve">A person does not have to live in their home for the whole period they own it to maintain the right to treat it as the main residence. In some cases, they can elect that a particular home </w:t>
      </w:r>
      <w:r w:rsidR="0099581F" w:rsidRPr="00B13888">
        <w:t>continues</w:t>
      </w:r>
      <w:r w:rsidRPr="00B13888">
        <w:t xml:space="preserve"> to be treated as the main residence even though they have ceased to use it as such.</w:t>
      </w:r>
    </w:p>
    <w:p w14:paraId="239A90CD" w14:textId="77777777" w:rsidR="0014181A" w:rsidRPr="00B13888" w:rsidRDefault="0014181A" w:rsidP="0014181A">
      <w:pPr>
        <w:spacing w:after="120"/>
      </w:pPr>
      <w:r w:rsidRPr="00B13888">
        <w:t>For the exemption to apply, an election must be made by the tax return lodgement date for the income year in which disposal of the home is made. The election should be kept with the tax records.</w:t>
      </w:r>
    </w:p>
    <w:p w14:paraId="7BB1BDE5" w14:textId="77777777" w:rsidR="0014181A" w:rsidRPr="00B13888" w:rsidRDefault="0014181A" w:rsidP="0014181A">
      <w:pPr>
        <w:spacing w:after="120"/>
      </w:pPr>
      <w:r w:rsidRPr="00B13888">
        <w:t>If it is not put to any income-producing use, the home can be regarded as the main residence for an unlimited period after moving out of it. If it is put to an income-producing use after moving out, then, for any period of absence, the total period of income-producing use cannot be more than six years.</w:t>
      </w:r>
    </w:p>
    <w:p w14:paraId="6CCEE796" w14:textId="77777777" w:rsidR="0014181A" w:rsidRPr="00B13888" w:rsidRDefault="0014181A" w:rsidP="0014181A">
      <w:pPr>
        <w:spacing w:after="120"/>
      </w:pPr>
      <w:r w:rsidRPr="00B13888">
        <w:t>If a person is absent more than once during the period of ownership, the six-year period of income-producing use will apply separately to each period of absence. However, the home must again become the main residence after each period of absence.</w:t>
      </w:r>
    </w:p>
    <w:p w14:paraId="589746D3" w14:textId="77777777" w:rsidR="0014181A" w:rsidRPr="00B13888" w:rsidRDefault="0014181A" w:rsidP="0014181A">
      <w:pPr>
        <w:spacing w:after="120"/>
      </w:pPr>
      <w:r w:rsidRPr="00B13888">
        <w:t>The continuing main residence status lasts only until a person moves back in or the home is disposed of or until the end of the six years of income-producing use, whichever occurs first. During this time the effect of the election is that no other home - even if actually lived in - is regarded as the main residence. The exemption is only for the home for which the election is made.</w:t>
      </w:r>
    </w:p>
    <w:p w14:paraId="3E84E4B2" w14:textId="77777777" w:rsidR="0014181A" w:rsidRPr="00B13888" w:rsidRDefault="0014181A" w:rsidP="0014181A">
      <w:pPr>
        <w:spacing w:after="120"/>
      </w:pPr>
      <w:r w:rsidRPr="00B13888">
        <w:t>Please note that the above details are for information purposes. We recommend you speak with your accountant for further information.</w:t>
      </w:r>
    </w:p>
    <w:p w14:paraId="0B46448D" w14:textId="77777777" w:rsidR="0014181A" w:rsidRPr="00B13888" w:rsidRDefault="0014181A" w:rsidP="0014181A">
      <w:pPr>
        <w:spacing w:after="120"/>
      </w:pPr>
    </w:p>
    <w:p w14:paraId="21C09E6E" w14:textId="77777777" w:rsidR="0014181A" w:rsidRPr="003C0A74" w:rsidRDefault="0014181A" w:rsidP="0014181A">
      <w:pPr>
        <w:pStyle w:val="Heading2"/>
        <w:spacing w:after="120"/>
      </w:pPr>
      <w:bookmarkStart w:id="16" w:name="_Toc21495375"/>
      <w:bookmarkStart w:id="17" w:name="_Toc82509404"/>
      <w:bookmarkStart w:id="18" w:name="_Toc489275730"/>
      <w:bookmarkStart w:id="19" w:name="_Toc4151628"/>
      <w:bookmarkStart w:id="20" w:name="_Toc24635588"/>
      <w:bookmarkStart w:id="21" w:name="_Toc46234254"/>
      <w:r w:rsidRPr="003C0A74">
        <w:t>Small Business</w:t>
      </w:r>
      <w:bookmarkEnd w:id="16"/>
      <w:bookmarkEnd w:id="17"/>
      <w:r w:rsidRPr="003C0A74">
        <w:t xml:space="preserve"> CGT Concessions</w:t>
      </w:r>
      <w:bookmarkEnd w:id="18"/>
      <w:bookmarkEnd w:id="19"/>
      <w:bookmarkEnd w:id="20"/>
      <w:bookmarkEnd w:id="21"/>
    </w:p>
    <w:p w14:paraId="758AA731" w14:textId="49676430" w:rsidR="0014181A" w:rsidRDefault="0014181A" w:rsidP="0014181A">
      <w:pPr>
        <w:spacing w:after="120"/>
      </w:pPr>
      <w:r w:rsidRPr="00B13888">
        <w:t>There are 4 small business capital gains tax (CGT) concessions available:</w:t>
      </w:r>
    </w:p>
    <w:p w14:paraId="1E7B5E88" w14:textId="50D7BD3D" w:rsidR="00CB46C5" w:rsidRDefault="00CB46C5" w:rsidP="00CB46C5">
      <w:pPr>
        <w:pStyle w:val="ListParagraph"/>
        <w:numPr>
          <w:ilvl w:val="0"/>
          <w:numId w:val="49"/>
        </w:numPr>
        <w:spacing w:after="120"/>
      </w:pPr>
      <w:r w:rsidRPr="00CB46C5">
        <w:rPr>
          <w:b/>
        </w:rPr>
        <w:t>The small business 15-year exemption</w:t>
      </w:r>
      <w:r w:rsidRPr="00B13888">
        <w:t xml:space="preserve"> – Provides a total exemption of a capital gain if the small business entity has continuously owned the CGT asset for at least 15 years, the relevant individual is at least 55 and retiring or is permanently incapacitated. Proceeds of up to $1,</w:t>
      </w:r>
      <w:r>
        <w:t>515</w:t>
      </w:r>
      <w:r w:rsidRPr="00B13888">
        <w:t>,000 attributable to the 15-year exemption may be contributed to superannuation (lifetime limit – indexed). This limit applies in addition to the regular non-concessional caps.</w:t>
      </w:r>
    </w:p>
    <w:p w14:paraId="0442A3B8" w14:textId="3AD3E812" w:rsidR="00CB46C5" w:rsidRDefault="00CB46C5" w:rsidP="00CB46C5">
      <w:pPr>
        <w:pStyle w:val="ListParagraph"/>
        <w:numPr>
          <w:ilvl w:val="0"/>
          <w:numId w:val="49"/>
        </w:numPr>
        <w:spacing w:after="120"/>
      </w:pPr>
      <w:r w:rsidRPr="00CB46C5">
        <w:rPr>
          <w:b/>
        </w:rPr>
        <w:lastRenderedPageBreak/>
        <w:t>The small business 50% active asset reduction</w:t>
      </w:r>
      <w:r w:rsidRPr="00B13888">
        <w:t xml:space="preserve"> – provides a 50% reduction of a capital gain that would have been assessable for taxation. Where the general 50% CGT discount is available, this concession essentially reduces the original capital gain to 25%.</w:t>
      </w:r>
    </w:p>
    <w:p w14:paraId="187D1ED9" w14:textId="6E648D8B" w:rsidR="00CB46C5" w:rsidRDefault="00CB46C5" w:rsidP="00CB46C5">
      <w:pPr>
        <w:pStyle w:val="ListParagraph"/>
        <w:numPr>
          <w:ilvl w:val="0"/>
          <w:numId w:val="49"/>
        </w:numPr>
        <w:spacing w:after="120"/>
      </w:pPr>
      <w:r w:rsidRPr="00CB46C5">
        <w:rPr>
          <w:b/>
        </w:rPr>
        <w:t>The small business retirement exemption</w:t>
      </w:r>
      <w:r w:rsidRPr="00B13888">
        <w:t xml:space="preserve"> – provides an exemption of capital gains up to a lifetime limit of $500,000.  If the recipient is under 55 an amount equal to the CGT retirement exemption amount must be rolled over into a complying superannuation fund (the amount is an ETP can counts towards the tax-free component). If the recipient is 55 or over, they have a choice as to whether to take the CGT exempt amount as a tax-free cash lump sum or roll it over into the superannuation environment.</w:t>
      </w:r>
    </w:p>
    <w:p w14:paraId="2BA8D4D7" w14:textId="2E480202" w:rsidR="00CB46C5" w:rsidRDefault="00CB46C5" w:rsidP="00CB46C5">
      <w:pPr>
        <w:pStyle w:val="ListParagraph"/>
        <w:numPr>
          <w:ilvl w:val="0"/>
          <w:numId w:val="49"/>
        </w:numPr>
        <w:spacing w:after="120"/>
      </w:pPr>
      <w:r w:rsidRPr="00CB46C5">
        <w:rPr>
          <w:b/>
        </w:rPr>
        <w:t>The small business rollover relief</w:t>
      </w:r>
      <w:r w:rsidRPr="00B13888">
        <w:t xml:space="preserve"> – A taxpayer can choose to rollover all or part of a capital gain. The concession provides a deferral of a capital gain provided that another active asset is acquired. The deferred capital gain may later crystallise if the replacement asset is disposed of (in addition to any capital gain made on the disposal of the replacement asset).</w:t>
      </w:r>
    </w:p>
    <w:p w14:paraId="0EE3F6D3" w14:textId="77777777" w:rsidR="00CB46C5" w:rsidRDefault="00CB46C5" w:rsidP="0014181A">
      <w:pPr>
        <w:spacing w:after="120"/>
      </w:pPr>
    </w:p>
    <w:p w14:paraId="4A99021B" w14:textId="77777777" w:rsidR="0014181A" w:rsidRPr="00B13888" w:rsidRDefault="0014181A" w:rsidP="0014181A">
      <w:pPr>
        <w:spacing w:after="120"/>
      </w:pPr>
      <w:r w:rsidRPr="00B13888">
        <w:t>More than one concession may apply to the same capital gain if the conditions for each are satisfied, with the proviso that if the small business 15 year exemption is relevant it must be applied first because under this concession the capital gain will be entirely disregarded so there is no need to claim any further CGT concessions.</w:t>
      </w:r>
    </w:p>
    <w:p w14:paraId="6AF2B034" w14:textId="77777777" w:rsidR="0014181A" w:rsidRPr="00B13888" w:rsidRDefault="0014181A" w:rsidP="0014181A">
      <w:pPr>
        <w:spacing w:after="120"/>
      </w:pPr>
      <w:r w:rsidRPr="00B13888">
        <w:t>In addition, the CGT discount may be available to some entities (including individuals) that make a capital gain from a CGT asset owned for at least 12 months.  Companies are ineligible for the CGT discount.</w:t>
      </w:r>
    </w:p>
    <w:p w14:paraId="7B5EB864" w14:textId="2B7B3B06" w:rsidR="0014181A" w:rsidRPr="00B13888" w:rsidRDefault="0014181A" w:rsidP="0014181A">
      <w:pPr>
        <w:spacing w:after="120"/>
      </w:pPr>
      <w:r w:rsidRPr="00B13888">
        <w:t xml:space="preserve">Where the CGT discount is claimed, capital losses must be offset against capital gains before applying the CGT discount which is then applied before the small business CGT concessions (apart from the small business </w:t>
      </w:r>
      <w:r w:rsidR="0099581F" w:rsidRPr="00B13888">
        <w:t>15-year</w:t>
      </w:r>
      <w:r w:rsidRPr="00B13888">
        <w:t xml:space="preserve"> exemption).</w:t>
      </w:r>
    </w:p>
    <w:p w14:paraId="7BD4DE1E" w14:textId="77777777" w:rsidR="0014181A" w:rsidRPr="005B0E48" w:rsidRDefault="0014181A" w:rsidP="0014181A">
      <w:pPr>
        <w:spacing w:after="120"/>
        <w:rPr>
          <w:b/>
        </w:rPr>
      </w:pPr>
      <w:r w:rsidRPr="005B0E48">
        <w:rPr>
          <w:b/>
        </w:rPr>
        <w:t>The basic conditions for CGT concessions for small business</w:t>
      </w:r>
    </w:p>
    <w:p w14:paraId="305A269A" w14:textId="77777777" w:rsidR="0014181A" w:rsidRDefault="0014181A" w:rsidP="0014181A">
      <w:pPr>
        <w:spacing w:after="120"/>
      </w:pPr>
      <w:r w:rsidRPr="00B13888">
        <w:t xml:space="preserve">To qualify for the small business CGT concessions there are several ‘basic conditions’ which must be satisfied that are common to all concessions. </w:t>
      </w:r>
    </w:p>
    <w:p w14:paraId="0D87A59C" w14:textId="77777777" w:rsidR="0014181A" w:rsidRPr="00B13888" w:rsidRDefault="0014181A" w:rsidP="0014181A">
      <w:pPr>
        <w:spacing w:after="120"/>
      </w:pPr>
      <w:r w:rsidRPr="00B13888">
        <w:t>Each concession also has further requirements that you must satisfy for the concession to apply (except for the small business 50% active asset reduction, which applies if the basic conditions are satisfied).</w:t>
      </w:r>
    </w:p>
    <w:p w14:paraId="27E905F9" w14:textId="0BCE608B" w:rsidR="0014181A" w:rsidRDefault="0014181A" w:rsidP="0014181A">
      <w:pPr>
        <w:spacing w:after="120"/>
      </w:pPr>
      <w:r w:rsidRPr="00B13888">
        <w:t>The basic conditions for accessing the small business CGT concessions are:</w:t>
      </w:r>
    </w:p>
    <w:p w14:paraId="075A6594" w14:textId="31D912C5" w:rsidR="004E7A6D" w:rsidRDefault="004E7A6D" w:rsidP="004E7A6D">
      <w:pPr>
        <w:pStyle w:val="ListParagraph"/>
        <w:numPr>
          <w:ilvl w:val="0"/>
          <w:numId w:val="50"/>
        </w:numPr>
        <w:spacing w:after="120"/>
      </w:pPr>
      <w:r w:rsidRPr="00B13888">
        <w:t>A CGT event occurs in a relation to a CGT asset which results in a capital gain.</w:t>
      </w:r>
    </w:p>
    <w:p w14:paraId="018CC7E1" w14:textId="7E9CFEA1" w:rsidR="004E7A6D" w:rsidRDefault="004E7A6D" w:rsidP="004E7A6D">
      <w:pPr>
        <w:pStyle w:val="ListParagraph"/>
        <w:numPr>
          <w:ilvl w:val="0"/>
          <w:numId w:val="50"/>
        </w:numPr>
        <w:spacing w:after="120"/>
      </w:pPr>
      <w:r w:rsidRPr="00B13888">
        <w:t>The CGT asset satisfies the active asset test.</w:t>
      </w:r>
    </w:p>
    <w:p w14:paraId="67E15741" w14:textId="22245466" w:rsidR="004E7A6D" w:rsidRDefault="004E7A6D" w:rsidP="004E7A6D">
      <w:pPr>
        <w:pStyle w:val="ListParagraph"/>
        <w:numPr>
          <w:ilvl w:val="0"/>
          <w:numId w:val="50"/>
        </w:numPr>
        <w:spacing w:after="120"/>
      </w:pPr>
      <w:r w:rsidRPr="00B13888">
        <w:t>Either the tax payer is a “small business entity” or the taxpayer satisfies the maximum net asset value test.</w:t>
      </w:r>
    </w:p>
    <w:p w14:paraId="6B50C1AD" w14:textId="77777777" w:rsidR="0014181A" w:rsidRPr="00B13888" w:rsidRDefault="0014181A" w:rsidP="0014181A">
      <w:pPr>
        <w:spacing w:after="120"/>
      </w:pPr>
      <w:r w:rsidRPr="00B13888">
        <w:t xml:space="preserve">An individual, partnership, company or trust is classified as a “small business entity” if it is carrying on a small business </w:t>
      </w:r>
      <w:r>
        <w:t xml:space="preserve">with turnover of no more than $6 million </w:t>
      </w:r>
      <w:r w:rsidRPr="00B13888">
        <w:t xml:space="preserve">and satisfies the “$2 million aggregated turnover test”. </w:t>
      </w:r>
    </w:p>
    <w:p w14:paraId="1422F11A" w14:textId="77777777" w:rsidR="0014181A" w:rsidRPr="005B0E48" w:rsidRDefault="0014181A" w:rsidP="0014181A">
      <w:pPr>
        <w:spacing w:after="120"/>
        <w:rPr>
          <w:b/>
        </w:rPr>
      </w:pPr>
      <w:r w:rsidRPr="005B0E48">
        <w:rPr>
          <w:b/>
        </w:rPr>
        <w:t>Aggregated Turnover Test</w:t>
      </w:r>
    </w:p>
    <w:p w14:paraId="1B88319D" w14:textId="54C52A41" w:rsidR="0014181A" w:rsidRDefault="0014181A" w:rsidP="0014181A">
      <w:pPr>
        <w:spacing w:after="120"/>
      </w:pPr>
      <w:r w:rsidRPr="00B13888">
        <w:t>There are 3 ways to satisfy the $2 million aggregated turnover test:</w:t>
      </w:r>
    </w:p>
    <w:p w14:paraId="2AF2D735" w14:textId="61411657" w:rsidR="00453FEB" w:rsidRDefault="00453FEB" w:rsidP="00453FEB">
      <w:pPr>
        <w:pStyle w:val="ListParagraph"/>
        <w:numPr>
          <w:ilvl w:val="0"/>
          <w:numId w:val="51"/>
        </w:numPr>
        <w:spacing w:after="120"/>
      </w:pPr>
      <w:r w:rsidRPr="00B13888">
        <w:t>The entity’s aggregated turnover for the previous year was less than $2 million.</w:t>
      </w:r>
    </w:p>
    <w:p w14:paraId="6E57843B" w14:textId="7CAD28D9" w:rsidR="00453FEB" w:rsidRDefault="00453FEB" w:rsidP="00453FEB">
      <w:pPr>
        <w:pStyle w:val="ListParagraph"/>
        <w:numPr>
          <w:ilvl w:val="0"/>
          <w:numId w:val="51"/>
        </w:numPr>
        <w:spacing w:after="120"/>
      </w:pPr>
      <w:r w:rsidRPr="00B13888">
        <w:t>The entity’s aggregated turnover for the current income year, worked out at the first day of the income year, is likely to be less than $2 million (not available if aggregated turnover in the previous 2 years was greater than $2 million).</w:t>
      </w:r>
    </w:p>
    <w:p w14:paraId="67BC457B" w14:textId="72044AF9" w:rsidR="00453FEB" w:rsidRDefault="00453FEB" w:rsidP="00453FEB">
      <w:pPr>
        <w:pStyle w:val="ListParagraph"/>
        <w:numPr>
          <w:ilvl w:val="0"/>
          <w:numId w:val="51"/>
        </w:numPr>
        <w:spacing w:after="120"/>
      </w:pPr>
      <w:r w:rsidRPr="00B13888">
        <w:t>The entity’s aggregated turnover for the current income year, worked out as at the end of the current income year is actually less than $2 million.</w:t>
      </w:r>
    </w:p>
    <w:p w14:paraId="1F5C7DC6" w14:textId="77777777" w:rsidR="0014181A" w:rsidRPr="00B13888" w:rsidRDefault="0014181A" w:rsidP="0014181A">
      <w:pPr>
        <w:spacing w:after="120"/>
      </w:pPr>
      <w:r w:rsidRPr="00B13888">
        <w:t>In calculating a business’s aggregated turnover, it must count the annual turnover of the business plus the annual turnover of business’s affiliated or connected with the business.</w:t>
      </w:r>
    </w:p>
    <w:p w14:paraId="3A51C64F" w14:textId="77777777" w:rsidR="0014181A" w:rsidRPr="005B0E48" w:rsidRDefault="0014181A" w:rsidP="0014181A">
      <w:pPr>
        <w:spacing w:after="120"/>
        <w:rPr>
          <w:b/>
        </w:rPr>
      </w:pPr>
      <w:r w:rsidRPr="005B0E48">
        <w:rPr>
          <w:b/>
        </w:rPr>
        <w:t xml:space="preserve">Maximum net asset value test </w:t>
      </w:r>
    </w:p>
    <w:p w14:paraId="6E319312" w14:textId="77777777" w:rsidR="0014181A" w:rsidRPr="00B13888" w:rsidRDefault="0014181A" w:rsidP="0014181A">
      <w:pPr>
        <w:spacing w:after="120"/>
      </w:pPr>
      <w:r w:rsidRPr="00B13888">
        <w:t>When an entity does not satisfy the turnover test, the entity may still access the CGT concessions if it satisfies the maximum net asset value test of $6 million.</w:t>
      </w:r>
    </w:p>
    <w:p w14:paraId="7EE41997" w14:textId="3FCF476F" w:rsidR="0014181A" w:rsidRDefault="0014181A" w:rsidP="0014181A">
      <w:pPr>
        <w:spacing w:after="120"/>
      </w:pPr>
      <w:r w:rsidRPr="00B13888">
        <w:t>The maximum net asset value includes the following:</w:t>
      </w:r>
    </w:p>
    <w:p w14:paraId="15ECF005" w14:textId="77777777" w:rsidR="0011432C" w:rsidRDefault="0011432C" w:rsidP="0011432C">
      <w:pPr>
        <w:pStyle w:val="ListParagraph"/>
        <w:numPr>
          <w:ilvl w:val="0"/>
          <w:numId w:val="52"/>
        </w:numPr>
        <w:spacing w:after="120"/>
      </w:pPr>
      <w:r w:rsidRPr="00B13888">
        <w:t>The net value of the taxpayer’s CGT assets.</w:t>
      </w:r>
      <w:r w:rsidRPr="0011432C">
        <w:t xml:space="preserve"> </w:t>
      </w:r>
    </w:p>
    <w:p w14:paraId="264777C0" w14:textId="77777777" w:rsidR="0011432C" w:rsidRDefault="0011432C" w:rsidP="0014181A">
      <w:pPr>
        <w:spacing w:after="120"/>
      </w:pPr>
    </w:p>
    <w:p w14:paraId="0DF4346F" w14:textId="3DC0BE0B" w:rsidR="0011432C" w:rsidRDefault="0011432C" w:rsidP="0011432C">
      <w:pPr>
        <w:pStyle w:val="ListParagraph"/>
        <w:numPr>
          <w:ilvl w:val="0"/>
          <w:numId w:val="52"/>
        </w:numPr>
        <w:spacing w:after="120"/>
      </w:pPr>
      <w:r w:rsidRPr="00B13888">
        <w:t>The net value of the CGT assets of any entities connected with the taxpayer.</w:t>
      </w:r>
    </w:p>
    <w:p w14:paraId="5CBD062F" w14:textId="19A6EFB3" w:rsidR="0011432C" w:rsidRDefault="0011432C" w:rsidP="0011432C">
      <w:pPr>
        <w:pStyle w:val="ListParagraph"/>
        <w:numPr>
          <w:ilvl w:val="0"/>
          <w:numId w:val="52"/>
        </w:numPr>
        <w:spacing w:after="120"/>
      </w:pPr>
      <w:r w:rsidRPr="00B13888">
        <w:t>The net value of the CGT assets of any affiliates of the taxpayer or entities connected with the taxpayer’s affiliates.</w:t>
      </w:r>
    </w:p>
    <w:p w14:paraId="20F39535" w14:textId="77777777" w:rsidR="0014181A" w:rsidRPr="00B13888" w:rsidRDefault="0014181A" w:rsidP="0014181A">
      <w:pPr>
        <w:spacing w:after="120"/>
      </w:pPr>
      <w:r w:rsidRPr="00B13888">
        <w:t>The net value of an entity’s CGT assets is the market value of those assets less the liabilities of the entity related to those assets (includes provisions for annual leave, long-service leave, unearned income and tax liabilities).</w:t>
      </w:r>
    </w:p>
    <w:p w14:paraId="3BAFE666" w14:textId="77777777" w:rsidR="0014181A" w:rsidRPr="005B0E48" w:rsidRDefault="0014181A" w:rsidP="0014181A">
      <w:pPr>
        <w:spacing w:after="120"/>
        <w:rPr>
          <w:b/>
        </w:rPr>
      </w:pPr>
      <w:r w:rsidRPr="005B0E48">
        <w:rPr>
          <w:b/>
        </w:rPr>
        <w:t>CGT Concession Stakeholder Test &amp; Significant Individual</w:t>
      </w:r>
    </w:p>
    <w:p w14:paraId="6626B038" w14:textId="77777777" w:rsidR="0014181A" w:rsidRPr="00FF4FB0" w:rsidRDefault="0014181A" w:rsidP="0014181A">
      <w:pPr>
        <w:spacing w:after="120"/>
      </w:pPr>
      <w:r w:rsidRPr="00FF4FB0">
        <w:t>Where the CGT asset is a share in a company or an interest in a trust, then the taxpayer must be a CGT concession stakeholder in the company or trust, or alternatively the CGT concession stakeholders in the company or trust together (in an interposed entity) must have a Small Business Participation Percentage in the taxpayer of at least 90%.</w:t>
      </w:r>
    </w:p>
    <w:p w14:paraId="75433406" w14:textId="7BDB4B98" w:rsidR="0014181A" w:rsidRDefault="0014181A" w:rsidP="0014181A">
      <w:pPr>
        <w:spacing w:after="120"/>
      </w:pPr>
      <w:r w:rsidRPr="00FF4FB0">
        <w:t>A CGT concession stakeholder of a company or trust is:</w:t>
      </w:r>
    </w:p>
    <w:p w14:paraId="26F003BA" w14:textId="731ACA4C" w:rsidR="004C7FEA" w:rsidRDefault="004C7FEA" w:rsidP="004C7FEA">
      <w:pPr>
        <w:pStyle w:val="ListParagraph"/>
        <w:numPr>
          <w:ilvl w:val="0"/>
          <w:numId w:val="53"/>
        </w:numPr>
        <w:spacing w:after="120"/>
      </w:pPr>
      <w:r w:rsidRPr="00FF4FB0">
        <w:t>A “significant individual” in the company or trust.</w:t>
      </w:r>
    </w:p>
    <w:p w14:paraId="01B74F7B" w14:textId="344EBAA8" w:rsidR="004C7FEA" w:rsidRDefault="004C7FEA" w:rsidP="004C7FEA">
      <w:pPr>
        <w:pStyle w:val="ListParagraph"/>
        <w:numPr>
          <w:ilvl w:val="0"/>
          <w:numId w:val="53"/>
        </w:numPr>
        <w:spacing w:after="120"/>
      </w:pPr>
      <w:r w:rsidRPr="00FF4FB0">
        <w:t>A spouse of a significant individual in the company or trust, if the spouse has a Small Business Participation Percentage in the company or trust at the time which is greater than 0% (held directly or indirectly through one or more interposed entities).</w:t>
      </w:r>
    </w:p>
    <w:p w14:paraId="24985CF6" w14:textId="77777777" w:rsidR="0014181A" w:rsidRPr="00FF4FB0" w:rsidRDefault="0014181A" w:rsidP="0014181A">
      <w:pPr>
        <w:spacing w:after="120"/>
      </w:pPr>
      <w:r w:rsidRPr="00FF4FB0">
        <w:t xml:space="preserve">An individual is a significant individual in a company or trust if they have a small business participation percentage in the company or trust of at least 20% (direct or indirect). </w:t>
      </w:r>
    </w:p>
    <w:p w14:paraId="04331AAB" w14:textId="77777777" w:rsidR="0014181A" w:rsidRPr="00FF4FB0" w:rsidRDefault="0014181A" w:rsidP="0014181A">
      <w:pPr>
        <w:spacing w:after="120"/>
      </w:pPr>
      <w:r w:rsidRPr="00FF4FB0">
        <w:t>If the entity is a company, the percentage relates to the voting power held, the dividends payable or the distribution of capital that the company may make (where the figures vary the lower percentage applies).</w:t>
      </w:r>
    </w:p>
    <w:p w14:paraId="3792C8AB" w14:textId="77777777" w:rsidR="0014181A" w:rsidRPr="00FF4FB0" w:rsidRDefault="0014181A" w:rsidP="0014181A">
      <w:pPr>
        <w:spacing w:after="120"/>
      </w:pPr>
      <w:r w:rsidRPr="00FF4FB0">
        <w:t>Where the entity is trust, the percentage relates to the distribution of income and capital.</w:t>
      </w:r>
    </w:p>
    <w:p w14:paraId="15292AF4" w14:textId="77777777" w:rsidR="0014181A" w:rsidRDefault="0014181A" w:rsidP="0014181A">
      <w:pPr>
        <w:keepNext/>
        <w:spacing w:after="120"/>
        <w:rPr>
          <w:b/>
        </w:rPr>
      </w:pPr>
      <w:r w:rsidRPr="005B0E48">
        <w:rPr>
          <w:b/>
        </w:rPr>
        <w:t>Active asset test</w:t>
      </w:r>
    </w:p>
    <w:p w14:paraId="67619C85" w14:textId="77777777" w:rsidR="0014181A" w:rsidRPr="00FF4FB0" w:rsidRDefault="0014181A" w:rsidP="0014181A">
      <w:pPr>
        <w:spacing w:after="120"/>
      </w:pPr>
      <w:r w:rsidRPr="00FF4FB0">
        <w:t>An asset is active if it is used, or held ready for use, in carrying on a business by the taxpayer, the taxpayer’s small business CGT affiliate or a connected entity. This includes intangible assets (e.g. goodwill) as long as the asset is inherently connected with the business.</w:t>
      </w:r>
    </w:p>
    <w:p w14:paraId="26BE77E7" w14:textId="77777777" w:rsidR="0014181A" w:rsidRPr="00FF4FB0" w:rsidRDefault="0014181A" w:rsidP="0014181A">
      <w:pPr>
        <w:spacing w:after="120"/>
      </w:pPr>
      <w:r w:rsidRPr="00FF4FB0">
        <w:t>The active asset test requires the asset to be active for the lesser of 7½ years or half of the period of ownership. The asset does not need to be an active asset just before the CGT event.</w:t>
      </w:r>
    </w:p>
    <w:p w14:paraId="740AADBC" w14:textId="77777777" w:rsidR="0014181A" w:rsidRPr="00FF4FB0" w:rsidRDefault="0014181A" w:rsidP="0014181A">
      <w:pPr>
        <w:spacing w:after="120"/>
      </w:pPr>
      <w:r w:rsidRPr="00FF4FB0">
        <w:t>An 80% look-through test is applied to the active assets of a company or trust to determine if shares in a company or interests in a trust qualify as active assets. Cash and financial instruments inherently connected with the business are counted towards the 80% requirement. This test does not need to be applied in circumstances where it is reasonable to conclude that the 80% test has been passed. The test is not failed because of a breach of the threshold that is only temporary in nature.</w:t>
      </w:r>
    </w:p>
    <w:p w14:paraId="58B7F6D0" w14:textId="77777777" w:rsidR="0014181A" w:rsidRDefault="0014181A" w:rsidP="0014181A">
      <w:pPr>
        <w:spacing w:after="120"/>
      </w:pPr>
      <w:r w:rsidRPr="00FF4FB0">
        <w:t>Please note that th</w:t>
      </w:r>
      <w:r>
        <w:t>e</w:t>
      </w:r>
      <w:r w:rsidRPr="00FF4FB0">
        <w:t xml:space="preserve"> above details are for information purposes only. We recommend you speak with your accountant to determine your potential capital gains tax position prior to the sale of your business.</w:t>
      </w:r>
    </w:p>
    <w:p w14:paraId="24846A99" w14:textId="77777777" w:rsidR="0014181A" w:rsidRDefault="0014181A" w:rsidP="0014181A">
      <w:pPr>
        <w:spacing w:after="120"/>
      </w:pPr>
    </w:p>
    <w:p w14:paraId="06FA2BAE" w14:textId="77777777" w:rsidR="0014181A" w:rsidRPr="004527C6" w:rsidRDefault="0014181A" w:rsidP="0014181A">
      <w:pPr>
        <w:pStyle w:val="Heading2"/>
        <w:spacing w:after="120"/>
      </w:pPr>
      <w:bookmarkStart w:id="22" w:name="_Toc489275731"/>
      <w:bookmarkStart w:id="23" w:name="_Toc4151629"/>
      <w:bookmarkStart w:id="24" w:name="_Toc24635589"/>
      <w:bookmarkStart w:id="25" w:name="_Toc46234255"/>
      <w:r w:rsidRPr="004527C6">
        <w:t xml:space="preserve">Salary </w:t>
      </w:r>
      <w:commentRangeStart w:id="26"/>
      <w:r w:rsidRPr="004527C6">
        <w:t>Packaging</w:t>
      </w:r>
      <w:bookmarkEnd w:id="22"/>
      <w:commentRangeEnd w:id="26"/>
      <w:r>
        <w:rPr>
          <w:rStyle w:val="CommentReference"/>
          <w:rFonts w:cs="Times New Roman"/>
          <w:color w:val="auto"/>
          <w:lang w:val="en-AU" w:eastAsia="ja-JP"/>
        </w:rPr>
        <w:commentReference w:id="26"/>
      </w:r>
      <w:bookmarkEnd w:id="23"/>
      <w:bookmarkEnd w:id="24"/>
      <w:bookmarkEnd w:id="25"/>
    </w:p>
    <w:p w14:paraId="466A5940" w14:textId="77777777" w:rsidR="0014181A" w:rsidRDefault="0014181A" w:rsidP="0014181A">
      <w:pPr>
        <w:spacing w:after="120"/>
      </w:pPr>
      <w:r w:rsidRPr="00BD0D59">
        <w:t>Fringe Benefit concessions</w:t>
      </w:r>
      <w:r>
        <w:t xml:space="preserve"> are valued in a ‘Fringe Benefit Tax’ (FBT) year that commences on 31 March and runs for 12 months.</w:t>
      </w:r>
    </w:p>
    <w:p w14:paraId="78EEB813" w14:textId="1CBD05EA" w:rsidR="0014181A" w:rsidRDefault="0014181A" w:rsidP="0014181A">
      <w:pPr>
        <w:spacing w:after="120"/>
      </w:pPr>
      <w:r>
        <w:t xml:space="preserve">The value of benefits </w:t>
      </w:r>
      <w:r w:rsidR="0099581F">
        <w:t>is</w:t>
      </w:r>
      <w:r>
        <w:t xml:space="preserve"> grossed-up to calculate the FBT tax liability. </w:t>
      </w:r>
    </w:p>
    <w:p w14:paraId="7918AA35" w14:textId="77777777" w:rsidR="0014181A" w:rsidRPr="00BD0D59" w:rsidRDefault="0014181A" w:rsidP="00E24B15">
      <w:pPr>
        <w:pStyle w:val="ListParagraph"/>
        <w:numPr>
          <w:ilvl w:val="0"/>
          <w:numId w:val="37"/>
        </w:numPr>
        <w:spacing w:after="120"/>
        <w:contextualSpacing/>
      </w:pPr>
      <w:r w:rsidRPr="00BD0D59">
        <w:t>‘Type 1’ benefits are eligible for a GST credit</w:t>
      </w:r>
      <w:r>
        <w:t xml:space="preserve"> and have </w:t>
      </w:r>
      <w:r w:rsidRPr="00BD0D59">
        <w:t xml:space="preserve">a gross-up rate of 2.0802; </w:t>
      </w:r>
    </w:p>
    <w:p w14:paraId="4246B674" w14:textId="77777777" w:rsidR="0014181A" w:rsidRPr="00BD0D59" w:rsidRDefault="0014181A" w:rsidP="00E24B15">
      <w:pPr>
        <w:pStyle w:val="ListParagraph"/>
        <w:numPr>
          <w:ilvl w:val="0"/>
          <w:numId w:val="37"/>
        </w:numPr>
        <w:spacing w:after="120"/>
        <w:contextualSpacing/>
      </w:pPr>
      <w:r w:rsidRPr="00BD0D59">
        <w:t>‘Type 2’ benefits are not eligible for a GST credit and have a gross-up rate of 1.8868.</w:t>
      </w:r>
    </w:p>
    <w:p w14:paraId="2DD25C14" w14:textId="6BA59C77" w:rsidR="0014181A" w:rsidRPr="00054412" w:rsidRDefault="0014181A" w:rsidP="0014181A">
      <w:pPr>
        <w:spacing w:after="120"/>
        <w:rPr>
          <w:color w:val="002060"/>
          <w:sz w:val="24"/>
        </w:rPr>
      </w:pPr>
      <w:r>
        <w:rPr>
          <w:color w:val="002060"/>
          <w:sz w:val="24"/>
        </w:rPr>
        <w:t xml:space="preserve">General </w:t>
      </w:r>
      <w:r w:rsidRPr="00054412">
        <w:rPr>
          <w:color w:val="002060"/>
          <w:sz w:val="24"/>
        </w:rPr>
        <w:t xml:space="preserve">Fringe </w:t>
      </w:r>
      <w:r w:rsidR="0099581F" w:rsidRPr="00054412">
        <w:rPr>
          <w:color w:val="002060"/>
          <w:sz w:val="24"/>
        </w:rPr>
        <w:t>Benefit Caps</w:t>
      </w:r>
    </w:p>
    <w:p w14:paraId="7A23403B" w14:textId="341448AA" w:rsidR="0014181A" w:rsidRDefault="0014181A" w:rsidP="0014181A">
      <w:pPr>
        <w:spacing w:after="120"/>
      </w:pPr>
      <w:r>
        <w:t>For FBT-</w:t>
      </w:r>
      <w:proofErr w:type="spellStart"/>
      <w:r>
        <w:t>rebateable</w:t>
      </w:r>
      <w:proofErr w:type="spellEnd"/>
      <w:r>
        <w:t xml:space="preserve"> employees (which may include certain sporting clubs, charities, private schools, religious institutions, trade unions, employer associations) and Public Benevolent Institutions, they can receive benefits to a </w:t>
      </w:r>
      <w:r w:rsidR="0099581F">
        <w:t>grossed-up</w:t>
      </w:r>
      <w:r>
        <w:t xml:space="preserve"> value of $30,000.</w:t>
      </w:r>
    </w:p>
    <w:p w14:paraId="356416E3" w14:textId="3B6E25AA" w:rsidR="0014181A" w:rsidRDefault="0014181A" w:rsidP="0014181A">
      <w:pPr>
        <w:spacing w:after="120"/>
      </w:pPr>
      <w:r>
        <w:t xml:space="preserve">Public &amp; non-profit hospitals and ambulance services can receive benefits to a </w:t>
      </w:r>
      <w:r w:rsidR="0099581F">
        <w:t>grossed-up</w:t>
      </w:r>
      <w:r>
        <w:t xml:space="preserve"> value of $17,000.</w:t>
      </w:r>
    </w:p>
    <w:p w14:paraId="5BCEDB41" w14:textId="77777777" w:rsidR="0014181A" w:rsidRDefault="0014181A" w:rsidP="0014181A">
      <w:pPr>
        <w:spacing w:after="120"/>
        <w:rPr>
          <w:color w:val="002060"/>
          <w:sz w:val="24"/>
        </w:rPr>
      </w:pPr>
      <w:r>
        <w:rPr>
          <w:color w:val="002060"/>
          <w:sz w:val="24"/>
        </w:rPr>
        <w:t>Meals and Entertainment</w:t>
      </w:r>
    </w:p>
    <w:p w14:paraId="29BE2FD2" w14:textId="1E7DD6C6" w:rsidR="0014181A" w:rsidRDefault="0014181A" w:rsidP="0014181A">
      <w:pPr>
        <w:spacing w:after="120"/>
      </w:pPr>
      <w:r>
        <w:lastRenderedPageBreak/>
        <w:t>FBT-taxable employees can only package:</w:t>
      </w:r>
    </w:p>
    <w:p w14:paraId="003D51A7" w14:textId="77777777" w:rsidR="0014181A" w:rsidRPr="00054412" w:rsidRDefault="0014181A" w:rsidP="00E24B15">
      <w:pPr>
        <w:pStyle w:val="ListParagraph"/>
        <w:numPr>
          <w:ilvl w:val="0"/>
          <w:numId w:val="36"/>
        </w:numPr>
        <w:spacing w:after="120"/>
        <w:contextualSpacing/>
        <w:rPr>
          <w:rFonts w:asciiTheme="minorHAnsi" w:eastAsiaTheme="minorHAnsi" w:hAnsiTheme="minorHAnsi" w:cstheme="minorBidi"/>
          <w:color w:val="auto"/>
          <w:sz w:val="22"/>
          <w:szCs w:val="22"/>
          <w:lang w:val="en-AU" w:eastAsia="en-US"/>
        </w:rPr>
      </w:pPr>
      <w:r w:rsidRPr="00054412">
        <w:t xml:space="preserve">entertainment (by way of food/drink), accommodation or travel (that relates to the provision of food/drink) </w:t>
      </w:r>
    </w:p>
    <w:p w14:paraId="4B721649" w14:textId="77777777" w:rsidR="0014181A" w:rsidRPr="00054412" w:rsidRDefault="0014181A" w:rsidP="00E24B15">
      <w:pPr>
        <w:pStyle w:val="ListParagraph"/>
        <w:numPr>
          <w:ilvl w:val="0"/>
          <w:numId w:val="36"/>
        </w:numPr>
        <w:spacing w:after="120"/>
        <w:contextualSpacing/>
        <w:rPr>
          <w:rFonts w:asciiTheme="minorHAnsi" w:eastAsiaTheme="minorHAnsi" w:hAnsiTheme="minorHAnsi" w:cstheme="minorBidi"/>
          <w:color w:val="auto"/>
          <w:sz w:val="22"/>
          <w:szCs w:val="22"/>
          <w:lang w:val="en-AU" w:eastAsia="en-US"/>
        </w:rPr>
      </w:pPr>
      <w:r>
        <w:t>other entertaining ‘leasing’ expenses (</w:t>
      </w:r>
      <w:proofErr w:type="spellStart"/>
      <w:r>
        <w:t>eg.</w:t>
      </w:r>
      <w:proofErr w:type="spellEnd"/>
      <w:r>
        <w:t xml:space="preserve"> corporate box)</w:t>
      </w:r>
    </w:p>
    <w:p w14:paraId="72CDC536" w14:textId="77777777" w:rsidR="0014181A" w:rsidRDefault="0014181A" w:rsidP="0014181A">
      <w:pPr>
        <w:spacing w:after="120"/>
      </w:pPr>
      <w:r>
        <w:t xml:space="preserve">that are part of a remuneration agreement incorporating salary packaging. The value is </w:t>
      </w:r>
      <w:r w:rsidRPr="00054412">
        <w:t>based on the</w:t>
      </w:r>
      <w:r>
        <w:t xml:space="preserve"> full</w:t>
      </w:r>
      <w:r w:rsidRPr="00054412">
        <w:t xml:space="preserve"> </w:t>
      </w:r>
      <w:r>
        <w:t>‘</w:t>
      </w:r>
      <w:r w:rsidRPr="00054412">
        <w:t>actual cost</w:t>
      </w:r>
      <w:r>
        <w:t xml:space="preserve">’ incurred and will typically result in salary packaging employees realising no net benefit. </w:t>
      </w:r>
    </w:p>
    <w:p w14:paraId="5B1396E9" w14:textId="61926FA7" w:rsidR="0014181A" w:rsidRDefault="0014181A" w:rsidP="0014181A">
      <w:pPr>
        <w:spacing w:after="120"/>
      </w:pPr>
      <w:r>
        <w:t>There is also another cap for food</w:t>
      </w:r>
      <w:r w:rsidR="003F20CA">
        <w:t>, entertainment</w:t>
      </w:r>
      <w:r>
        <w:t xml:space="preserve"> and entertainment </w:t>
      </w:r>
      <w:commentRangeStart w:id="27"/>
      <w:r w:rsidR="00C3002B">
        <w:t>facility</w:t>
      </w:r>
      <w:commentRangeEnd w:id="27"/>
      <w:r w:rsidR="00C3002B">
        <w:rPr>
          <w:rStyle w:val="CommentReference"/>
          <w:color w:val="auto"/>
          <w:lang w:val="en-AU" w:eastAsia="ja-JP"/>
        </w:rPr>
        <w:commentReference w:id="27"/>
      </w:r>
      <w:r w:rsidR="00C3002B">
        <w:t xml:space="preserve"> leasing </w:t>
      </w:r>
      <w:r>
        <w:t>expenses to a grossed-up value of $5,000 which is additional to the general caps listed above. This cap acts to reduce the amount of any excess packaged meal and entertainment expenses beyond the relevant general cap.</w:t>
      </w:r>
    </w:p>
    <w:p w14:paraId="199150DF" w14:textId="77777777" w:rsidR="0014181A" w:rsidRPr="00DC41BC" w:rsidRDefault="0014181A" w:rsidP="0014181A">
      <w:pPr>
        <w:spacing w:after="120"/>
        <w:rPr>
          <w:color w:val="002060"/>
          <w:sz w:val="24"/>
        </w:rPr>
      </w:pPr>
      <w:r w:rsidRPr="00DC41BC">
        <w:rPr>
          <w:color w:val="002060"/>
          <w:sz w:val="24"/>
        </w:rPr>
        <w:t>Excluded Fringe benefits</w:t>
      </w:r>
    </w:p>
    <w:p w14:paraId="76D847E3" w14:textId="77777777" w:rsidR="0014181A" w:rsidRDefault="0014181A" w:rsidP="0014181A">
      <w:pPr>
        <w:spacing w:after="120"/>
      </w:pPr>
      <w:r>
        <w:t>The following benefits are not subject to FBT:</w:t>
      </w:r>
    </w:p>
    <w:tbl>
      <w:tblPr>
        <w:tblStyle w:val="TableGrid"/>
        <w:tblW w:w="0" w:type="auto"/>
        <w:tblLook w:val="04A0" w:firstRow="1" w:lastRow="0" w:firstColumn="1" w:lastColumn="0" w:noHBand="0" w:noVBand="1"/>
      </w:tblPr>
      <w:tblGrid>
        <w:gridCol w:w="2830"/>
        <w:gridCol w:w="6186"/>
      </w:tblGrid>
      <w:tr w:rsidR="0014181A" w14:paraId="17CFE0A7" w14:textId="77777777" w:rsidTr="0014181A">
        <w:tc>
          <w:tcPr>
            <w:tcW w:w="2830" w:type="dxa"/>
            <w:shd w:val="clear" w:color="auto" w:fill="BFBFBF" w:themeFill="background1" w:themeFillShade="BF"/>
          </w:tcPr>
          <w:p w14:paraId="624AB73D" w14:textId="77777777" w:rsidR="0014181A" w:rsidRPr="00DC41BC" w:rsidRDefault="0014181A" w:rsidP="0014181A">
            <w:pPr>
              <w:spacing w:after="120"/>
              <w:rPr>
                <w:rFonts w:ascii="Arial Narrow" w:hAnsi="Arial Narrow"/>
                <w:b/>
                <w:sz w:val="24"/>
              </w:rPr>
            </w:pPr>
            <w:r w:rsidRPr="00DC41BC">
              <w:rPr>
                <w:rFonts w:ascii="Arial Narrow" w:hAnsi="Arial Narrow"/>
                <w:b/>
                <w:sz w:val="24"/>
              </w:rPr>
              <w:t>Excluded Benefit</w:t>
            </w:r>
          </w:p>
        </w:tc>
        <w:tc>
          <w:tcPr>
            <w:tcW w:w="6186" w:type="dxa"/>
            <w:shd w:val="clear" w:color="auto" w:fill="BFBFBF" w:themeFill="background1" w:themeFillShade="BF"/>
          </w:tcPr>
          <w:p w14:paraId="67648F07" w14:textId="77777777" w:rsidR="0014181A" w:rsidRPr="00DC41BC" w:rsidRDefault="0014181A" w:rsidP="0014181A">
            <w:pPr>
              <w:spacing w:after="120"/>
              <w:rPr>
                <w:rFonts w:ascii="Arial Narrow" w:hAnsi="Arial Narrow"/>
                <w:b/>
                <w:sz w:val="24"/>
              </w:rPr>
            </w:pPr>
            <w:r w:rsidRPr="00DC41BC">
              <w:rPr>
                <w:rFonts w:ascii="Arial Narrow" w:hAnsi="Arial Narrow"/>
                <w:b/>
                <w:sz w:val="24"/>
              </w:rPr>
              <w:t>Comment</w:t>
            </w:r>
          </w:p>
        </w:tc>
      </w:tr>
      <w:tr w:rsidR="0014181A" w14:paraId="32C16E2F" w14:textId="77777777" w:rsidTr="0014181A">
        <w:tc>
          <w:tcPr>
            <w:tcW w:w="2830" w:type="dxa"/>
            <w:shd w:val="clear" w:color="auto" w:fill="D9D9D9" w:themeFill="background1" w:themeFillShade="D9"/>
          </w:tcPr>
          <w:p w14:paraId="1CEA29BB" w14:textId="77777777" w:rsidR="0014181A" w:rsidRPr="0077417F" w:rsidRDefault="0014181A" w:rsidP="0014181A">
            <w:pPr>
              <w:spacing w:after="120"/>
              <w:rPr>
                <w:rFonts w:ascii="Arial Narrow" w:hAnsi="Arial Narrow"/>
                <w:szCs w:val="20"/>
              </w:rPr>
            </w:pPr>
            <w:r w:rsidRPr="0077417F">
              <w:rPr>
                <w:rFonts w:ascii="Arial Narrow" w:hAnsi="Arial Narrow"/>
                <w:szCs w:val="20"/>
              </w:rPr>
              <w:t>Meals &amp; Entertainment</w:t>
            </w:r>
          </w:p>
        </w:tc>
        <w:tc>
          <w:tcPr>
            <w:tcW w:w="6186" w:type="dxa"/>
          </w:tcPr>
          <w:p w14:paraId="5E4FB436" w14:textId="77777777" w:rsidR="0014181A" w:rsidRPr="0077417F" w:rsidRDefault="0014181A" w:rsidP="0014181A">
            <w:pPr>
              <w:spacing w:after="120"/>
              <w:rPr>
                <w:rFonts w:ascii="Arial Narrow" w:hAnsi="Arial Narrow"/>
                <w:szCs w:val="20"/>
              </w:rPr>
            </w:pPr>
            <w:r w:rsidRPr="0077417F">
              <w:rPr>
                <w:rFonts w:ascii="Arial Narrow" w:hAnsi="Arial Narrow"/>
                <w:szCs w:val="20"/>
              </w:rPr>
              <w:t>Provided by an employer but not under a salary packaging arrangement</w:t>
            </w:r>
          </w:p>
        </w:tc>
      </w:tr>
      <w:tr w:rsidR="0014181A" w14:paraId="0A85B1CD" w14:textId="77777777" w:rsidTr="0014181A">
        <w:tc>
          <w:tcPr>
            <w:tcW w:w="2830" w:type="dxa"/>
            <w:shd w:val="clear" w:color="auto" w:fill="D9D9D9" w:themeFill="background1" w:themeFillShade="D9"/>
          </w:tcPr>
          <w:p w14:paraId="41ACD080" w14:textId="77777777" w:rsidR="0014181A" w:rsidRPr="0077417F" w:rsidRDefault="0014181A" w:rsidP="0014181A">
            <w:pPr>
              <w:spacing w:after="120"/>
              <w:rPr>
                <w:rFonts w:ascii="Arial Narrow" w:hAnsi="Arial Narrow"/>
                <w:szCs w:val="20"/>
              </w:rPr>
            </w:pPr>
            <w:r w:rsidRPr="0077417F">
              <w:rPr>
                <w:rFonts w:ascii="Arial Narrow" w:hAnsi="Arial Narrow"/>
                <w:szCs w:val="20"/>
              </w:rPr>
              <w:t>Car parking</w:t>
            </w:r>
          </w:p>
        </w:tc>
        <w:tc>
          <w:tcPr>
            <w:tcW w:w="6186" w:type="dxa"/>
          </w:tcPr>
          <w:p w14:paraId="1DC786A9" w14:textId="77777777" w:rsidR="0014181A" w:rsidRPr="0077417F" w:rsidRDefault="0014181A" w:rsidP="0014181A">
            <w:pPr>
              <w:spacing w:after="120"/>
              <w:rPr>
                <w:rFonts w:ascii="Arial Narrow" w:hAnsi="Arial Narrow"/>
                <w:szCs w:val="20"/>
              </w:rPr>
            </w:pPr>
            <w:r w:rsidRPr="0077417F">
              <w:rPr>
                <w:rFonts w:ascii="Arial Narrow" w:hAnsi="Arial Narrow"/>
                <w:szCs w:val="20"/>
              </w:rPr>
              <w:t>Does not include arrangements for which the employer just refunds expenses</w:t>
            </w:r>
          </w:p>
        </w:tc>
      </w:tr>
      <w:tr w:rsidR="0014181A" w14:paraId="00AC23A5" w14:textId="77777777" w:rsidTr="0014181A">
        <w:tc>
          <w:tcPr>
            <w:tcW w:w="2830" w:type="dxa"/>
            <w:shd w:val="clear" w:color="auto" w:fill="D9D9D9" w:themeFill="background1" w:themeFillShade="D9"/>
          </w:tcPr>
          <w:p w14:paraId="4602C5FC" w14:textId="77777777" w:rsidR="0014181A" w:rsidRPr="0077417F" w:rsidRDefault="0014181A" w:rsidP="0014181A">
            <w:pPr>
              <w:spacing w:after="120"/>
              <w:rPr>
                <w:rFonts w:ascii="Arial Narrow" w:hAnsi="Arial Narrow"/>
                <w:szCs w:val="20"/>
              </w:rPr>
            </w:pPr>
            <w:r w:rsidRPr="0077417F">
              <w:rPr>
                <w:rFonts w:ascii="Arial Narrow" w:hAnsi="Arial Narrow"/>
                <w:szCs w:val="20"/>
              </w:rPr>
              <w:t>Pooled or shared cars</w:t>
            </w:r>
          </w:p>
        </w:tc>
        <w:tc>
          <w:tcPr>
            <w:tcW w:w="6186" w:type="dxa"/>
          </w:tcPr>
          <w:p w14:paraId="73723D72" w14:textId="77777777" w:rsidR="0014181A" w:rsidRPr="0077417F" w:rsidRDefault="0014181A" w:rsidP="0014181A">
            <w:pPr>
              <w:spacing w:after="120"/>
              <w:rPr>
                <w:rFonts w:ascii="Arial Narrow" w:hAnsi="Arial Narrow"/>
                <w:szCs w:val="20"/>
              </w:rPr>
            </w:pPr>
            <w:r w:rsidRPr="0077417F">
              <w:rPr>
                <w:rFonts w:ascii="Arial Narrow" w:hAnsi="Arial Narrow"/>
                <w:szCs w:val="20"/>
              </w:rPr>
              <w:t>If supplied for the private use of two or more employees</w:t>
            </w:r>
          </w:p>
        </w:tc>
      </w:tr>
      <w:tr w:rsidR="0014181A" w14:paraId="39A5910C" w14:textId="77777777" w:rsidTr="0014181A">
        <w:tc>
          <w:tcPr>
            <w:tcW w:w="2830" w:type="dxa"/>
            <w:shd w:val="clear" w:color="auto" w:fill="D9D9D9" w:themeFill="background1" w:themeFillShade="D9"/>
          </w:tcPr>
          <w:p w14:paraId="66E033B3" w14:textId="77777777" w:rsidR="0014181A" w:rsidRPr="0077417F" w:rsidRDefault="0014181A" w:rsidP="0014181A">
            <w:pPr>
              <w:spacing w:after="120"/>
              <w:rPr>
                <w:rFonts w:ascii="Arial Narrow" w:hAnsi="Arial Narrow"/>
                <w:szCs w:val="20"/>
              </w:rPr>
            </w:pPr>
            <w:r w:rsidRPr="0077417F">
              <w:rPr>
                <w:rFonts w:ascii="Arial Narrow" w:hAnsi="Arial Narrow"/>
                <w:szCs w:val="20"/>
              </w:rPr>
              <w:t>Remote Area benefits</w:t>
            </w:r>
          </w:p>
        </w:tc>
        <w:tc>
          <w:tcPr>
            <w:tcW w:w="6186" w:type="dxa"/>
          </w:tcPr>
          <w:p w14:paraId="422C5429" w14:textId="77777777" w:rsidR="0014181A" w:rsidRPr="0077417F" w:rsidRDefault="0014181A" w:rsidP="0014181A">
            <w:pPr>
              <w:spacing w:after="120"/>
              <w:rPr>
                <w:rFonts w:ascii="Arial Narrow" w:hAnsi="Arial Narrow"/>
                <w:szCs w:val="20"/>
              </w:rPr>
            </w:pPr>
            <w:r w:rsidRPr="0077417F">
              <w:rPr>
                <w:rFonts w:ascii="Arial Narrow" w:hAnsi="Arial Narrow"/>
                <w:szCs w:val="20"/>
              </w:rPr>
              <w:t>Housing support, fuel, freight</w:t>
            </w:r>
          </w:p>
        </w:tc>
      </w:tr>
      <w:tr w:rsidR="0014181A" w14:paraId="4B6F8000" w14:textId="77777777" w:rsidTr="0014181A">
        <w:tc>
          <w:tcPr>
            <w:tcW w:w="2830" w:type="dxa"/>
            <w:shd w:val="clear" w:color="auto" w:fill="D9D9D9" w:themeFill="background1" w:themeFillShade="D9"/>
          </w:tcPr>
          <w:p w14:paraId="1FBA3F45" w14:textId="77777777" w:rsidR="0014181A" w:rsidRPr="0077417F" w:rsidRDefault="0014181A" w:rsidP="0014181A">
            <w:pPr>
              <w:spacing w:after="120"/>
              <w:jc w:val="left"/>
              <w:rPr>
                <w:rFonts w:ascii="Arial Narrow" w:hAnsi="Arial Narrow"/>
                <w:szCs w:val="20"/>
              </w:rPr>
            </w:pPr>
            <w:r w:rsidRPr="0077417F">
              <w:rPr>
                <w:rFonts w:ascii="Arial Narrow" w:hAnsi="Arial Narrow"/>
                <w:szCs w:val="20"/>
              </w:rPr>
              <w:t>Emergency Overseas Health Care</w:t>
            </w:r>
          </w:p>
        </w:tc>
        <w:tc>
          <w:tcPr>
            <w:tcW w:w="6186" w:type="dxa"/>
          </w:tcPr>
          <w:p w14:paraId="4719FF9A" w14:textId="77777777" w:rsidR="0014181A" w:rsidRPr="0077417F" w:rsidRDefault="0014181A" w:rsidP="0014181A">
            <w:pPr>
              <w:spacing w:after="120"/>
              <w:rPr>
                <w:rFonts w:ascii="Arial Narrow" w:hAnsi="Arial Narrow"/>
                <w:szCs w:val="20"/>
              </w:rPr>
            </w:pPr>
            <w:r w:rsidRPr="0077417F">
              <w:rPr>
                <w:rFonts w:ascii="Arial Narrow" w:hAnsi="Arial Narrow"/>
                <w:szCs w:val="20"/>
              </w:rPr>
              <w:t>For a service not covered under Medicare while the employee is an overseas employee</w:t>
            </w:r>
          </w:p>
        </w:tc>
      </w:tr>
      <w:tr w:rsidR="0014181A" w14:paraId="575CEA1B" w14:textId="77777777" w:rsidTr="0014181A">
        <w:tc>
          <w:tcPr>
            <w:tcW w:w="2830" w:type="dxa"/>
            <w:shd w:val="clear" w:color="auto" w:fill="D9D9D9" w:themeFill="background1" w:themeFillShade="D9"/>
          </w:tcPr>
          <w:p w14:paraId="0F8E5DAA" w14:textId="77777777" w:rsidR="0014181A" w:rsidRPr="0077417F" w:rsidRDefault="0014181A" w:rsidP="0014181A">
            <w:pPr>
              <w:spacing w:after="120"/>
              <w:rPr>
                <w:rFonts w:ascii="Arial Narrow" w:hAnsi="Arial Narrow"/>
                <w:szCs w:val="20"/>
              </w:rPr>
            </w:pPr>
            <w:r w:rsidRPr="0077417F">
              <w:rPr>
                <w:rFonts w:ascii="Arial Narrow" w:hAnsi="Arial Narrow"/>
                <w:szCs w:val="20"/>
              </w:rPr>
              <w:t>Certain benefits to Police and Defence Force personnel</w:t>
            </w:r>
          </w:p>
        </w:tc>
        <w:tc>
          <w:tcPr>
            <w:tcW w:w="6186" w:type="dxa"/>
          </w:tcPr>
          <w:p w14:paraId="63ABF82E" w14:textId="77777777" w:rsidR="0014181A" w:rsidRPr="0077417F" w:rsidRDefault="0014181A" w:rsidP="0014181A">
            <w:pPr>
              <w:spacing w:after="120"/>
              <w:rPr>
                <w:rFonts w:ascii="Arial Narrow" w:hAnsi="Arial Narrow"/>
                <w:szCs w:val="20"/>
              </w:rPr>
            </w:pPr>
            <w:r>
              <w:rPr>
                <w:rFonts w:ascii="Arial Narrow" w:hAnsi="Arial Narrow"/>
                <w:szCs w:val="20"/>
              </w:rPr>
              <w:t>-</w:t>
            </w:r>
          </w:p>
        </w:tc>
      </w:tr>
    </w:tbl>
    <w:p w14:paraId="228DEF24" w14:textId="77777777" w:rsidR="0014181A" w:rsidRDefault="0014181A" w:rsidP="0014181A">
      <w:pPr>
        <w:spacing w:after="120"/>
        <w:rPr>
          <w:color w:val="002060"/>
          <w:sz w:val="24"/>
        </w:rPr>
      </w:pPr>
    </w:p>
    <w:p w14:paraId="3A1C100B" w14:textId="77777777" w:rsidR="0014181A" w:rsidRPr="002005BD" w:rsidRDefault="0014181A" w:rsidP="0014181A">
      <w:pPr>
        <w:spacing w:after="120"/>
        <w:rPr>
          <w:color w:val="002060"/>
          <w:sz w:val="24"/>
        </w:rPr>
      </w:pPr>
      <w:r w:rsidRPr="002005BD">
        <w:rPr>
          <w:color w:val="002060"/>
          <w:sz w:val="24"/>
        </w:rPr>
        <w:t xml:space="preserve">Claiming </w:t>
      </w:r>
      <w:r>
        <w:rPr>
          <w:color w:val="002060"/>
          <w:sz w:val="24"/>
        </w:rPr>
        <w:t xml:space="preserve">the value of a </w:t>
      </w:r>
      <w:r w:rsidRPr="002005BD">
        <w:rPr>
          <w:color w:val="002060"/>
          <w:sz w:val="24"/>
        </w:rPr>
        <w:t>Car</w:t>
      </w:r>
    </w:p>
    <w:p w14:paraId="61A05946" w14:textId="77777777" w:rsidR="0014181A" w:rsidRDefault="0014181A" w:rsidP="0014181A">
      <w:pPr>
        <w:spacing w:after="120"/>
      </w:pPr>
      <w:r>
        <w:t>There are two methods that can be used by an employer:</w:t>
      </w:r>
    </w:p>
    <w:p w14:paraId="5F8DC61E" w14:textId="3359985B" w:rsidR="0014181A" w:rsidRDefault="003F20CA" w:rsidP="00E24B15">
      <w:pPr>
        <w:pStyle w:val="ListParagraph"/>
        <w:numPr>
          <w:ilvl w:val="0"/>
          <w:numId w:val="38"/>
        </w:numPr>
        <w:spacing w:after="120"/>
        <w:contextualSpacing/>
      </w:pPr>
      <w:r>
        <w:t>Flat s</w:t>
      </w:r>
      <w:r w:rsidR="0014181A">
        <w:t xml:space="preserve">tatutory </w:t>
      </w:r>
      <w:r>
        <w:t xml:space="preserve">rate of </w:t>
      </w:r>
      <w:commentRangeStart w:id="28"/>
      <w:r>
        <w:t>20</w:t>
      </w:r>
      <w:commentRangeEnd w:id="28"/>
      <w:r>
        <w:rPr>
          <w:rStyle w:val="CommentReference"/>
          <w:color w:val="auto"/>
          <w:lang w:val="en-AU" w:eastAsia="ja-JP"/>
        </w:rPr>
        <w:commentReference w:id="28"/>
      </w:r>
      <w:r>
        <w:t>%</w:t>
      </w:r>
    </w:p>
    <w:p w14:paraId="5CF6581F" w14:textId="77777777" w:rsidR="0014181A" w:rsidRDefault="0014181A" w:rsidP="00E24B15">
      <w:pPr>
        <w:pStyle w:val="ListParagraph"/>
        <w:numPr>
          <w:ilvl w:val="0"/>
          <w:numId w:val="38"/>
        </w:numPr>
        <w:spacing w:after="120"/>
        <w:contextualSpacing/>
      </w:pPr>
      <w:r>
        <w:t>Operating Cost ($X):   $X * (100% -Business Use Percentage) – Recipient Payment</w:t>
      </w:r>
    </w:p>
    <w:p w14:paraId="719F7453" w14:textId="77777777" w:rsidR="0014181A" w:rsidRDefault="0014181A" w:rsidP="0014181A">
      <w:pPr>
        <w:pStyle w:val="ListParagraph"/>
        <w:spacing w:after="120"/>
      </w:pPr>
      <w:r>
        <w:t>Which requires that a Logbook is kept for 12 weeks in the first year and then every five years thereafter</w:t>
      </w:r>
    </w:p>
    <w:p w14:paraId="0D3E96E8" w14:textId="77777777" w:rsidR="0014181A" w:rsidRPr="008066B6" w:rsidRDefault="0014181A" w:rsidP="0014181A">
      <w:pPr>
        <w:spacing w:after="120"/>
        <w:rPr>
          <w:color w:val="002060"/>
          <w:sz w:val="24"/>
        </w:rPr>
      </w:pPr>
      <w:r w:rsidRPr="008066B6">
        <w:rPr>
          <w:color w:val="002060"/>
          <w:sz w:val="24"/>
        </w:rPr>
        <w:t>Providing a Loan</w:t>
      </w:r>
    </w:p>
    <w:p w14:paraId="352FF469" w14:textId="77777777" w:rsidR="0014181A" w:rsidRDefault="0014181A" w:rsidP="0014181A">
      <w:pPr>
        <w:spacing w:after="120"/>
      </w:pPr>
      <w:r>
        <w:t xml:space="preserve">A loan is classed as a fringe benefit if it is provided ‘in respect of the employment of the employee’. It can include an inadvertent overpayment of salary that is not repaid or for which the employer allows a deferred repayment. </w:t>
      </w:r>
    </w:p>
    <w:p w14:paraId="0BC0277B" w14:textId="29CF7FD2" w:rsidR="0014181A" w:rsidRDefault="0099581F" w:rsidP="0014181A">
      <w:pPr>
        <w:spacing w:after="120"/>
      </w:pPr>
      <w:r>
        <w:t>However,</w:t>
      </w:r>
      <w:r w:rsidR="0014181A">
        <w:t xml:space="preserve"> if the employee in under no obligation to repay, it is FBT exempt. </w:t>
      </w:r>
    </w:p>
    <w:p w14:paraId="65B74A29" w14:textId="77777777" w:rsidR="0014181A" w:rsidRPr="008066B6" w:rsidRDefault="0014181A" w:rsidP="0014181A">
      <w:pPr>
        <w:spacing w:after="120"/>
      </w:pPr>
      <w:r>
        <w:t>If the benefit is valued at less than $300, the overpayment is exempt.</w:t>
      </w:r>
    </w:p>
    <w:p w14:paraId="43A4F4BD" w14:textId="099BF785" w:rsidR="0014181A" w:rsidRDefault="0014181A" w:rsidP="0014181A">
      <w:pPr>
        <w:spacing w:after="120"/>
      </w:pPr>
    </w:p>
    <w:p w14:paraId="3F735D2B" w14:textId="47CA08C5" w:rsidR="0070304F" w:rsidRDefault="0070304F" w:rsidP="0014181A">
      <w:pPr>
        <w:spacing w:after="120"/>
      </w:pPr>
    </w:p>
    <w:p w14:paraId="2CBF58B7" w14:textId="43BB3494" w:rsidR="0070304F" w:rsidRDefault="0070304F" w:rsidP="0014181A">
      <w:pPr>
        <w:spacing w:after="120"/>
      </w:pPr>
    </w:p>
    <w:p w14:paraId="7FDCF245" w14:textId="5A473F78" w:rsidR="0070304F" w:rsidRDefault="0070304F" w:rsidP="0014181A">
      <w:pPr>
        <w:spacing w:after="120"/>
      </w:pPr>
    </w:p>
    <w:p w14:paraId="7A5AC8EA" w14:textId="07DAAF8C" w:rsidR="0070304F" w:rsidRDefault="0070304F" w:rsidP="0014181A">
      <w:pPr>
        <w:spacing w:after="120"/>
      </w:pPr>
    </w:p>
    <w:p w14:paraId="6B8D4F1F" w14:textId="27213A1F" w:rsidR="0070304F" w:rsidRDefault="0070304F" w:rsidP="0014181A">
      <w:pPr>
        <w:spacing w:after="120"/>
      </w:pPr>
    </w:p>
    <w:p w14:paraId="40BF736E" w14:textId="0BBC1755" w:rsidR="0070304F" w:rsidRDefault="0070304F" w:rsidP="0014181A">
      <w:pPr>
        <w:spacing w:after="120"/>
      </w:pPr>
    </w:p>
    <w:p w14:paraId="49D7DF96" w14:textId="79A950CF" w:rsidR="0070304F" w:rsidRDefault="0070304F" w:rsidP="0014181A">
      <w:pPr>
        <w:spacing w:after="120"/>
      </w:pPr>
    </w:p>
    <w:p w14:paraId="6F8E14CD" w14:textId="38C0E333" w:rsidR="0070304F" w:rsidRDefault="0070304F" w:rsidP="0014181A">
      <w:pPr>
        <w:spacing w:after="120"/>
      </w:pPr>
    </w:p>
    <w:p w14:paraId="5AD8F690" w14:textId="5077E6C0" w:rsidR="0070304F" w:rsidRDefault="0070304F" w:rsidP="0014181A">
      <w:pPr>
        <w:spacing w:after="120"/>
      </w:pPr>
    </w:p>
    <w:p w14:paraId="22DC37EE" w14:textId="755A79AD" w:rsidR="0070304F" w:rsidRDefault="0070304F" w:rsidP="0014181A">
      <w:pPr>
        <w:spacing w:after="120"/>
      </w:pPr>
    </w:p>
    <w:p w14:paraId="2A4DDB71" w14:textId="77777777" w:rsidR="0014181A" w:rsidRDefault="0014181A" w:rsidP="0014181A"/>
    <w:p w14:paraId="07E83D4B" w14:textId="77777777" w:rsidR="0014181A" w:rsidRPr="005C1A27" w:rsidRDefault="0014181A" w:rsidP="0014181A">
      <w:pPr>
        <w:pStyle w:val="Instructions"/>
        <w:rPr>
          <w:highlight w:val="yellow"/>
        </w:rPr>
      </w:pPr>
      <w:r w:rsidRPr="005C1A27">
        <w:rPr>
          <w:highlight w:val="yellow"/>
        </w:rPr>
        <w:lastRenderedPageBreak/>
        <w:t xml:space="preserve">For </w:t>
      </w:r>
      <w:r>
        <w:rPr>
          <w:highlight w:val="yellow"/>
        </w:rPr>
        <w:t xml:space="preserve">advice which includes </w:t>
      </w:r>
      <w:r w:rsidRPr="005C1A27">
        <w:rPr>
          <w:highlight w:val="yellow"/>
        </w:rPr>
        <w:t>risk</w:t>
      </w:r>
      <w:r>
        <w:rPr>
          <w:highlight w:val="yellow"/>
        </w:rPr>
        <w:t xml:space="preserve"> insurance solutions, please</w:t>
      </w:r>
      <w:r w:rsidRPr="005C1A27">
        <w:rPr>
          <w:highlight w:val="yellow"/>
        </w:rPr>
        <w:t xml:space="preserve"> include</w:t>
      </w:r>
      <w:r>
        <w:rPr>
          <w:highlight w:val="yellow"/>
        </w:rPr>
        <w:t xml:space="preserve"> all the below noted items.</w:t>
      </w:r>
    </w:p>
    <w:p w14:paraId="73842568" w14:textId="77777777" w:rsidR="0014181A" w:rsidRPr="00ED1317" w:rsidRDefault="0014181A" w:rsidP="0014181A">
      <w:pPr>
        <w:pStyle w:val="Instructions"/>
        <w:ind w:left="0" w:hanging="284"/>
        <w:rPr>
          <w:highlight w:val="yellow"/>
        </w:rPr>
      </w:pPr>
      <w:r w:rsidRPr="00ED1317">
        <w:rPr>
          <w:highlight w:val="yellow"/>
        </w:rPr>
        <w:t>Risk Needs Analysis (if d</w:t>
      </w:r>
      <w:r>
        <w:rPr>
          <w:highlight w:val="yellow"/>
        </w:rPr>
        <w:t>one and if not included in the Insurance R</w:t>
      </w:r>
      <w:r w:rsidRPr="00ED1317">
        <w:rPr>
          <w:highlight w:val="yellow"/>
        </w:rPr>
        <w:t>ecommendations section</w:t>
      </w:r>
      <w:r>
        <w:rPr>
          <w:highlight w:val="yellow"/>
        </w:rPr>
        <w:t xml:space="preserve"> of the </w:t>
      </w:r>
      <w:proofErr w:type="spellStart"/>
      <w:r>
        <w:rPr>
          <w:highlight w:val="yellow"/>
        </w:rPr>
        <w:t>SoA</w:t>
      </w:r>
      <w:proofErr w:type="spellEnd"/>
      <w:r>
        <w:rPr>
          <w:highlight w:val="yellow"/>
        </w:rPr>
        <w:t xml:space="preserve"> body.</w:t>
      </w:r>
    </w:p>
    <w:p w14:paraId="2F9C0BB5" w14:textId="45D81E3D" w:rsidR="0014181A" w:rsidRPr="00ED1317" w:rsidRDefault="0014181A" w:rsidP="0014181A">
      <w:pPr>
        <w:pStyle w:val="Instructions"/>
        <w:ind w:left="0" w:hanging="284"/>
        <w:rPr>
          <w:highlight w:val="yellow"/>
        </w:rPr>
      </w:pPr>
      <w:r w:rsidRPr="00ED1317">
        <w:rPr>
          <w:highlight w:val="yellow"/>
        </w:rPr>
        <w:t xml:space="preserve">Copy of </w:t>
      </w:r>
      <w:r>
        <w:rPr>
          <w:highlight w:val="yellow"/>
        </w:rPr>
        <w:t xml:space="preserve">recommended </w:t>
      </w:r>
      <w:r w:rsidRPr="00ED1317">
        <w:rPr>
          <w:highlight w:val="yellow"/>
        </w:rPr>
        <w:t>premium quote</w:t>
      </w:r>
      <w:r>
        <w:rPr>
          <w:highlight w:val="yellow"/>
        </w:rPr>
        <w:t xml:space="preserve"> as a minimum and ideally two other </w:t>
      </w:r>
      <w:r w:rsidR="0099581F">
        <w:rPr>
          <w:highlight w:val="yellow"/>
        </w:rPr>
        <w:t>quotes</w:t>
      </w:r>
      <w:r>
        <w:rPr>
          <w:highlight w:val="yellow"/>
        </w:rPr>
        <w:t xml:space="preserve"> as examples of the due diligence done.</w:t>
      </w:r>
    </w:p>
    <w:p w14:paraId="1079DB39" w14:textId="77777777" w:rsidR="0014181A" w:rsidRPr="00ED1317" w:rsidRDefault="0014181A" w:rsidP="0014181A">
      <w:pPr>
        <w:pStyle w:val="Instructions"/>
        <w:ind w:left="0" w:hanging="284"/>
        <w:rPr>
          <w:highlight w:val="yellow"/>
        </w:rPr>
      </w:pPr>
      <w:r w:rsidRPr="00ED1317">
        <w:rPr>
          <w:highlight w:val="yellow"/>
        </w:rPr>
        <w:t>Copy of policy features</w:t>
      </w:r>
      <w:r>
        <w:rPr>
          <w:highlight w:val="yellow"/>
        </w:rPr>
        <w:t xml:space="preserve"> for the product being recommended.</w:t>
      </w:r>
    </w:p>
    <w:p w14:paraId="2DDBE396" w14:textId="77777777" w:rsidR="0014181A" w:rsidRPr="00ED1317" w:rsidRDefault="0014181A" w:rsidP="0014181A">
      <w:pPr>
        <w:pStyle w:val="Instructions"/>
        <w:ind w:left="0" w:hanging="284"/>
        <w:rPr>
          <w:highlight w:val="yellow"/>
        </w:rPr>
      </w:pPr>
      <w:r w:rsidRPr="00ED1317">
        <w:rPr>
          <w:highlight w:val="yellow"/>
        </w:rPr>
        <w:t>Copy of level versus stepped premium (if needed)</w:t>
      </w:r>
      <w:r>
        <w:rPr>
          <w:highlight w:val="yellow"/>
        </w:rPr>
        <w:t>.</w:t>
      </w:r>
    </w:p>
    <w:p w14:paraId="67B6CF13" w14:textId="77777777" w:rsidR="0014181A" w:rsidRDefault="0014181A">
      <w:pPr>
        <w:pStyle w:val="Heading1"/>
        <w:sectPr w:rsidR="0014181A" w:rsidSect="0014181A">
          <w:footerReference w:type="default" r:id="rId12"/>
          <w:pgSz w:w="11906" w:h="16838" w:code="9"/>
          <w:pgMar w:top="1134" w:right="1134" w:bottom="1134" w:left="1134" w:header="567" w:footer="567" w:gutter="0"/>
          <w:cols w:space="708"/>
          <w:docGrid w:linePitch="360"/>
        </w:sectPr>
      </w:pPr>
    </w:p>
    <w:p w14:paraId="6B330715" w14:textId="77777777" w:rsidR="0014181A" w:rsidRDefault="0014181A">
      <w:pPr>
        <w:pStyle w:val="Heading1"/>
      </w:pPr>
      <w:bookmarkStart w:id="29" w:name="_Toc489275732"/>
      <w:bookmarkStart w:id="30" w:name="_Toc4151630"/>
      <w:bookmarkStart w:id="31" w:name="_Toc6216219"/>
      <w:bookmarkStart w:id="32" w:name="_Toc24635590"/>
      <w:bookmarkStart w:id="33" w:name="_Toc46234256"/>
      <w:r>
        <w:t>Background to Insurance Recommendations</w:t>
      </w:r>
      <w:bookmarkEnd w:id="29"/>
      <w:bookmarkEnd w:id="30"/>
      <w:bookmarkEnd w:id="31"/>
      <w:bookmarkEnd w:id="32"/>
      <w:bookmarkEnd w:id="33"/>
    </w:p>
    <w:p w14:paraId="30EC726A" w14:textId="77777777" w:rsidR="0014181A" w:rsidRPr="003D721F" w:rsidRDefault="0014181A" w:rsidP="0014181A">
      <w:pPr>
        <w:pStyle w:val="Heading2"/>
      </w:pPr>
      <w:bookmarkStart w:id="34" w:name="_Toc367292277"/>
      <w:bookmarkStart w:id="35" w:name="_Toc489275733"/>
      <w:bookmarkStart w:id="36" w:name="_Toc4151631"/>
      <w:bookmarkStart w:id="37" w:name="_Toc24635591"/>
      <w:bookmarkStart w:id="38" w:name="_Toc46234257"/>
      <w:r>
        <w:t xml:space="preserve">Risk </w:t>
      </w:r>
      <w:r w:rsidRPr="003D721F">
        <w:t>Needs Analysis</w:t>
      </w:r>
      <w:bookmarkEnd w:id="34"/>
      <w:bookmarkEnd w:id="35"/>
      <w:bookmarkEnd w:id="36"/>
      <w:bookmarkEnd w:id="37"/>
      <w:bookmarkEnd w:id="38"/>
    </w:p>
    <w:p w14:paraId="79EE19E8" w14:textId="77777777" w:rsidR="0014181A" w:rsidRPr="00646A01" w:rsidRDefault="0014181A" w:rsidP="0014181A"/>
    <w:tbl>
      <w:tblPr>
        <w:tblW w:w="5000" w:type="pct"/>
        <w:tblLayout w:type="fixed"/>
        <w:tblLook w:val="0000" w:firstRow="0" w:lastRow="0" w:firstColumn="0" w:lastColumn="0" w:noHBand="0" w:noVBand="0"/>
      </w:tblPr>
      <w:tblGrid>
        <w:gridCol w:w="2875"/>
        <w:gridCol w:w="1350"/>
        <w:gridCol w:w="1350"/>
        <w:gridCol w:w="1349"/>
        <w:gridCol w:w="1349"/>
        <w:gridCol w:w="1365"/>
      </w:tblGrid>
      <w:tr w:rsidR="0014181A" w14:paraId="7F4D987C" w14:textId="77777777" w:rsidTr="0014181A">
        <w:tc>
          <w:tcPr>
            <w:tcW w:w="1491" w:type="pct"/>
            <w:tcBorders>
              <w:top w:val="single" w:sz="2" w:space="0" w:color="808080"/>
              <w:bottom w:val="single" w:sz="2" w:space="0" w:color="808080"/>
              <w:right w:val="single" w:sz="24" w:space="0" w:color="FFFFFF"/>
            </w:tcBorders>
            <w:shd w:val="clear" w:color="auto" w:fill="BFBFBF"/>
            <w:vAlign w:val="center"/>
          </w:tcPr>
          <w:p w14:paraId="3E64CB79" w14:textId="77777777" w:rsidR="0014181A" w:rsidRDefault="0014181A" w:rsidP="0014181A">
            <w:pPr>
              <w:pStyle w:val="TableHeader2"/>
            </w:pPr>
            <w:r>
              <w:t>Requirement</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3BDEB3E7" w14:textId="77777777" w:rsidR="0014181A" w:rsidRPr="00582024" w:rsidRDefault="0014181A" w:rsidP="0014181A">
            <w:pPr>
              <w:spacing w:after="120"/>
              <w:jc w:val="center"/>
            </w:pPr>
            <w:r w:rsidRPr="00582024">
              <w:rPr>
                <w:rFonts w:ascii="Arial Narrow" w:hAnsi="Arial Narrow"/>
                <w:b/>
              </w:rPr>
              <w:t>Life</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9A881AD" w14:textId="77777777" w:rsidR="0014181A" w:rsidRPr="00582024" w:rsidRDefault="0014181A" w:rsidP="0014181A">
            <w:pPr>
              <w:spacing w:after="120"/>
              <w:jc w:val="center"/>
            </w:pPr>
            <w:r w:rsidRPr="00582024">
              <w:rPr>
                <w:rFonts w:ascii="Arial Narrow" w:hAnsi="Arial Narrow"/>
                <w:b/>
              </w:rPr>
              <w:t>TPD</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083C51C" w14:textId="77777777" w:rsidR="0014181A" w:rsidRPr="00582024" w:rsidRDefault="0014181A" w:rsidP="0014181A">
            <w:pPr>
              <w:spacing w:after="120"/>
              <w:jc w:val="center"/>
            </w:pPr>
            <w:r w:rsidRPr="00582024">
              <w:rPr>
                <w:rFonts w:ascii="Arial Narrow" w:hAnsi="Arial Narrow"/>
                <w:b/>
              </w:rPr>
              <w:t>Trauma</w:t>
            </w:r>
          </w:p>
        </w:tc>
        <w:tc>
          <w:tcPr>
            <w:tcW w:w="7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A2D6EEE" w14:textId="77777777" w:rsidR="0014181A" w:rsidRPr="00582024" w:rsidRDefault="0014181A" w:rsidP="0014181A">
            <w:pPr>
              <w:spacing w:after="120"/>
              <w:jc w:val="center"/>
            </w:pPr>
            <w:r w:rsidRPr="00582024">
              <w:rPr>
                <w:rFonts w:ascii="Arial Narrow" w:hAnsi="Arial Narrow"/>
                <w:b/>
              </w:rPr>
              <w:t>Income</w:t>
            </w:r>
          </w:p>
          <w:p w14:paraId="1C057D4D" w14:textId="77777777" w:rsidR="0014181A" w:rsidRPr="00582024" w:rsidRDefault="0014181A" w:rsidP="0014181A">
            <w:pPr>
              <w:spacing w:after="120"/>
              <w:jc w:val="center"/>
            </w:pPr>
            <w:r w:rsidRPr="00582024">
              <w:rPr>
                <w:rFonts w:ascii="Arial Narrow" w:hAnsi="Arial Narrow"/>
                <w:b/>
              </w:rPr>
              <w:t>Protection pa</w:t>
            </w:r>
          </w:p>
        </w:tc>
        <w:tc>
          <w:tcPr>
            <w:tcW w:w="708" w:type="pct"/>
            <w:tcBorders>
              <w:top w:val="single" w:sz="2" w:space="0" w:color="808080"/>
              <w:left w:val="single" w:sz="24" w:space="0" w:color="FFFFFF"/>
              <w:bottom w:val="single" w:sz="2" w:space="0" w:color="808080"/>
            </w:tcBorders>
            <w:shd w:val="clear" w:color="auto" w:fill="BFBFBF"/>
            <w:vAlign w:val="center"/>
          </w:tcPr>
          <w:p w14:paraId="19A4B3F0" w14:textId="77777777" w:rsidR="0014181A" w:rsidRPr="00582024" w:rsidRDefault="0014181A" w:rsidP="0014181A">
            <w:pPr>
              <w:spacing w:after="120"/>
              <w:jc w:val="center"/>
            </w:pPr>
            <w:r w:rsidRPr="00582024">
              <w:rPr>
                <w:rFonts w:ascii="Arial Narrow" w:hAnsi="Arial Narrow"/>
                <w:b/>
              </w:rPr>
              <w:t>Business</w:t>
            </w:r>
          </w:p>
          <w:p w14:paraId="5E97C42B" w14:textId="77777777" w:rsidR="0014181A" w:rsidRPr="00582024" w:rsidRDefault="0014181A" w:rsidP="0014181A">
            <w:pPr>
              <w:spacing w:after="120"/>
              <w:jc w:val="center"/>
            </w:pPr>
            <w:r w:rsidRPr="00582024">
              <w:rPr>
                <w:rFonts w:ascii="Arial Narrow" w:hAnsi="Arial Narrow"/>
                <w:b/>
              </w:rPr>
              <w:t>Expenses pa</w:t>
            </w:r>
          </w:p>
        </w:tc>
      </w:tr>
      <w:tr w:rsidR="0014181A" w14:paraId="4514A867" w14:textId="77777777" w:rsidTr="0014181A">
        <w:tc>
          <w:tcPr>
            <w:tcW w:w="1491" w:type="pct"/>
            <w:tcBorders>
              <w:right w:val="single" w:sz="24" w:space="0" w:color="FFFFFF"/>
            </w:tcBorders>
            <w:shd w:val="clear" w:color="auto" w:fill="auto"/>
          </w:tcPr>
          <w:p w14:paraId="5EDFB858" w14:textId="77777777" w:rsidR="0014181A" w:rsidRPr="00582024" w:rsidRDefault="0014181A" w:rsidP="0014181A">
            <w:pPr>
              <w:pStyle w:val="TableText-LeftBold"/>
            </w:pPr>
            <w:r w:rsidRPr="00582024">
              <w:t>Capital Requirements</w:t>
            </w:r>
          </w:p>
        </w:tc>
        <w:tc>
          <w:tcPr>
            <w:tcW w:w="700" w:type="pct"/>
            <w:tcBorders>
              <w:top w:val="single" w:sz="2" w:space="0" w:color="808080"/>
              <w:left w:val="single" w:sz="24" w:space="0" w:color="FFFFFF"/>
              <w:right w:val="single" w:sz="24" w:space="0" w:color="FFFFFF"/>
            </w:tcBorders>
            <w:shd w:val="clear" w:color="auto" w:fill="auto"/>
          </w:tcPr>
          <w:p w14:paraId="47AFE601" w14:textId="77777777" w:rsidR="0014181A" w:rsidRDefault="0014181A" w:rsidP="0014181A">
            <w:pPr>
              <w:pStyle w:val="TableText-LeftBold"/>
            </w:pPr>
          </w:p>
        </w:tc>
        <w:tc>
          <w:tcPr>
            <w:tcW w:w="700" w:type="pct"/>
            <w:tcBorders>
              <w:top w:val="single" w:sz="2" w:space="0" w:color="808080"/>
              <w:left w:val="single" w:sz="24" w:space="0" w:color="FFFFFF"/>
              <w:right w:val="single" w:sz="24" w:space="0" w:color="FFFFFF"/>
            </w:tcBorders>
            <w:shd w:val="clear" w:color="auto" w:fill="auto"/>
          </w:tcPr>
          <w:p w14:paraId="42178CA1" w14:textId="77777777" w:rsidR="0014181A" w:rsidRDefault="0014181A" w:rsidP="0014181A">
            <w:pPr>
              <w:pStyle w:val="TableText-LeftBold"/>
            </w:pPr>
          </w:p>
        </w:tc>
        <w:tc>
          <w:tcPr>
            <w:tcW w:w="700" w:type="pct"/>
            <w:tcBorders>
              <w:top w:val="single" w:sz="2" w:space="0" w:color="808080"/>
              <w:left w:val="single" w:sz="24" w:space="0" w:color="FFFFFF"/>
              <w:right w:val="single" w:sz="24" w:space="0" w:color="FFFFFF"/>
            </w:tcBorders>
            <w:shd w:val="clear" w:color="auto" w:fill="auto"/>
          </w:tcPr>
          <w:p w14:paraId="1C7AD548" w14:textId="77777777" w:rsidR="0014181A" w:rsidRDefault="0014181A" w:rsidP="0014181A">
            <w:pPr>
              <w:pStyle w:val="TableText-LeftBold"/>
            </w:pPr>
          </w:p>
        </w:tc>
        <w:tc>
          <w:tcPr>
            <w:tcW w:w="700" w:type="pct"/>
            <w:tcBorders>
              <w:top w:val="single" w:sz="2" w:space="0" w:color="808080"/>
              <w:left w:val="single" w:sz="24" w:space="0" w:color="FFFFFF"/>
              <w:right w:val="single" w:sz="24" w:space="0" w:color="FFFFFF"/>
            </w:tcBorders>
            <w:shd w:val="clear" w:color="auto" w:fill="auto"/>
          </w:tcPr>
          <w:p w14:paraId="2F54E800" w14:textId="77777777" w:rsidR="0014181A" w:rsidRDefault="0014181A" w:rsidP="0014181A">
            <w:pPr>
              <w:pStyle w:val="TableText-LeftBold"/>
            </w:pPr>
          </w:p>
        </w:tc>
        <w:tc>
          <w:tcPr>
            <w:tcW w:w="708" w:type="pct"/>
            <w:tcBorders>
              <w:top w:val="single" w:sz="2" w:space="0" w:color="808080"/>
              <w:left w:val="single" w:sz="24" w:space="0" w:color="FFFFFF"/>
            </w:tcBorders>
            <w:shd w:val="clear" w:color="auto" w:fill="auto"/>
          </w:tcPr>
          <w:p w14:paraId="67550E5B" w14:textId="77777777" w:rsidR="0014181A" w:rsidRDefault="0014181A" w:rsidP="0014181A">
            <w:pPr>
              <w:pStyle w:val="TableText-LeftBold"/>
            </w:pPr>
          </w:p>
        </w:tc>
      </w:tr>
      <w:tr w:rsidR="0014181A" w14:paraId="50D46168" w14:textId="77777777" w:rsidTr="0014181A">
        <w:tc>
          <w:tcPr>
            <w:tcW w:w="1491" w:type="pct"/>
            <w:tcBorders>
              <w:bottom w:val="single" w:sz="2" w:space="0" w:color="808080"/>
              <w:right w:val="single" w:sz="24" w:space="0" w:color="FFFFFF"/>
            </w:tcBorders>
            <w:shd w:val="clear" w:color="auto" w:fill="auto"/>
          </w:tcPr>
          <w:p w14:paraId="448D4E1C"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Liabilities to Clear</w:t>
            </w:r>
          </w:p>
        </w:tc>
        <w:tc>
          <w:tcPr>
            <w:tcW w:w="700" w:type="pct"/>
            <w:tcBorders>
              <w:left w:val="single" w:sz="24" w:space="0" w:color="FFFFFF"/>
              <w:bottom w:val="single" w:sz="2" w:space="0" w:color="808080"/>
              <w:right w:val="single" w:sz="24" w:space="0" w:color="FFFFFF"/>
            </w:tcBorders>
            <w:shd w:val="clear" w:color="auto" w:fill="auto"/>
          </w:tcPr>
          <w:p w14:paraId="7BFA6814"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5077B449"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1B4C3973"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5644BDF4"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263816EE" w14:textId="77777777" w:rsidR="0014181A" w:rsidRPr="00582024" w:rsidRDefault="0014181A" w:rsidP="0014181A">
            <w:pPr>
              <w:pStyle w:val="TableText-Right"/>
              <w:rPr>
                <w:color w:val="FF0000"/>
              </w:rPr>
            </w:pPr>
          </w:p>
        </w:tc>
      </w:tr>
      <w:tr w:rsidR="0014181A" w14:paraId="6074C637" w14:textId="77777777" w:rsidTr="0014181A">
        <w:tc>
          <w:tcPr>
            <w:tcW w:w="1491" w:type="pct"/>
            <w:tcBorders>
              <w:top w:val="single" w:sz="2" w:space="0" w:color="808080"/>
              <w:bottom w:val="single" w:sz="2" w:space="0" w:color="808080"/>
              <w:right w:val="single" w:sz="24" w:space="0" w:color="FFFFFF"/>
            </w:tcBorders>
            <w:shd w:val="clear" w:color="auto" w:fill="auto"/>
          </w:tcPr>
          <w:p w14:paraId="7EA9AE6A"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Future Expenditure Required</w:t>
            </w:r>
            <w:r>
              <w:rPr>
                <w:rFonts w:ascii="Calibri" w:hAnsi="Calibri" w:cs="Times New Roman"/>
                <w:color w:val="000000"/>
                <w:szCs w:val="24"/>
              </w:rPr>
              <w:t xml:space="preserve"> </w:t>
            </w:r>
            <w:r w:rsidRPr="00906D6A">
              <w:rPr>
                <w:rFonts w:ascii="Calibri" w:hAnsi="Calibri" w:cs="Times New Roman"/>
                <w:color w:val="000000"/>
                <w:szCs w:val="24"/>
                <w:vertAlign w:val="superscript"/>
              </w:rPr>
              <w:t>(1)</w:t>
            </w:r>
            <w:r>
              <w:rPr>
                <w:rFonts w:ascii="Calibri" w:hAnsi="Calibri" w:cs="Times New Roman"/>
                <w:color w:val="000000"/>
                <w:szCs w:val="24"/>
              </w:rPr>
              <w:t xml:space="preserve"> </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E951E54"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9B9663D"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8941750"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44F3A26"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3E766E5D" w14:textId="77777777" w:rsidR="0014181A" w:rsidRPr="00582024" w:rsidRDefault="0014181A" w:rsidP="0014181A">
            <w:pPr>
              <w:pStyle w:val="TableText-Right"/>
              <w:rPr>
                <w:color w:val="FF0000"/>
              </w:rPr>
            </w:pPr>
          </w:p>
        </w:tc>
      </w:tr>
      <w:tr w:rsidR="0014181A" w14:paraId="10625A59" w14:textId="77777777" w:rsidTr="0014181A">
        <w:tc>
          <w:tcPr>
            <w:tcW w:w="1491" w:type="pct"/>
            <w:tcBorders>
              <w:top w:val="single" w:sz="2" w:space="0" w:color="808080"/>
              <w:bottom w:val="single" w:sz="2" w:space="0" w:color="808080"/>
              <w:right w:val="single" w:sz="24" w:space="0" w:color="FFFFFF"/>
            </w:tcBorders>
            <w:shd w:val="clear" w:color="auto" w:fill="auto"/>
          </w:tcPr>
          <w:p w14:paraId="7AE5236A"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Future Education Expenses</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38C87E1"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1458BA6"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40B08AA"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65845CB"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537A2821" w14:textId="77777777" w:rsidR="0014181A" w:rsidRPr="00582024" w:rsidRDefault="0014181A" w:rsidP="0014181A">
            <w:pPr>
              <w:pStyle w:val="TableText-Right"/>
              <w:rPr>
                <w:color w:val="FF0000"/>
              </w:rPr>
            </w:pPr>
          </w:p>
        </w:tc>
      </w:tr>
      <w:tr w:rsidR="0014181A" w14:paraId="6D7F8E4F" w14:textId="77777777" w:rsidTr="0014181A">
        <w:tc>
          <w:tcPr>
            <w:tcW w:w="1491" w:type="pct"/>
            <w:tcBorders>
              <w:top w:val="single" w:sz="2" w:space="0" w:color="808080"/>
              <w:bottom w:val="single" w:sz="2" w:space="0" w:color="808080"/>
              <w:right w:val="single" w:sz="24" w:space="0" w:color="FFFFFF"/>
            </w:tcBorders>
            <w:shd w:val="clear" w:color="auto" w:fill="auto"/>
          </w:tcPr>
          <w:p w14:paraId="2830D270"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Medical Costs/Recovery Income</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405DED0"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2041C062"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57E3BF5"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26CEDD01"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69012F46" w14:textId="77777777" w:rsidR="0014181A" w:rsidRPr="00582024" w:rsidRDefault="0014181A" w:rsidP="0014181A">
            <w:pPr>
              <w:pStyle w:val="TableText-Right"/>
              <w:rPr>
                <w:color w:val="FF0000"/>
              </w:rPr>
            </w:pPr>
          </w:p>
        </w:tc>
      </w:tr>
      <w:tr w:rsidR="0014181A" w14:paraId="27895AFD" w14:textId="77777777" w:rsidTr="0014181A">
        <w:tc>
          <w:tcPr>
            <w:tcW w:w="1491" w:type="pct"/>
            <w:tcBorders>
              <w:top w:val="single" w:sz="2" w:space="0" w:color="808080"/>
              <w:bottom w:val="single" w:sz="2" w:space="0" w:color="808080"/>
              <w:right w:val="single" w:sz="24" w:space="0" w:color="FFFFFF"/>
            </w:tcBorders>
            <w:shd w:val="clear" w:color="auto" w:fill="auto"/>
          </w:tcPr>
          <w:p w14:paraId="51834C88"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Provision for Tax</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351BE389"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9F4C85A"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EB6E669"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9B20916"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5E135AA5" w14:textId="77777777" w:rsidR="0014181A" w:rsidRPr="00582024" w:rsidRDefault="0014181A" w:rsidP="0014181A">
            <w:pPr>
              <w:pStyle w:val="TableText-Right"/>
              <w:rPr>
                <w:color w:val="FF0000"/>
              </w:rPr>
            </w:pPr>
          </w:p>
        </w:tc>
      </w:tr>
      <w:tr w:rsidR="0014181A" w14:paraId="5B0FC80D" w14:textId="77777777" w:rsidTr="0014181A">
        <w:tc>
          <w:tcPr>
            <w:tcW w:w="1491" w:type="pct"/>
            <w:tcBorders>
              <w:top w:val="single" w:sz="2" w:space="0" w:color="808080"/>
              <w:bottom w:val="single" w:sz="2" w:space="0" w:color="808080"/>
              <w:right w:val="single" w:sz="24" w:space="0" w:color="FFFFFF"/>
            </w:tcBorders>
            <w:shd w:val="clear" w:color="auto" w:fill="auto"/>
          </w:tcPr>
          <w:p w14:paraId="5B7456BA" w14:textId="77777777" w:rsidR="0014181A" w:rsidRPr="00582024" w:rsidRDefault="0014181A" w:rsidP="0014181A">
            <w:pPr>
              <w:pStyle w:val="TableText-Left"/>
              <w:rPr>
                <w:rFonts w:ascii="Calibri" w:hAnsi="Calibri" w:cs="Times New Roman"/>
                <w:color w:val="000000"/>
                <w:szCs w:val="24"/>
              </w:rPr>
            </w:pPr>
            <w:r w:rsidRPr="00906D6A">
              <w:rPr>
                <w:rFonts w:ascii="Calibri" w:hAnsi="Calibri" w:cs="Times New Roman"/>
                <w:szCs w:val="24"/>
              </w:rPr>
              <w:t>&lt;Other Provisions&gt;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9300DF7"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39481E3"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5347D467"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05AC65B0"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41C5C47D" w14:textId="77777777" w:rsidR="0014181A" w:rsidRPr="00582024" w:rsidRDefault="0014181A" w:rsidP="0014181A">
            <w:pPr>
              <w:pStyle w:val="TableText-Right"/>
              <w:rPr>
                <w:color w:val="FF0000"/>
              </w:rPr>
            </w:pPr>
          </w:p>
        </w:tc>
      </w:tr>
      <w:tr w:rsidR="0014181A" w14:paraId="605BA0E2" w14:textId="77777777" w:rsidTr="0014181A">
        <w:tc>
          <w:tcPr>
            <w:tcW w:w="1491" w:type="pct"/>
            <w:tcBorders>
              <w:top w:val="single" w:sz="2" w:space="0" w:color="808080"/>
              <w:bottom w:val="single" w:sz="2" w:space="0" w:color="808080"/>
              <w:right w:val="single" w:sz="24" w:space="0" w:color="FFFFFF"/>
            </w:tcBorders>
            <w:shd w:val="clear" w:color="auto" w:fill="auto"/>
          </w:tcPr>
          <w:p w14:paraId="077A6FFF" w14:textId="77777777" w:rsidR="0014181A" w:rsidRPr="00582024" w:rsidRDefault="0014181A" w:rsidP="0014181A">
            <w:pPr>
              <w:pStyle w:val="TableText-Left"/>
              <w:rPr>
                <w:rFonts w:ascii="Calibri" w:hAnsi="Calibri" w:cs="Times New Roman"/>
                <w:color w:val="000000"/>
                <w:szCs w:val="24"/>
              </w:rPr>
            </w:pPr>
            <w:r w:rsidRPr="00906D6A">
              <w:rPr>
                <w:rFonts w:ascii="Calibri" w:hAnsi="Calibri" w:cs="Times New Roman"/>
                <w:szCs w:val="24"/>
              </w:rPr>
              <w:t>&lt;Other Provisions&gt;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F2731DF"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DB1269C"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3022E60C"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45E016C0" w14:textId="77777777" w:rsidR="0014181A" w:rsidRPr="00582024" w:rsidRDefault="0014181A" w:rsidP="0014181A">
            <w:pPr>
              <w:pStyle w:val="TableText-Right"/>
              <w:rPr>
                <w:color w:val="FF0000"/>
              </w:rPr>
            </w:pPr>
          </w:p>
        </w:tc>
        <w:tc>
          <w:tcPr>
            <w:tcW w:w="708" w:type="pct"/>
            <w:tcBorders>
              <w:left w:val="single" w:sz="24" w:space="0" w:color="FFFFFF"/>
              <w:bottom w:val="single" w:sz="2" w:space="0" w:color="808080"/>
            </w:tcBorders>
            <w:shd w:val="clear" w:color="auto" w:fill="auto"/>
          </w:tcPr>
          <w:p w14:paraId="40D5AD06" w14:textId="77777777" w:rsidR="0014181A" w:rsidRPr="00582024" w:rsidRDefault="0014181A" w:rsidP="0014181A">
            <w:pPr>
              <w:pStyle w:val="TableText-Right"/>
              <w:rPr>
                <w:color w:val="FF0000"/>
              </w:rPr>
            </w:pPr>
          </w:p>
        </w:tc>
      </w:tr>
      <w:tr w:rsidR="0014181A" w14:paraId="1E9D129D" w14:textId="77777777" w:rsidTr="0014181A">
        <w:tc>
          <w:tcPr>
            <w:tcW w:w="1491" w:type="pct"/>
            <w:tcBorders>
              <w:top w:val="single" w:sz="2" w:space="0" w:color="808080"/>
              <w:right w:val="single" w:sz="24" w:space="0" w:color="FFFFFF"/>
            </w:tcBorders>
            <w:shd w:val="clear" w:color="auto" w:fill="auto"/>
          </w:tcPr>
          <w:p w14:paraId="3637F8E9" w14:textId="77777777" w:rsidR="0014181A" w:rsidRPr="00582024" w:rsidRDefault="0014181A" w:rsidP="0014181A">
            <w:pPr>
              <w:spacing w:after="120"/>
              <w:jc w:val="right"/>
            </w:pPr>
            <w:r w:rsidRPr="00582024">
              <w:rPr>
                <w:rFonts w:ascii="Arial Narrow" w:hAnsi="Arial Narrow"/>
                <w:b/>
              </w:rPr>
              <w:t>Total Capital Required</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C54D152"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CEF05FC"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8C59485"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EDFBBCF" w14:textId="77777777" w:rsidR="0014181A" w:rsidRPr="00796E59" w:rsidRDefault="0014181A" w:rsidP="0014181A">
            <w:pPr>
              <w:pStyle w:val="TableText-RightBold"/>
            </w:pPr>
            <w:r w:rsidRPr="00796E59">
              <w:t>$</w:t>
            </w:r>
          </w:p>
        </w:tc>
        <w:tc>
          <w:tcPr>
            <w:tcW w:w="708" w:type="pct"/>
            <w:tcBorders>
              <w:top w:val="single" w:sz="2" w:space="0" w:color="808080"/>
              <w:left w:val="single" w:sz="24" w:space="0" w:color="FFFFFF"/>
              <w:bottom w:val="single" w:sz="2" w:space="0" w:color="808080"/>
            </w:tcBorders>
            <w:shd w:val="clear" w:color="auto" w:fill="auto"/>
          </w:tcPr>
          <w:p w14:paraId="7834DA06" w14:textId="77777777" w:rsidR="0014181A" w:rsidRPr="00796E59" w:rsidRDefault="0014181A" w:rsidP="0014181A">
            <w:pPr>
              <w:pStyle w:val="TableText-RightBold"/>
            </w:pPr>
            <w:r w:rsidRPr="00796E59">
              <w:t>$</w:t>
            </w:r>
          </w:p>
        </w:tc>
      </w:tr>
      <w:tr w:rsidR="0014181A" w14:paraId="1CCBE8AD" w14:textId="77777777" w:rsidTr="0014181A">
        <w:tc>
          <w:tcPr>
            <w:tcW w:w="1491" w:type="pct"/>
            <w:tcBorders>
              <w:right w:val="single" w:sz="24" w:space="0" w:color="FFFFFF"/>
            </w:tcBorders>
            <w:shd w:val="clear" w:color="auto" w:fill="auto"/>
          </w:tcPr>
          <w:p w14:paraId="0ADFE363" w14:textId="77777777" w:rsidR="0014181A" w:rsidRDefault="0014181A" w:rsidP="0014181A">
            <w:pPr>
              <w:pStyle w:val="TableText-LeftBold"/>
            </w:pPr>
            <w:r>
              <w:t>Capital Provisions</w:t>
            </w:r>
          </w:p>
        </w:tc>
        <w:tc>
          <w:tcPr>
            <w:tcW w:w="700" w:type="pct"/>
            <w:tcBorders>
              <w:top w:val="single" w:sz="2" w:space="0" w:color="808080"/>
              <w:left w:val="single" w:sz="24" w:space="0" w:color="FFFFFF"/>
              <w:right w:val="single" w:sz="24" w:space="0" w:color="FFFFFF"/>
            </w:tcBorders>
            <w:shd w:val="clear" w:color="auto" w:fill="auto"/>
          </w:tcPr>
          <w:p w14:paraId="4A22F1FB"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39A9F9AF"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48DC7DB3"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4DCF0EAC" w14:textId="77777777" w:rsidR="0014181A" w:rsidRPr="00582024" w:rsidRDefault="0014181A" w:rsidP="0014181A">
            <w:pPr>
              <w:pStyle w:val="TableText-LeftBold"/>
              <w:rPr>
                <w:color w:val="FF0000"/>
              </w:rPr>
            </w:pPr>
          </w:p>
        </w:tc>
        <w:tc>
          <w:tcPr>
            <w:tcW w:w="708" w:type="pct"/>
            <w:tcBorders>
              <w:top w:val="single" w:sz="2" w:space="0" w:color="808080"/>
              <w:left w:val="single" w:sz="24" w:space="0" w:color="FFFFFF"/>
            </w:tcBorders>
            <w:shd w:val="clear" w:color="auto" w:fill="auto"/>
          </w:tcPr>
          <w:p w14:paraId="1B72C3BD" w14:textId="77777777" w:rsidR="0014181A" w:rsidRPr="00582024" w:rsidRDefault="0014181A" w:rsidP="0014181A">
            <w:pPr>
              <w:pStyle w:val="TableText-LeftBold"/>
              <w:rPr>
                <w:color w:val="FF0000"/>
              </w:rPr>
            </w:pPr>
          </w:p>
        </w:tc>
      </w:tr>
      <w:tr w:rsidR="0014181A" w14:paraId="7A6DC4E9" w14:textId="77777777" w:rsidTr="0014181A">
        <w:tc>
          <w:tcPr>
            <w:tcW w:w="1491" w:type="pct"/>
            <w:tcBorders>
              <w:bottom w:val="single" w:sz="2" w:space="0" w:color="808080"/>
              <w:right w:val="single" w:sz="24" w:space="0" w:color="FFFFFF"/>
            </w:tcBorders>
            <w:shd w:val="clear" w:color="auto" w:fill="auto"/>
          </w:tcPr>
          <w:p w14:paraId="55AA0578"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Disposable Assets</w:t>
            </w:r>
          </w:p>
        </w:tc>
        <w:tc>
          <w:tcPr>
            <w:tcW w:w="700" w:type="pct"/>
            <w:tcBorders>
              <w:left w:val="single" w:sz="24" w:space="0" w:color="FFFFFF"/>
              <w:bottom w:val="single" w:sz="2" w:space="0" w:color="808080"/>
              <w:right w:val="single" w:sz="24" w:space="0" w:color="FFFFFF"/>
            </w:tcBorders>
            <w:shd w:val="clear" w:color="auto" w:fill="auto"/>
          </w:tcPr>
          <w:p w14:paraId="76A0B783"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0EAD2483"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bottom w:val="single" w:sz="2" w:space="0" w:color="808080"/>
              <w:right w:val="single" w:sz="24" w:space="0" w:color="FFFFFF"/>
            </w:tcBorders>
            <w:shd w:val="clear" w:color="auto" w:fill="auto"/>
          </w:tcPr>
          <w:p w14:paraId="235E7C40"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7AD161BD"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4D9F7C3B" w14:textId="77777777" w:rsidR="0014181A" w:rsidRPr="00582024" w:rsidRDefault="0014181A" w:rsidP="0014181A">
            <w:pPr>
              <w:pStyle w:val="TableText-Right"/>
              <w:rPr>
                <w:color w:val="FF0000"/>
              </w:rPr>
            </w:pPr>
          </w:p>
        </w:tc>
      </w:tr>
      <w:tr w:rsidR="0014181A" w14:paraId="7D58F510" w14:textId="77777777" w:rsidTr="0014181A">
        <w:tc>
          <w:tcPr>
            <w:tcW w:w="1491" w:type="pct"/>
            <w:tcBorders>
              <w:top w:val="single" w:sz="2" w:space="0" w:color="808080"/>
              <w:bottom w:val="single" w:sz="2" w:space="0" w:color="808080"/>
              <w:right w:val="single" w:sz="24" w:space="0" w:color="FFFFFF"/>
            </w:tcBorders>
            <w:shd w:val="clear" w:color="auto" w:fill="auto"/>
          </w:tcPr>
          <w:p w14:paraId="60282AE9" w14:textId="77777777" w:rsidR="0014181A" w:rsidRPr="00582024" w:rsidRDefault="0014181A" w:rsidP="0014181A">
            <w:pPr>
              <w:pStyle w:val="TableText-Left"/>
              <w:rPr>
                <w:rFonts w:ascii="Calibri" w:hAnsi="Calibri" w:cs="Times New Roman"/>
                <w:color w:val="000000"/>
                <w:szCs w:val="24"/>
              </w:rPr>
            </w:pPr>
            <w:r>
              <w:rPr>
                <w:rFonts w:ascii="Calibri" w:hAnsi="Calibri" w:cs="Times New Roman"/>
                <w:color w:val="000000"/>
                <w:szCs w:val="24"/>
              </w:rPr>
              <w:t>Cash at Bank</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00307B0"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F4A92A7"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3AE8CE7C" w14:textId="77777777" w:rsidR="0014181A" w:rsidRPr="00582024" w:rsidRDefault="0014181A" w:rsidP="0014181A">
            <w:pPr>
              <w:pStyle w:val="TableText-Right"/>
              <w:rPr>
                <w:color w:val="FF0000"/>
              </w:rPr>
            </w:pPr>
            <w:r w:rsidRPr="00582024">
              <w:rPr>
                <w:color w:val="FF0000"/>
              </w:rPr>
              <w:t>$</w:t>
            </w:r>
          </w:p>
        </w:tc>
        <w:tc>
          <w:tcPr>
            <w:tcW w:w="700" w:type="pct"/>
            <w:tcBorders>
              <w:left w:val="single" w:sz="24" w:space="0" w:color="FFFFFF"/>
              <w:right w:val="single" w:sz="24" w:space="0" w:color="FFFFFF"/>
            </w:tcBorders>
            <w:shd w:val="clear" w:color="auto" w:fill="auto"/>
          </w:tcPr>
          <w:p w14:paraId="10464D18" w14:textId="77777777" w:rsidR="0014181A" w:rsidRPr="00582024" w:rsidRDefault="0014181A" w:rsidP="0014181A">
            <w:pPr>
              <w:pStyle w:val="TableText-Right"/>
              <w:rPr>
                <w:color w:val="FF0000"/>
              </w:rPr>
            </w:pPr>
          </w:p>
        </w:tc>
        <w:tc>
          <w:tcPr>
            <w:tcW w:w="708" w:type="pct"/>
            <w:tcBorders>
              <w:left w:val="single" w:sz="24" w:space="0" w:color="FFFFFF"/>
            </w:tcBorders>
            <w:shd w:val="clear" w:color="auto" w:fill="auto"/>
          </w:tcPr>
          <w:p w14:paraId="74084C03" w14:textId="77777777" w:rsidR="0014181A" w:rsidRPr="00582024" w:rsidRDefault="0014181A" w:rsidP="0014181A">
            <w:pPr>
              <w:pStyle w:val="TableText-Right"/>
              <w:rPr>
                <w:color w:val="FF0000"/>
              </w:rPr>
            </w:pPr>
          </w:p>
        </w:tc>
      </w:tr>
      <w:tr w:rsidR="0014181A" w14:paraId="6A832B88" w14:textId="77777777" w:rsidTr="0014181A">
        <w:tc>
          <w:tcPr>
            <w:tcW w:w="1491" w:type="pct"/>
            <w:tcBorders>
              <w:top w:val="single" w:sz="2" w:space="0" w:color="808080"/>
              <w:right w:val="single" w:sz="24" w:space="0" w:color="FFFFFF"/>
            </w:tcBorders>
            <w:shd w:val="clear" w:color="auto" w:fill="auto"/>
          </w:tcPr>
          <w:p w14:paraId="58BE6F41" w14:textId="77777777" w:rsidR="0014181A" w:rsidRDefault="0014181A" w:rsidP="0014181A">
            <w:pPr>
              <w:spacing w:after="120"/>
              <w:jc w:val="right"/>
            </w:pPr>
            <w:r w:rsidRPr="00582024">
              <w:rPr>
                <w:rFonts w:ascii="Arial Narrow" w:hAnsi="Arial Narrow"/>
                <w:b/>
              </w:rPr>
              <w:t>Total Capital Available</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CBF07FA"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7A1C2DB"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3BD3EE0" w14:textId="77777777" w:rsidR="0014181A" w:rsidRPr="00796E59" w:rsidRDefault="0014181A" w:rsidP="0014181A">
            <w:pPr>
              <w:pStyle w:val="TableText-RightBold"/>
            </w:pPr>
            <w:r w:rsidRPr="00796E59">
              <w:t>$</w:t>
            </w:r>
          </w:p>
        </w:tc>
        <w:tc>
          <w:tcPr>
            <w:tcW w:w="700" w:type="pct"/>
            <w:tcBorders>
              <w:left w:val="single" w:sz="24" w:space="0" w:color="FFFFFF"/>
              <w:right w:val="single" w:sz="24" w:space="0" w:color="FFFFFF"/>
            </w:tcBorders>
            <w:shd w:val="clear" w:color="auto" w:fill="auto"/>
          </w:tcPr>
          <w:p w14:paraId="4E21DFC1" w14:textId="77777777" w:rsidR="0014181A" w:rsidRPr="00796E59" w:rsidRDefault="0014181A" w:rsidP="0014181A">
            <w:pPr>
              <w:pStyle w:val="TableText-RightBold"/>
            </w:pPr>
          </w:p>
        </w:tc>
        <w:tc>
          <w:tcPr>
            <w:tcW w:w="708" w:type="pct"/>
            <w:tcBorders>
              <w:left w:val="single" w:sz="24" w:space="0" w:color="FFFFFF"/>
            </w:tcBorders>
            <w:shd w:val="clear" w:color="auto" w:fill="auto"/>
          </w:tcPr>
          <w:p w14:paraId="0491DACA" w14:textId="77777777" w:rsidR="0014181A" w:rsidRPr="00796E59" w:rsidRDefault="0014181A" w:rsidP="0014181A">
            <w:pPr>
              <w:pStyle w:val="TableText-RightBold"/>
            </w:pPr>
          </w:p>
        </w:tc>
      </w:tr>
      <w:tr w:rsidR="0014181A" w14:paraId="61C6056D" w14:textId="77777777" w:rsidTr="0014181A">
        <w:tc>
          <w:tcPr>
            <w:tcW w:w="1491" w:type="pct"/>
            <w:tcBorders>
              <w:right w:val="single" w:sz="24" w:space="0" w:color="FFFFFF"/>
            </w:tcBorders>
            <w:shd w:val="clear" w:color="auto" w:fill="auto"/>
          </w:tcPr>
          <w:p w14:paraId="4529EA6E" w14:textId="77777777" w:rsidR="0014181A" w:rsidRPr="00E42AA7" w:rsidRDefault="0014181A" w:rsidP="0014181A">
            <w:pPr>
              <w:pStyle w:val="TableText-LeftBold"/>
              <w:rPr>
                <w:i/>
              </w:rPr>
            </w:pPr>
            <w:r>
              <w:t>Insurance Needs</w:t>
            </w:r>
          </w:p>
        </w:tc>
        <w:tc>
          <w:tcPr>
            <w:tcW w:w="700" w:type="pct"/>
            <w:tcBorders>
              <w:top w:val="single" w:sz="2" w:space="0" w:color="808080"/>
              <w:left w:val="single" w:sz="24" w:space="0" w:color="FFFFFF"/>
              <w:right w:val="single" w:sz="24" w:space="0" w:color="FFFFFF"/>
            </w:tcBorders>
            <w:shd w:val="clear" w:color="auto" w:fill="auto"/>
          </w:tcPr>
          <w:p w14:paraId="7413589F"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253BC3B9"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00D062B5" w14:textId="77777777" w:rsidR="0014181A" w:rsidRPr="00582024" w:rsidRDefault="0014181A" w:rsidP="0014181A">
            <w:pPr>
              <w:pStyle w:val="TableText-LeftBold"/>
              <w:rPr>
                <w:color w:val="FF0000"/>
              </w:rPr>
            </w:pPr>
          </w:p>
        </w:tc>
        <w:tc>
          <w:tcPr>
            <w:tcW w:w="700" w:type="pct"/>
            <w:tcBorders>
              <w:top w:val="single" w:sz="2" w:space="0" w:color="808080"/>
              <w:left w:val="single" w:sz="24" w:space="0" w:color="FFFFFF"/>
              <w:right w:val="single" w:sz="24" w:space="0" w:color="FFFFFF"/>
            </w:tcBorders>
            <w:shd w:val="clear" w:color="auto" w:fill="auto"/>
          </w:tcPr>
          <w:p w14:paraId="55676CB4" w14:textId="77777777" w:rsidR="0014181A" w:rsidRPr="00582024" w:rsidRDefault="0014181A" w:rsidP="0014181A">
            <w:pPr>
              <w:pStyle w:val="TableText-LeftBold"/>
              <w:rPr>
                <w:color w:val="FF0000"/>
              </w:rPr>
            </w:pPr>
          </w:p>
        </w:tc>
        <w:tc>
          <w:tcPr>
            <w:tcW w:w="708" w:type="pct"/>
            <w:tcBorders>
              <w:top w:val="single" w:sz="2" w:space="0" w:color="808080"/>
              <w:left w:val="single" w:sz="24" w:space="0" w:color="FFFFFF"/>
            </w:tcBorders>
            <w:shd w:val="clear" w:color="auto" w:fill="auto"/>
          </w:tcPr>
          <w:p w14:paraId="7BC22302" w14:textId="77777777" w:rsidR="0014181A" w:rsidRPr="00582024" w:rsidRDefault="0014181A" w:rsidP="0014181A">
            <w:pPr>
              <w:pStyle w:val="TableText-LeftBold"/>
              <w:rPr>
                <w:color w:val="FF0000"/>
              </w:rPr>
            </w:pPr>
          </w:p>
        </w:tc>
      </w:tr>
      <w:tr w:rsidR="0014181A" w14:paraId="6AFF84BF" w14:textId="77777777" w:rsidTr="0014181A">
        <w:tc>
          <w:tcPr>
            <w:tcW w:w="1491" w:type="pct"/>
            <w:tcBorders>
              <w:top w:val="single" w:sz="2" w:space="0" w:color="808080"/>
              <w:bottom w:val="single" w:sz="2" w:space="0" w:color="808080"/>
              <w:right w:val="single" w:sz="24" w:space="0" w:color="FFFFFF"/>
            </w:tcBorders>
            <w:shd w:val="clear" w:color="auto" w:fill="auto"/>
          </w:tcPr>
          <w:p w14:paraId="04CB10A0"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 xml:space="preserve">Total Cover Required </w:t>
            </w:r>
            <w:r w:rsidRPr="00582024">
              <w:rPr>
                <w:rFonts w:ascii="Calibri" w:hAnsi="Calibri" w:cs="Times New Roman"/>
                <w:color w:val="000000"/>
                <w:szCs w:val="24"/>
                <w:vertAlign w:val="superscript"/>
              </w:rPr>
              <w:t>[2]</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D497E6C"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0783ED33"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6B2F69A8"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4F551B6" w14:textId="77777777" w:rsidR="0014181A" w:rsidRPr="00582024" w:rsidRDefault="0014181A" w:rsidP="0014181A">
            <w:pPr>
              <w:pStyle w:val="TableText-Right"/>
              <w:rPr>
                <w:color w:val="FF0000"/>
              </w:rPr>
            </w:pPr>
            <w:r w:rsidRPr="00582024">
              <w:rPr>
                <w:color w:val="FF0000"/>
              </w:rPr>
              <w:t>$</w:t>
            </w:r>
          </w:p>
        </w:tc>
        <w:tc>
          <w:tcPr>
            <w:tcW w:w="708" w:type="pct"/>
            <w:tcBorders>
              <w:top w:val="single" w:sz="2" w:space="0" w:color="808080"/>
              <w:left w:val="single" w:sz="24" w:space="0" w:color="FFFFFF"/>
              <w:bottom w:val="single" w:sz="2" w:space="0" w:color="808080"/>
            </w:tcBorders>
            <w:shd w:val="clear" w:color="auto" w:fill="auto"/>
          </w:tcPr>
          <w:p w14:paraId="224C7A60" w14:textId="77777777" w:rsidR="0014181A" w:rsidRPr="00582024" w:rsidRDefault="0014181A" w:rsidP="0014181A">
            <w:pPr>
              <w:pStyle w:val="TableText-Right"/>
              <w:rPr>
                <w:color w:val="FF0000"/>
              </w:rPr>
            </w:pPr>
            <w:r w:rsidRPr="00582024">
              <w:rPr>
                <w:color w:val="FF0000"/>
              </w:rPr>
              <w:t>$</w:t>
            </w:r>
          </w:p>
        </w:tc>
      </w:tr>
      <w:tr w:rsidR="0014181A" w14:paraId="71B2C7A0" w14:textId="77777777" w:rsidTr="0014181A">
        <w:tc>
          <w:tcPr>
            <w:tcW w:w="1491" w:type="pct"/>
            <w:tcBorders>
              <w:top w:val="single" w:sz="2" w:space="0" w:color="808080"/>
              <w:bottom w:val="single" w:sz="2" w:space="0" w:color="808080"/>
              <w:right w:val="single" w:sz="24" w:space="0" w:color="FFFFFF"/>
            </w:tcBorders>
            <w:shd w:val="clear" w:color="auto" w:fill="auto"/>
          </w:tcPr>
          <w:p w14:paraId="6794855A" w14:textId="77777777" w:rsidR="0014181A" w:rsidRPr="00582024" w:rsidRDefault="0014181A" w:rsidP="0014181A">
            <w:pPr>
              <w:pStyle w:val="TableText-Left"/>
              <w:rPr>
                <w:rFonts w:ascii="Calibri" w:hAnsi="Calibri" w:cs="Times New Roman"/>
                <w:color w:val="000000"/>
                <w:szCs w:val="24"/>
              </w:rPr>
            </w:pPr>
            <w:r w:rsidRPr="00582024">
              <w:rPr>
                <w:rFonts w:ascii="Calibri" w:hAnsi="Calibri" w:cs="Times New Roman"/>
                <w:color w:val="000000"/>
                <w:szCs w:val="24"/>
              </w:rPr>
              <w:t>less Existing Cover</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47CCB22D"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12DC3215"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2479F8EB" w14:textId="77777777" w:rsidR="0014181A" w:rsidRPr="00582024" w:rsidRDefault="0014181A" w:rsidP="0014181A">
            <w:pPr>
              <w:pStyle w:val="TableText-Right"/>
              <w:rPr>
                <w:color w:val="FF0000"/>
              </w:rPr>
            </w:pPr>
            <w:r w:rsidRPr="00582024">
              <w:rPr>
                <w:color w:val="FF0000"/>
              </w:rPr>
              <w:t>$</w:t>
            </w:r>
          </w:p>
        </w:tc>
        <w:tc>
          <w:tcPr>
            <w:tcW w:w="700" w:type="pct"/>
            <w:tcBorders>
              <w:top w:val="single" w:sz="2" w:space="0" w:color="808080"/>
              <w:left w:val="single" w:sz="24" w:space="0" w:color="FFFFFF"/>
              <w:bottom w:val="single" w:sz="2" w:space="0" w:color="808080"/>
              <w:right w:val="single" w:sz="24" w:space="0" w:color="FFFFFF"/>
            </w:tcBorders>
            <w:shd w:val="clear" w:color="auto" w:fill="auto"/>
          </w:tcPr>
          <w:p w14:paraId="764F0611" w14:textId="77777777" w:rsidR="0014181A" w:rsidRPr="00582024" w:rsidRDefault="0014181A" w:rsidP="0014181A">
            <w:pPr>
              <w:pStyle w:val="TableText-Right"/>
              <w:rPr>
                <w:color w:val="FF0000"/>
              </w:rPr>
            </w:pPr>
            <w:r w:rsidRPr="00582024">
              <w:rPr>
                <w:color w:val="FF0000"/>
              </w:rPr>
              <w:t>$</w:t>
            </w:r>
          </w:p>
        </w:tc>
        <w:tc>
          <w:tcPr>
            <w:tcW w:w="708" w:type="pct"/>
            <w:tcBorders>
              <w:top w:val="single" w:sz="2" w:space="0" w:color="808080"/>
              <w:left w:val="single" w:sz="24" w:space="0" w:color="FFFFFF"/>
              <w:bottom w:val="single" w:sz="2" w:space="0" w:color="808080"/>
            </w:tcBorders>
            <w:shd w:val="clear" w:color="auto" w:fill="auto"/>
          </w:tcPr>
          <w:p w14:paraId="50A8AAF1" w14:textId="77777777" w:rsidR="0014181A" w:rsidRPr="00582024" w:rsidRDefault="0014181A" w:rsidP="0014181A">
            <w:pPr>
              <w:pStyle w:val="TableText-Right"/>
              <w:rPr>
                <w:color w:val="FF0000"/>
              </w:rPr>
            </w:pPr>
            <w:r w:rsidRPr="00582024">
              <w:rPr>
                <w:color w:val="FF0000"/>
              </w:rPr>
              <w:t>$</w:t>
            </w:r>
          </w:p>
        </w:tc>
      </w:tr>
      <w:tr w:rsidR="0014181A" w14:paraId="47126D5E" w14:textId="77777777" w:rsidTr="0014181A">
        <w:tc>
          <w:tcPr>
            <w:tcW w:w="1491" w:type="pct"/>
            <w:tcBorders>
              <w:top w:val="single" w:sz="2" w:space="0" w:color="808080"/>
              <w:right w:val="single" w:sz="24" w:space="0" w:color="FFFFFF"/>
            </w:tcBorders>
            <w:shd w:val="clear" w:color="auto" w:fill="auto"/>
          </w:tcPr>
          <w:p w14:paraId="72A12A6D" w14:textId="77777777" w:rsidR="0014181A" w:rsidRDefault="0014181A" w:rsidP="0014181A">
            <w:pPr>
              <w:spacing w:after="120"/>
              <w:jc w:val="right"/>
            </w:pPr>
            <w:r w:rsidRPr="00582024">
              <w:rPr>
                <w:rFonts w:ascii="Arial Narrow" w:hAnsi="Arial Narrow"/>
                <w:b/>
              </w:rPr>
              <w:t>Surplus/Shortfall</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2BE5879E"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1F908128"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05B79D52" w14:textId="77777777" w:rsidR="0014181A" w:rsidRPr="00796E59" w:rsidRDefault="0014181A" w:rsidP="0014181A">
            <w:pPr>
              <w:pStyle w:val="TableText-RightBold"/>
            </w:pPr>
            <w:r w:rsidRPr="00796E59">
              <w:t>$</w:t>
            </w:r>
          </w:p>
        </w:tc>
        <w:tc>
          <w:tcPr>
            <w:tcW w:w="700" w:type="pct"/>
            <w:tcBorders>
              <w:top w:val="single" w:sz="2" w:space="0" w:color="808080"/>
              <w:left w:val="single" w:sz="24" w:space="0" w:color="FFFFFF"/>
              <w:bottom w:val="single" w:sz="2" w:space="0" w:color="808080"/>
              <w:right w:val="single" w:sz="24" w:space="0" w:color="FFFFFF"/>
            </w:tcBorders>
            <w:shd w:val="clear" w:color="auto" w:fill="D9D9D9"/>
          </w:tcPr>
          <w:p w14:paraId="701B18B2" w14:textId="77777777" w:rsidR="0014181A" w:rsidRPr="00796E59" w:rsidRDefault="0014181A" w:rsidP="0014181A">
            <w:pPr>
              <w:pStyle w:val="TableText-RightBold"/>
            </w:pPr>
            <w:r w:rsidRPr="00796E59">
              <w:t>$</w:t>
            </w:r>
          </w:p>
        </w:tc>
        <w:tc>
          <w:tcPr>
            <w:tcW w:w="708" w:type="pct"/>
            <w:tcBorders>
              <w:top w:val="single" w:sz="2" w:space="0" w:color="808080"/>
              <w:left w:val="single" w:sz="24" w:space="0" w:color="FFFFFF"/>
              <w:bottom w:val="single" w:sz="2" w:space="0" w:color="808080"/>
            </w:tcBorders>
            <w:shd w:val="clear" w:color="auto" w:fill="D9D9D9"/>
          </w:tcPr>
          <w:p w14:paraId="5A8F508F" w14:textId="77777777" w:rsidR="0014181A" w:rsidRPr="00796E59" w:rsidRDefault="0014181A" w:rsidP="0014181A">
            <w:pPr>
              <w:pStyle w:val="TableText-RightBold"/>
            </w:pPr>
            <w:r w:rsidRPr="00796E59">
              <w:t>$</w:t>
            </w:r>
          </w:p>
        </w:tc>
      </w:tr>
    </w:tbl>
    <w:p w14:paraId="28FA8CCF"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0F3BE776" w14:textId="77777777" w:rsidTr="0014181A">
        <w:tc>
          <w:tcPr>
            <w:tcW w:w="202" w:type="pct"/>
            <w:hideMark/>
          </w:tcPr>
          <w:p w14:paraId="2EF8BCFD" w14:textId="77777777" w:rsidR="0014181A" w:rsidRDefault="0014181A" w:rsidP="0014181A">
            <w:pPr>
              <w:pStyle w:val="Notes-Numbers"/>
            </w:pPr>
            <w:r>
              <w:t>[1]</w:t>
            </w:r>
          </w:p>
        </w:tc>
        <w:tc>
          <w:tcPr>
            <w:tcW w:w="4798" w:type="pct"/>
            <w:hideMark/>
          </w:tcPr>
          <w:p w14:paraId="1776FCF2" w14:textId="77777777" w:rsidR="0014181A" w:rsidRDefault="0014181A" w:rsidP="0014181A">
            <w:pPr>
              <w:pStyle w:val="Notes-Text"/>
              <w:rPr>
                <w:rFonts w:ascii="Calibri" w:eastAsia="MS Mincho" w:hAnsi="Calibri"/>
                <w:color w:val="000000"/>
                <w:w w:val="120"/>
                <w:sz w:val="16"/>
                <w:szCs w:val="24"/>
                <w:lang w:val="en-NZ" w:eastAsia="ar-SA"/>
              </w:rPr>
            </w:pPr>
            <w:r>
              <w:t xml:space="preserve">Present value calculation </w:t>
            </w:r>
            <w:r w:rsidRPr="00906D6A">
              <w:rPr>
                <w:rFonts w:ascii="Calibri" w:eastAsia="MS Mincho" w:hAnsi="Calibri"/>
                <w:color w:val="000000"/>
                <w:w w:val="120"/>
                <w:sz w:val="16"/>
                <w:szCs w:val="24"/>
                <w:highlight w:val="yellow"/>
                <w:lang w:val="en-NZ" w:eastAsia="ar-SA"/>
              </w:rPr>
              <w:t xml:space="preserve">(include annualised </w:t>
            </w:r>
            <w:r>
              <w:rPr>
                <w:rFonts w:ascii="Calibri" w:eastAsia="MS Mincho" w:hAnsi="Calibri"/>
                <w:color w:val="000000"/>
                <w:w w:val="120"/>
                <w:sz w:val="16"/>
                <w:szCs w:val="24"/>
                <w:highlight w:val="yellow"/>
                <w:lang w:val="en-NZ" w:eastAsia="ar-SA"/>
              </w:rPr>
              <w:t xml:space="preserve">net income </w:t>
            </w:r>
            <w:r>
              <w:rPr>
                <w:rFonts w:ascii="Calibri" w:eastAsia="MS Mincho" w:hAnsi="Calibri"/>
                <w:color w:val="000000"/>
                <w:w w:val="120"/>
                <w:sz w:val="16"/>
                <w:szCs w:val="24"/>
                <w:highlight w:val="yellow"/>
                <w:lang w:eastAsia="ar-SA"/>
              </w:rPr>
              <w:t>$</w:t>
            </w:r>
            <w:r w:rsidRPr="00906D6A">
              <w:rPr>
                <w:rFonts w:ascii="Calibri" w:eastAsia="MS Mincho" w:hAnsi="Calibri"/>
                <w:color w:val="000000"/>
                <w:w w:val="120"/>
                <w:sz w:val="16"/>
                <w:szCs w:val="24"/>
                <w:highlight w:val="yellow"/>
                <w:lang w:val="en-NZ" w:eastAsia="ar-SA"/>
              </w:rPr>
              <w:t>, IRR% assumption, CPI% assumptions, number of years)</w:t>
            </w:r>
          </w:p>
          <w:p w14:paraId="4AD28AE2" w14:textId="77777777" w:rsidR="0014181A" w:rsidRDefault="0014181A" w:rsidP="0014181A">
            <w:pPr>
              <w:pStyle w:val="Notes-Text"/>
              <w:rPr>
                <w:rFonts w:ascii="Calibri" w:eastAsia="MS Mincho" w:hAnsi="Calibri"/>
                <w:color w:val="000000"/>
                <w:w w:val="120"/>
                <w:sz w:val="16"/>
                <w:szCs w:val="24"/>
                <w:lang w:val="en-NZ" w:eastAsia="ar-SA"/>
              </w:rPr>
            </w:pPr>
            <w:r w:rsidRPr="00FD2770">
              <w:rPr>
                <w:rFonts w:ascii="Calibri" w:eastAsia="MS Mincho" w:hAnsi="Calibri"/>
                <w:color w:val="000000"/>
                <w:w w:val="120"/>
                <w:sz w:val="16"/>
                <w:szCs w:val="24"/>
                <w:highlight w:val="yellow"/>
                <w:lang w:val="en-NZ" w:eastAsia="ar-SA"/>
              </w:rPr>
              <w:t xml:space="preserve">Take into account any future income sources </w:t>
            </w:r>
            <w:proofErr w:type="spellStart"/>
            <w:r w:rsidRPr="00FD2770">
              <w:rPr>
                <w:rFonts w:ascii="Calibri" w:eastAsia="MS Mincho" w:hAnsi="Calibri"/>
                <w:color w:val="000000"/>
                <w:w w:val="120"/>
                <w:sz w:val="16"/>
                <w:szCs w:val="24"/>
                <w:highlight w:val="yellow"/>
                <w:lang w:val="en-NZ" w:eastAsia="ar-SA"/>
              </w:rPr>
              <w:t>eg.</w:t>
            </w:r>
            <w:proofErr w:type="spellEnd"/>
            <w:r w:rsidRPr="00FD2770">
              <w:rPr>
                <w:rFonts w:ascii="Calibri" w:eastAsia="MS Mincho" w:hAnsi="Calibri"/>
                <w:color w:val="000000"/>
                <w:w w:val="120"/>
                <w:sz w:val="16"/>
                <w:szCs w:val="24"/>
                <w:highlight w:val="yellow"/>
                <w:lang w:val="en-NZ" w:eastAsia="ar-SA"/>
              </w:rPr>
              <w:t xml:space="preserve"> annuity</w:t>
            </w:r>
            <w:r w:rsidRPr="006878E8">
              <w:rPr>
                <w:rFonts w:ascii="Calibri" w:eastAsia="MS Mincho" w:hAnsi="Calibri"/>
                <w:color w:val="000000"/>
                <w:w w:val="120"/>
                <w:sz w:val="16"/>
                <w:szCs w:val="24"/>
                <w:highlight w:val="yellow"/>
                <w:lang w:val="en-NZ" w:eastAsia="ar-SA"/>
              </w:rPr>
              <w:t xml:space="preserve"> to determine annualised net income.</w:t>
            </w:r>
          </w:p>
          <w:p w14:paraId="0A26D812" w14:textId="77777777" w:rsidR="0014181A" w:rsidRDefault="0014181A" w:rsidP="0014181A">
            <w:pPr>
              <w:pStyle w:val="Notes-Text"/>
            </w:pPr>
          </w:p>
        </w:tc>
      </w:tr>
      <w:tr w:rsidR="0014181A" w14:paraId="34A72B3A" w14:textId="77777777" w:rsidTr="0014181A">
        <w:tc>
          <w:tcPr>
            <w:tcW w:w="202" w:type="pct"/>
            <w:hideMark/>
          </w:tcPr>
          <w:p w14:paraId="082B40D5" w14:textId="77777777" w:rsidR="0014181A" w:rsidRDefault="0014181A" w:rsidP="0014181A">
            <w:pPr>
              <w:pStyle w:val="Notes-Numbers"/>
            </w:pPr>
            <w:r>
              <w:t>[2]</w:t>
            </w:r>
          </w:p>
        </w:tc>
        <w:tc>
          <w:tcPr>
            <w:tcW w:w="4798" w:type="pct"/>
            <w:hideMark/>
          </w:tcPr>
          <w:p w14:paraId="7E62F03C" w14:textId="77777777" w:rsidR="0014181A" w:rsidRPr="00F917DA" w:rsidRDefault="0014181A" w:rsidP="0014181A">
            <w:pPr>
              <w:pStyle w:val="Notes-Text"/>
            </w:pPr>
            <w:r w:rsidRPr="00906D6A">
              <w:rPr>
                <w:rFonts w:ascii="Calibri" w:eastAsia="MS Mincho" w:hAnsi="Calibri"/>
                <w:color w:val="000000"/>
                <w:w w:val="120"/>
                <w:sz w:val="16"/>
                <w:szCs w:val="24"/>
                <w:highlight w:val="yellow"/>
                <w:lang w:val="en-NZ" w:eastAsia="ar-SA"/>
              </w:rPr>
              <w:t>Consider waiting periods.</w:t>
            </w:r>
          </w:p>
        </w:tc>
      </w:tr>
    </w:tbl>
    <w:p w14:paraId="0C322C9C" w14:textId="77777777" w:rsidR="0014181A" w:rsidRDefault="0014181A" w:rsidP="0014181A"/>
    <w:p w14:paraId="7BE61CA8" w14:textId="77777777" w:rsidR="0014181A" w:rsidRPr="00582024" w:rsidRDefault="0014181A" w:rsidP="0014181A">
      <w:pPr>
        <w:pStyle w:val="Instructions"/>
        <w:ind w:left="0" w:hanging="284"/>
        <w:rPr>
          <w:color w:val="auto"/>
        </w:rPr>
      </w:pPr>
      <w:r w:rsidRPr="00582024">
        <w:rPr>
          <w:highlight w:val="yellow"/>
        </w:rPr>
        <w:t xml:space="preserve">If the amount of cover </w:t>
      </w:r>
      <w:r>
        <w:rPr>
          <w:highlight w:val="yellow"/>
        </w:rPr>
        <w:t xml:space="preserve">to be </w:t>
      </w:r>
      <w:r w:rsidRPr="00582024">
        <w:rPr>
          <w:highlight w:val="yellow"/>
        </w:rPr>
        <w:t xml:space="preserve">recommended varies from </w:t>
      </w:r>
      <w:r>
        <w:rPr>
          <w:highlight w:val="yellow"/>
        </w:rPr>
        <w:t>N</w:t>
      </w:r>
      <w:r w:rsidRPr="00582024">
        <w:rPr>
          <w:highlight w:val="yellow"/>
        </w:rPr>
        <w:t xml:space="preserve">eeds </w:t>
      </w:r>
      <w:r>
        <w:rPr>
          <w:highlight w:val="yellow"/>
        </w:rPr>
        <w:t>A</w:t>
      </w:r>
      <w:r w:rsidRPr="00582024">
        <w:rPr>
          <w:highlight w:val="yellow"/>
        </w:rPr>
        <w:t>nalysis results</w:t>
      </w:r>
      <w:r>
        <w:rPr>
          <w:highlight w:val="yellow"/>
        </w:rPr>
        <w:t xml:space="preserve">, prepare a rationale </w:t>
      </w:r>
      <w:r w:rsidRPr="00582024">
        <w:rPr>
          <w:highlight w:val="yellow"/>
        </w:rPr>
        <w:t xml:space="preserve">here </w:t>
      </w:r>
    </w:p>
    <w:p w14:paraId="45E65DE1" w14:textId="77777777" w:rsidR="0014181A" w:rsidRPr="00582024" w:rsidRDefault="0014181A" w:rsidP="0014181A">
      <w:pPr>
        <w:rPr>
          <w:rFonts w:cs="Arial"/>
          <w:bCs/>
          <w:color w:val="2A2767"/>
          <w:kern w:val="36"/>
          <w:sz w:val="36"/>
          <w:szCs w:val="32"/>
        </w:rPr>
      </w:pPr>
      <w:r w:rsidRPr="00582024">
        <w:rPr>
          <w:rFonts w:cs="Arial"/>
          <w:bCs/>
          <w:color w:val="2A2767"/>
          <w:kern w:val="36"/>
          <w:sz w:val="36"/>
          <w:szCs w:val="32"/>
        </w:rPr>
        <w:br w:type="page"/>
      </w:r>
    </w:p>
    <w:p w14:paraId="31AC5C87" w14:textId="77777777" w:rsidR="0014181A" w:rsidRPr="00131CEE" w:rsidRDefault="0014181A" w:rsidP="00AE76DF">
      <w:pPr>
        <w:pStyle w:val="Heading1"/>
      </w:pPr>
      <w:bookmarkStart w:id="39" w:name="_Toc240953486"/>
      <w:bookmarkStart w:id="40" w:name="_Toc243122925"/>
      <w:bookmarkStart w:id="41" w:name="_Toc260306663"/>
      <w:bookmarkStart w:id="42" w:name="_Toc377642918"/>
      <w:bookmarkStart w:id="43" w:name="_Toc489275734"/>
      <w:bookmarkStart w:id="44" w:name="_Toc4151632"/>
      <w:bookmarkStart w:id="45" w:name="_Toc6216220"/>
      <w:bookmarkStart w:id="46" w:name="_Toc24635592"/>
      <w:bookmarkStart w:id="47" w:name="_Toc46234258"/>
      <w:r>
        <w:lastRenderedPageBreak/>
        <w:t>Projections</w:t>
      </w:r>
      <w:bookmarkEnd w:id="39"/>
      <w:bookmarkEnd w:id="40"/>
      <w:bookmarkEnd w:id="41"/>
      <w:bookmarkEnd w:id="42"/>
      <w:bookmarkEnd w:id="43"/>
      <w:bookmarkEnd w:id="44"/>
      <w:bookmarkEnd w:id="45"/>
      <w:bookmarkEnd w:id="46"/>
      <w:bookmarkEnd w:id="47"/>
    </w:p>
    <w:p w14:paraId="3C666E13" w14:textId="77777777" w:rsidR="0014181A" w:rsidRDefault="0014181A" w:rsidP="0014181A">
      <w:pPr>
        <w:rPr>
          <w:rFonts w:cs="Calibri"/>
        </w:rPr>
      </w:pPr>
    </w:p>
    <w:p w14:paraId="4099B03C" w14:textId="77777777" w:rsidR="0014181A" w:rsidRDefault="0014181A" w:rsidP="0014181A">
      <w:pPr>
        <w:pStyle w:val="Instructions"/>
        <w:rPr>
          <w:highlight w:val="yellow"/>
        </w:rPr>
      </w:pPr>
      <w:r>
        <w:rPr>
          <w:highlight w:val="yellow"/>
        </w:rPr>
        <w:t xml:space="preserve">  </w:t>
      </w:r>
      <w:r w:rsidRPr="005C1A27">
        <w:rPr>
          <w:highlight w:val="yellow"/>
        </w:rPr>
        <w:t xml:space="preserve">For </w:t>
      </w:r>
      <w:r>
        <w:rPr>
          <w:highlight w:val="yellow"/>
        </w:rPr>
        <w:t>advice which includes investment product solutions, please</w:t>
      </w:r>
      <w:r w:rsidRPr="005C1A27">
        <w:rPr>
          <w:highlight w:val="yellow"/>
        </w:rPr>
        <w:t xml:space="preserve"> include</w:t>
      </w:r>
      <w:r>
        <w:rPr>
          <w:highlight w:val="yellow"/>
        </w:rPr>
        <w:t xml:space="preserve"> all relevant projections here.  </w:t>
      </w:r>
    </w:p>
    <w:p w14:paraId="630AC5C3" w14:textId="77777777" w:rsidR="0014181A" w:rsidRPr="005C1A27" w:rsidRDefault="0014181A" w:rsidP="0014181A">
      <w:pPr>
        <w:pStyle w:val="Instructions"/>
        <w:rPr>
          <w:highlight w:val="yellow"/>
        </w:rPr>
      </w:pPr>
      <w:r>
        <w:rPr>
          <w:highlight w:val="yellow"/>
        </w:rPr>
        <w:t xml:space="preserve">  Such projections may come from software (like Astute Wheel) or from research providers (such as Morningstar) or directly from product providers. </w:t>
      </w:r>
    </w:p>
    <w:p w14:paraId="2F51AD1F" w14:textId="77777777" w:rsidR="0014181A" w:rsidRDefault="0014181A" w:rsidP="0014181A">
      <w:pPr>
        <w:rPr>
          <w:rFonts w:cs="Calibri"/>
        </w:rPr>
      </w:pPr>
    </w:p>
    <w:p w14:paraId="6B6B4B96" w14:textId="77777777" w:rsidR="0014181A" w:rsidRPr="00FD0716" w:rsidRDefault="0014181A" w:rsidP="0014181A">
      <w:pPr>
        <w:rPr>
          <w:rFonts w:cs="Calibri"/>
          <w:lang w:val="en-AU"/>
        </w:rPr>
      </w:pPr>
      <w:bookmarkStart w:id="48" w:name="_Toc240953494"/>
      <w:bookmarkStart w:id="49" w:name="_Toc243122933"/>
      <w:r>
        <w:rPr>
          <w:rFonts w:cs="Calibri"/>
          <w:lang w:val="en-AU"/>
        </w:rPr>
        <w:br w:type="page"/>
      </w:r>
    </w:p>
    <w:p w14:paraId="0E3FA4B8" w14:textId="77777777" w:rsidR="0014181A" w:rsidRDefault="0014181A" w:rsidP="00AE76DF">
      <w:pPr>
        <w:pStyle w:val="Heading1"/>
      </w:pPr>
      <w:bookmarkStart w:id="50" w:name="_Toc377642919"/>
      <w:bookmarkStart w:id="51" w:name="_Toc489275735"/>
      <w:bookmarkStart w:id="52" w:name="_Toc4151633"/>
      <w:bookmarkStart w:id="53" w:name="_Toc6216221"/>
      <w:bookmarkStart w:id="54" w:name="_Toc24635593"/>
      <w:bookmarkStart w:id="55" w:name="_Toc46234259"/>
      <w:r w:rsidRPr="00C914AD">
        <w:lastRenderedPageBreak/>
        <w:t>Superannuation Comparisons</w:t>
      </w:r>
      <w:bookmarkEnd w:id="50"/>
      <w:bookmarkEnd w:id="51"/>
      <w:bookmarkEnd w:id="52"/>
      <w:bookmarkEnd w:id="53"/>
      <w:bookmarkEnd w:id="54"/>
      <w:bookmarkEnd w:id="55"/>
    </w:p>
    <w:p w14:paraId="3A9ED79F" w14:textId="77777777" w:rsidR="0014181A" w:rsidRPr="00E10A5D" w:rsidRDefault="0014181A" w:rsidP="0014181A"/>
    <w:p w14:paraId="7AC2D21D" w14:textId="77777777" w:rsidR="0014181A" w:rsidRPr="002B7A6D" w:rsidRDefault="0014181A" w:rsidP="0014181A">
      <w:pPr>
        <w:rPr>
          <w:color w:val="002060"/>
          <w:sz w:val="24"/>
        </w:rPr>
      </w:pPr>
      <w:r w:rsidRPr="002B7A6D">
        <w:rPr>
          <w:color w:val="002060"/>
          <w:sz w:val="24"/>
        </w:rPr>
        <w:t>Summary of Your Existing Plan(s)</w:t>
      </w:r>
    </w:p>
    <w:p w14:paraId="1F039D32"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1CC3AAF4"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68B247FA" w14:textId="77777777" w:rsidR="0014181A" w:rsidRPr="00131CEE" w:rsidRDefault="0014181A" w:rsidP="0014181A">
            <w:pPr>
              <w:pStyle w:val="TableHeader2"/>
            </w:pPr>
            <w:r w:rsidRPr="00131CEE">
              <w:t>Plan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1A80203C" w14:textId="77777777" w:rsidR="0014181A" w:rsidRPr="00582024" w:rsidRDefault="0014181A" w:rsidP="0014181A">
            <w:pPr>
              <w:spacing w:after="120"/>
              <w:jc w:val="center"/>
            </w:pPr>
            <w:r w:rsidRPr="00582024">
              <w:rPr>
                <w:rFonts w:ascii="Arial Narrow" w:hAnsi="Arial Narrow"/>
                <w:b/>
              </w:rPr>
              <w:t>Current</w:t>
            </w:r>
          </w:p>
          <w:p w14:paraId="40614C2E" w14:textId="77777777" w:rsidR="0014181A" w:rsidRPr="00582024" w:rsidRDefault="0014181A" w:rsidP="0014181A">
            <w:pPr>
              <w:spacing w:after="120"/>
              <w:jc w:val="center"/>
            </w:pPr>
            <w:r w:rsidRPr="00582024">
              <w:rPr>
                <w:rFonts w:ascii="Arial Narrow" w:hAnsi="Arial Narrow"/>
                <w:b/>
              </w:rPr>
              <w:t>Balance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FB444E5" w14:textId="77777777" w:rsidR="0014181A" w:rsidRPr="00582024" w:rsidRDefault="0014181A" w:rsidP="0014181A">
            <w:pPr>
              <w:spacing w:after="120"/>
              <w:jc w:val="center"/>
            </w:pPr>
            <w:r w:rsidRPr="00582024">
              <w:rPr>
                <w:rFonts w:ascii="Arial Narrow" w:hAnsi="Arial Narrow"/>
                <w:b/>
              </w:rPr>
              <w:t>SGC</w:t>
            </w:r>
          </w:p>
          <w:p w14:paraId="71C3EA44"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3FF3442" w14:textId="77777777" w:rsidR="0014181A" w:rsidRPr="00582024" w:rsidRDefault="0014181A" w:rsidP="0014181A">
            <w:pPr>
              <w:spacing w:after="120"/>
              <w:jc w:val="center"/>
            </w:pPr>
            <w:r w:rsidRPr="00582024">
              <w:rPr>
                <w:rFonts w:ascii="Arial Narrow" w:hAnsi="Arial Narrow"/>
                <w:b/>
              </w:rPr>
              <w:t>Salary Sacrifice</w:t>
            </w:r>
          </w:p>
          <w:p w14:paraId="70847DB3"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tcBorders>
            <w:shd w:val="clear" w:color="auto" w:fill="BFBFBF"/>
            <w:vAlign w:val="center"/>
          </w:tcPr>
          <w:p w14:paraId="25D71EEF" w14:textId="77777777" w:rsidR="0014181A" w:rsidRPr="00582024" w:rsidRDefault="0014181A" w:rsidP="0014181A">
            <w:pPr>
              <w:spacing w:after="120"/>
              <w:jc w:val="center"/>
            </w:pPr>
            <w:r w:rsidRPr="00582024">
              <w:rPr>
                <w:rFonts w:ascii="Arial Narrow" w:hAnsi="Arial Narrow"/>
                <w:b/>
              </w:rPr>
              <w:t>Non-</w:t>
            </w:r>
            <w:proofErr w:type="spellStart"/>
            <w:r w:rsidRPr="00582024">
              <w:rPr>
                <w:rFonts w:ascii="Arial Narrow" w:hAnsi="Arial Narrow"/>
                <w:b/>
              </w:rPr>
              <w:t>Concess</w:t>
            </w:r>
            <w:proofErr w:type="spellEnd"/>
            <w:r w:rsidRPr="00582024">
              <w:rPr>
                <w:rFonts w:ascii="Arial Narrow" w:hAnsi="Arial Narrow"/>
                <w:b/>
              </w:rPr>
              <w:t>.</w:t>
            </w:r>
          </w:p>
          <w:p w14:paraId="48CA87AC" w14:textId="77777777" w:rsidR="0014181A" w:rsidRPr="00582024" w:rsidRDefault="0014181A" w:rsidP="0014181A">
            <w:pPr>
              <w:spacing w:after="120"/>
              <w:jc w:val="center"/>
            </w:pPr>
            <w:r w:rsidRPr="00582024">
              <w:rPr>
                <w:rFonts w:ascii="Arial Narrow" w:hAnsi="Arial Narrow"/>
                <w:b/>
              </w:rPr>
              <w:t>Contribution</w:t>
            </w:r>
          </w:p>
        </w:tc>
      </w:tr>
      <w:tr w:rsidR="0014181A" w:rsidRPr="00131CEE" w14:paraId="34D97294" w14:textId="77777777" w:rsidTr="0014181A">
        <w:tc>
          <w:tcPr>
            <w:tcW w:w="2000" w:type="pct"/>
            <w:tcBorders>
              <w:top w:val="single" w:sz="2" w:space="0" w:color="808080"/>
              <w:bottom w:val="single" w:sz="2" w:space="0" w:color="808080"/>
              <w:right w:val="single" w:sz="24" w:space="0" w:color="FFFFFF"/>
            </w:tcBorders>
            <w:shd w:val="clear" w:color="auto" w:fill="auto"/>
          </w:tcPr>
          <w:p w14:paraId="19820179" w14:textId="77777777" w:rsidR="0014181A" w:rsidRPr="00707EB5" w:rsidRDefault="0014181A" w:rsidP="0014181A">
            <w:pPr>
              <w:pStyle w:val="TableText-Left"/>
            </w:pPr>
            <w:r w:rsidRPr="00707EB5">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B7F4697"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CC3DB35"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0BD5D9E"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4BBD3650" w14:textId="77777777" w:rsidR="0014181A" w:rsidRPr="00582024" w:rsidRDefault="0014181A" w:rsidP="0014181A">
            <w:pPr>
              <w:pStyle w:val="TableText-Right"/>
              <w:rPr>
                <w:color w:val="FF0000"/>
              </w:rPr>
            </w:pPr>
            <w:r w:rsidRPr="00582024">
              <w:rPr>
                <w:color w:val="FF0000"/>
              </w:rPr>
              <w:t>$___,___.__</w:t>
            </w:r>
          </w:p>
        </w:tc>
      </w:tr>
      <w:tr w:rsidR="0014181A" w:rsidRPr="00131CEE" w14:paraId="6C8ADE03" w14:textId="77777777" w:rsidTr="0014181A">
        <w:tc>
          <w:tcPr>
            <w:tcW w:w="2000" w:type="pct"/>
            <w:tcBorders>
              <w:top w:val="single" w:sz="2" w:space="0" w:color="808080"/>
              <w:bottom w:val="single" w:sz="2" w:space="0" w:color="808080"/>
              <w:right w:val="single" w:sz="24" w:space="0" w:color="FFFFFF"/>
            </w:tcBorders>
            <w:shd w:val="clear" w:color="auto" w:fill="auto"/>
          </w:tcPr>
          <w:p w14:paraId="150D779A" w14:textId="77777777" w:rsidR="0014181A" w:rsidRPr="00707EB5" w:rsidRDefault="0014181A" w:rsidP="0014181A">
            <w:pPr>
              <w:pStyle w:val="TableText-Left"/>
            </w:pPr>
            <w:r w:rsidRPr="00707EB5">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0B20EA2"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9E845D4"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ECB9BDA"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5426B8C2" w14:textId="77777777" w:rsidR="0014181A" w:rsidRPr="00582024" w:rsidRDefault="0014181A" w:rsidP="0014181A">
            <w:pPr>
              <w:pStyle w:val="TableText-Right"/>
              <w:rPr>
                <w:color w:val="FF0000"/>
              </w:rPr>
            </w:pPr>
            <w:r w:rsidRPr="00582024">
              <w:rPr>
                <w:color w:val="FF0000"/>
              </w:rPr>
              <w:t>$___,___.__</w:t>
            </w:r>
          </w:p>
        </w:tc>
      </w:tr>
      <w:tr w:rsidR="0014181A" w:rsidRPr="00131CEE" w14:paraId="7E655080" w14:textId="77777777" w:rsidTr="0014181A">
        <w:tc>
          <w:tcPr>
            <w:tcW w:w="2000" w:type="pct"/>
            <w:tcBorders>
              <w:top w:val="single" w:sz="2" w:space="0" w:color="808080"/>
              <w:right w:val="single" w:sz="24" w:space="0" w:color="FFFFFF"/>
            </w:tcBorders>
            <w:shd w:val="clear" w:color="auto" w:fill="auto"/>
          </w:tcPr>
          <w:p w14:paraId="26741CBE"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F7F5E0B"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6447AE9A"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D022549"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tcBorders>
            <w:shd w:val="clear" w:color="auto" w:fill="auto"/>
          </w:tcPr>
          <w:p w14:paraId="465D251B" w14:textId="77777777" w:rsidR="0014181A" w:rsidRPr="00707EB5" w:rsidRDefault="0014181A" w:rsidP="0014181A">
            <w:pPr>
              <w:pStyle w:val="TableText-RightBold"/>
            </w:pPr>
            <w:r w:rsidRPr="00707EB5">
              <w:t>$___,___.__</w:t>
            </w:r>
          </w:p>
        </w:tc>
      </w:tr>
    </w:tbl>
    <w:p w14:paraId="0FCE3A96"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2EB7192D"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75AA382C" w14:textId="77777777" w:rsidR="0014181A" w:rsidRPr="00131CEE" w:rsidRDefault="0014181A" w:rsidP="0014181A">
            <w:pPr>
              <w:pStyle w:val="TableHeader2"/>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1E39EC38" w14:textId="77777777" w:rsidR="0014181A" w:rsidRPr="00582024" w:rsidRDefault="0014181A" w:rsidP="0014181A">
            <w:pPr>
              <w:spacing w:after="120"/>
              <w:jc w:val="center"/>
            </w:pPr>
            <w:r w:rsidRPr="00582024">
              <w:rPr>
                <w:rFonts w:ascii="Arial Narrow" w:hAnsi="Arial Narrow"/>
                <w:b/>
              </w:rPr>
              <w:t>Allocated</w:t>
            </w:r>
          </w:p>
          <w:p w14:paraId="2F27DA1D"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6E76619" w14:textId="77777777" w:rsidR="0014181A" w:rsidRPr="00582024" w:rsidRDefault="0014181A" w:rsidP="0014181A">
            <w:pPr>
              <w:spacing w:after="120"/>
              <w:jc w:val="center"/>
            </w:pPr>
            <w:r w:rsidRPr="00582024">
              <w:rPr>
                <w:rFonts w:ascii="Arial Narrow" w:hAnsi="Arial Narrow"/>
                <w:b/>
              </w:rPr>
              <w:t>Allocated</w:t>
            </w:r>
          </w:p>
          <w:p w14:paraId="1644A593"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290BFBB" w14:textId="77777777" w:rsidR="0014181A" w:rsidRPr="00582024" w:rsidRDefault="0014181A" w:rsidP="0014181A">
            <w:pPr>
              <w:spacing w:after="120"/>
              <w:jc w:val="center"/>
            </w:pPr>
            <w:r w:rsidRPr="00582024">
              <w:rPr>
                <w:rFonts w:ascii="Arial Narrow" w:hAnsi="Arial Narrow"/>
                <w:b/>
              </w:rPr>
              <w:t>ICR</w:t>
            </w:r>
          </w:p>
          <w:p w14:paraId="66186623"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51133A8F" w14:textId="77777777" w:rsidR="0014181A" w:rsidRPr="00582024" w:rsidRDefault="0014181A" w:rsidP="0014181A">
            <w:pPr>
              <w:spacing w:after="120"/>
              <w:jc w:val="center"/>
            </w:pPr>
            <w:r w:rsidRPr="00582024">
              <w:rPr>
                <w:rFonts w:ascii="Arial Narrow" w:hAnsi="Arial Narrow"/>
                <w:b/>
              </w:rPr>
              <w:t>ICR</w:t>
            </w:r>
          </w:p>
          <w:p w14:paraId="69BA64BA" w14:textId="77777777" w:rsidR="0014181A" w:rsidRPr="00582024" w:rsidRDefault="0014181A" w:rsidP="0014181A">
            <w:pPr>
              <w:spacing w:after="120"/>
              <w:jc w:val="center"/>
            </w:pPr>
            <w:r w:rsidRPr="00582024">
              <w:rPr>
                <w:rFonts w:ascii="Arial Narrow" w:hAnsi="Arial Narrow"/>
                <w:b/>
              </w:rPr>
              <w:t>$ (pa)</w:t>
            </w:r>
          </w:p>
        </w:tc>
      </w:tr>
      <w:tr w:rsidR="0014181A" w:rsidRPr="00131CEE" w14:paraId="15DF7FC1" w14:textId="77777777" w:rsidTr="0014181A">
        <w:tc>
          <w:tcPr>
            <w:tcW w:w="2000" w:type="pct"/>
            <w:tcBorders>
              <w:top w:val="single" w:sz="2" w:space="0" w:color="808080"/>
              <w:bottom w:val="single" w:sz="2" w:space="0" w:color="808080"/>
              <w:right w:val="single" w:sz="24" w:space="0" w:color="FFFFFF"/>
            </w:tcBorders>
            <w:shd w:val="clear" w:color="auto" w:fill="auto"/>
          </w:tcPr>
          <w:p w14:paraId="414D9283" w14:textId="77777777" w:rsidR="0014181A" w:rsidRPr="00131CEE" w:rsidRDefault="0014181A" w:rsidP="0014181A">
            <w:pPr>
              <w:pStyle w:val="TableText-LeftBold"/>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7FA8A26"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192B67C"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346F955B"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tcBorders>
            <w:shd w:val="clear" w:color="auto" w:fill="auto"/>
          </w:tcPr>
          <w:p w14:paraId="37C18386" w14:textId="77777777" w:rsidR="0014181A" w:rsidRPr="00131CEE" w:rsidRDefault="0014181A" w:rsidP="0014181A">
            <w:pPr>
              <w:pStyle w:val="TableText-LeftBold"/>
            </w:pPr>
          </w:p>
        </w:tc>
      </w:tr>
      <w:tr w:rsidR="0014181A" w:rsidRPr="00131CEE" w14:paraId="3FFE5657" w14:textId="77777777" w:rsidTr="0014181A">
        <w:tc>
          <w:tcPr>
            <w:tcW w:w="2000" w:type="pct"/>
            <w:tcBorders>
              <w:top w:val="single" w:sz="2" w:space="0" w:color="808080"/>
              <w:bottom w:val="single" w:sz="2" w:space="0" w:color="808080"/>
              <w:right w:val="single" w:sz="24" w:space="0" w:color="FFFFFF"/>
            </w:tcBorders>
            <w:shd w:val="clear" w:color="auto" w:fill="auto"/>
          </w:tcPr>
          <w:p w14:paraId="3A34BAF2"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3F4B9B9"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E859F96"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7480BDE"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01FC1D57" w14:textId="77777777" w:rsidR="0014181A" w:rsidRPr="00582024" w:rsidRDefault="0014181A" w:rsidP="0014181A">
            <w:pPr>
              <w:pStyle w:val="TableText-Right"/>
              <w:rPr>
                <w:color w:val="FF0000"/>
              </w:rPr>
            </w:pPr>
            <w:r w:rsidRPr="00582024">
              <w:rPr>
                <w:color w:val="FF0000"/>
              </w:rPr>
              <w:t>$___,___.__</w:t>
            </w:r>
          </w:p>
        </w:tc>
      </w:tr>
      <w:tr w:rsidR="0014181A" w:rsidRPr="00131CEE" w14:paraId="70FB1818" w14:textId="77777777" w:rsidTr="0014181A">
        <w:tc>
          <w:tcPr>
            <w:tcW w:w="2000" w:type="pct"/>
            <w:tcBorders>
              <w:top w:val="single" w:sz="2" w:space="0" w:color="808080"/>
              <w:bottom w:val="single" w:sz="2" w:space="0" w:color="808080"/>
              <w:right w:val="single" w:sz="24" w:space="0" w:color="FFFFFF"/>
            </w:tcBorders>
            <w:shd w:val="clear" w:color="auto" w:fill="auto"/>
          </w:tcPr>
          <w:p w14:paraId="1B43293E"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7A91EDA3"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B56764F"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F058459"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21B32765" w14:textId="77777777" w:rsidR="0014181A" w:rsidRPr="00582024" w:rsidRDefault="0014181A" w:rsidP="0014181A">
            <w:pPr>
              <w:pStyle w:val="TableText-Right"/>
              <w:rPr>
                <w:color w:val="FF0000"/>
              </w:rPr>
            </w:pPr>
            <w:r w:rsidRPr="00582024">
              <w:rPr>
                <w:color w:val="FF0000"/>
              </w:rPr>
              <w:t>$___,___.__</w:t>
            </w:r>
          </w:p>
        </w:tc>
      </w:tr>
      <w:tr w:rsidR="0014181A" w:rsidRPr="00131CEE" w14:paraId="26BA14EA" w14:textId="77777777" w:rsidTr="0014181A">
        <w:tc>
          <w:tcPr>
            <w:tcW w:w="2000" w:type="pct"/>
            <w:tcBorders>
              <w:top w:val="single" w:sz="2" w:space="0" w:color="808080"/>
              <w:right w:val="single" w:sz="24" w:space="0" w:color="FFFFFF"/>
            </w:tcBorders>
            <w:shd w:val="clear" w:color="auto" w:fill="auto"/>
          </w:tcPr>
          <w:p w14:paraId="6BD838B8"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6104C92D" w14:textId="77777777" w:rsidR="0014181A" w:rsidRPr="00707EB5" w:rsidRDefault="0014181A" w:rsidP="0014181A">
            <w:pPr>
              <w:pStyle w:val="TableText-RightBold"/>
            </w:pPr>
            <w:r w:rsidRPr="00707EB5">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FA6B791" w14:textId="77777777" w:rsidR="0014181A" w:rsidRPr="00707EB5" w:rsidRDefault="0014181A" w:rsidP="0014181A">
            <w:pPr>
              <w:pStyle w:val="TableText-RightBold"/>
            </w:pPr>
            <w:r w:rsidRPr="00707EB5">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9DCDE97" w14:textId="77777777" w:rsidR="0014181A" w:rsidRPr="00707EB5" w:rsidRDefault="0014181A" w:rsidP="0014181A">
            <w:pPr>
              <w:pStyle w:val="TableText-RightBold"/>
            </w:pPr>
            <w:r w:rsidRPr="00707EB5">
              <w:t>__.__%</w:t>
            </w:r>
          </w:p>
        </w:tc>
        <w:tc>
          <w:tcPr>
            <w:tcW w:w="750" w:type="pct"/>
            <w:tcBorders>
              <w:top w:val="single" w:sz="2" w:space="0" w:color="808080"/>
              <w:left w:val="single" w:sz="24" w:space="0" w:color="FFFFFF"/>
              <w:bottom w:val="single" w:sz="2" w:space="0" w:color="808080"/>
            </w:tcBorders>
            <w:shd w:val="clear" w:color="auto" w:fill="auto"/>
          </w:tcPr>
          <w:p w14:paraId="79540112" w14:textId="77777777" w:rsidR="0014181A" w:rsidRPr="00707EB5" w:rsidRDefault="0014181A" w:rsidP="0014181A">
            <w:pPr>
              <w:pStyle w:val="TableText-RightBold"/>
            </w:pPr>
            <w:r w:rsidRPr="00707EB5">
              <w:t>$___,___.__</w:t>
            </w:r>
          </w:p>
        </w:tc>
      </w:tr>
    </w:tbl>
    <w:p w14:paraId="4BC114C5" w14:textId="77777777" w:rsidR="0014181A" w:rsidRDefault="0014181A" w:rsidP="0014181A">
      <w:pPr>
        <w:rPr>
          <w:rFonts w:cs="Calibri"/>
          <w:lang w:val="en-US"/>
        </w:rPr>
      </w:pPr>
    </w:p>
    <w:p w14:paraId="4946B982" w14:textId="77777777" w:rsidR="0014181A" w:rsidRPr="002B7A6D" w:rsidRDefault="0014181A" w:rsidP="0014181A">
      <w:pPr>
        <w:rPr>
          <w:color w:val="002060"/>
          <w:sz w:val="24"/>
        </w:rPr>
      </w:pPr>
      <w:r w:rsidRPr="002B7A6D">
        <w:rPr>
          <w:color w:val="002060"/>
          <w:sz w:val="24"/>
        </w:rPr>
        <w:t>Summary of Proposed Plans</w:t>
      </w:r>
    </w:p>
    <w:p w14:paraId="3947984D" w14:textId="77777777" w:rsidR="0014181A" w:rsidRPr="00E10A5D" w:rsidRDefault="0014181A" w:rsidP="0014181A"/>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7C3D1DF9"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0AAAA747" w14:textId="77777777" w:rsidR="0014181A" w:rsidRPr="00131CEE" w:rsidRDefault="0014181A" w:rsidP="0014181A">
            <w:pPr>
              <w:pStyle w:val="TableHeader2"/>
            </w:pPr>
            <w:r w:rsidRPr="00131CEE">
              <w:t>Plan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4FE01872" w14:textId="77777777" w:rsidR="0014181A" w:rsidRPr="00582024" w:rsidRDefault="0014181A" w:rsidP="0014181A">
            <w:pPr>
              <w:spacing w:after="120"/>
              <w:jc w:val="center"/>
            </w:pPr>
            <w:r w:rsidRPr="00582024">
              <w:rPr>
                <w:rFonts w:ascii="Arial Narrow" w:hAnsi="Arial Narrow"/>
                <w:b/>
              </w:rPr>
              <w:t>Current</w:t>
            </w:r>
          </w:p>
          <w:p w14:paraId="6316BC75" w14:textId="77777777" w:rsidR="0014181A" w:rsidRPr="00582024" w:rsidRDefault="0014181A" w:rsidP="0014181A">
            <w:pPr>
              <w:spacing w:after="120"/>
              <w:jc w:val="center"/>
            </w:pPr>
            <w:r w:rsidRPr="00582024">
              <w:rPr>
                <w:rFonts w:ascii="Arial Narrow" w:hAnsi="Arial Narrow"/>
                <w:b/>
              </w:rPr>
              <w:t>Balance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7A48B5AF" w14:textId="77777777" w:rsidR="0014181A" w:rsidRPr="00582024" w:rsidRDefault="0014181A" w:rsidP="0014181A">
            <w:pPr>
              <w:spacing w:after="120"/>
              <w:jc w:val="center"/>
            </w:pPr>
            <w:r w:rsidRPr="00582024">
              <w:rPr>
                <w:rFonts w:ascii="Arial Narrow" w:hAnsi="Arial Narrow"/>
                <w:b/>
              </w:rPr>
              <w:t>SGC</w:t>
            </w:r>
          </w:p>
          <w:p w14:paraId="526EEAF7"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438F142" w14:textId="77777777" w:rsidR="0014181A" w:rsidRPr="00582024" w:rsidRDefault="0014181A" w:rsidP="0014181A">
            <w:pPr>
              <w:spacing w:after="120"/>
              <w:jc w:val="center"/>
            </w:pPr>
            <w:r w:rsidRPr="00582024">
              <w:rPr>
                <w:rFonts w:ascii="Arial Narrow" w:hAnsi="Arial Narrow"/>
                <w:b/>
              </w:rPr>
              <w:t>Salary Sacrifice</w:t>
            </w:r>
          </w:p>
          <w:p w14:paraId="178C1731" w14:textId="77777777" w:rsidR="0014181A" w:rsidRPr="00582024" w:rsidRDefault="0014181A" w:rsidP="0014181A">
            <w:pPr>
              <w:spacing w:after="120"/>
              <w:jc w:val="center"/>
            </w:pPr>
            <w:r w:rsidRPr="00582024">
              <w:rPr>
                <w:rFonts w:ascii="Arial Narrow" w:hAnsi="Arial Narrow"/>
                <w:b/>
              </w:rPr>
              <w:t>Contribution</w:t>
            </w:r>
          </w:p>
        </w:tc>
        <w:tc>
          <w:tcPr>
            <w:tcW w:w="750" w:type="pct"/>
            <w:tcBorders>
              <w:top w:val="single" w:sz="2" w:space="0" w:color="808080"/>
              <w:left w:val="single" w:sz="24" w:space="0" w:color="FFFFFF"/>
              <w:bottom w:val="single" w:sz="2" w:space="0" w:color="808080"/>
            </w:tcBorders>
            <w:shd w:val="clear" w:color="auto" w:fill="BFBFBF"/>
            <w:vAlign w:val="center"/>
          </w:tcPr>
          <w:p w14:paraId="74627EB3" w14:textId="77777777" w:rsidR="0014181A" w:rsidRPr="00582024" w:rsidRDefault="0014181A" w:rsidP="0014181A">
            <w:pPr>
              <w:spacing w:after="120"/>
              <w:jc w:val="center"/>
            </w:pPr>
            <w:r w:rsidRPr="00582024">
              <w:rPr>
                <w:rFonts w:ascii="Arial Narrow" w:hAnsi="Arial Narrow"/>
                <w:b/>
              </w:rPr>
              <w:t>Non-</w:t>
            </w:r>
            <w:proofErr w:type="spellStart"/>
            <w:r w:rsidRPr="00582024">
              <w:rPr>
                <w:rFonts w:ascii="Arial Narrow" w:hAnsi="Arial Narrow"/>
                <w:b/>
              </w:rPr>
              <w:t>Concess</w:t>
            </w:r>
            <w:proofErr w:type="spellEnd"/>
            <w:r w:rsidRPr="00582024">
              <w:rPr>
                <w:rFonts w:ascii="Arial Narrow" w:hAnsi="Arial Narrow"/>
                <w:b/>
              </w:rPr>
              <w:t>.</w:t>
            </w:r>
          </w:p>
          <w:p w14:paraId="01A3994F" w14:textId="77777777" w:rsidR="0014181A" w:rsidRPr="00582024" w:rsidRDefault="0014181A" w:rsidP="0014181A">
            <w:pPr>
              <w:spacing w:after="120"/>
              <w:jc w:val="center"/>
            </w:pPr>
            <w:r w:rsidRPr="00582024">
              <w:rPr>
                <w:rFonts w:ascii="Arial Narrow" w:hAnsi="Arial Narrow"/>
                <w:b/>
              </w:rPr>
              <w:t>Contribution</w:t>
            </w:r>
          </w:p>
        </w:tc>
      </w:tr>
      <w:tr w:rsidR="0014181A" w:rsidRPr="00131CEE" w14:paraId="50F62FFE" w14:textId="77777777" w:rsidTr="0014181A">
        <w:tc>
          <w:tcPr>
            <w:tcW w:w="2000" w:type="pct"/>
            <w:tcBorders>
              <w:top w:val="single" w:sz="2" w:space="0" w:color="808080"/>
              <w:bottom w:val="single" w:sz="2" w:space="0" w:color="808080"/>
              <w:right w:val="single" w:sz="24" w:space="0" w:color="FFFFFF"/>
            </w:tcBorders>
            <w:shd w:val="clear" w:color="auto" w:fill="auto"/>
          </w:tcPr>
          <w:p w14:paraId="4FB3D517" w14:textId="77777777" w:rsidR="0014181A" w:rsidRPr="00131CEE" w:rsidRDefault="0014181A" w:rsidP="0014181A">
            <w:pPr>
              <w:pStyle w:val="TableText-Left"/>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102AD7F"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EC6A852"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6341AB2"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57F0EE63" w14:textId="77777777" w:rsidR="0014181A" w:rsidRPr="00582024" w:rsidRDefault="0014181A" w:rsidP="0014181A">
            <w:pPr>
              <w:pStyle w:val="TableText-Right"/>
              <w:rPr>
                <w:color w:val="FF0000"/>
              </w:rPr>
            </w:pPr>
            <w:r w:rsidRPr="00582024">
              <w:rPr>
                <w:color w:val="FF0000"/>
              </w:rPr>
              <w:t>$___,___.__</w:t>
            </w:r>
          </w:p>
        </w:tc>
      </w:tr>
      <w:tr w:rsidR="0014181A" w:rsidRPr="00131CEE" w14:paraId="41A02E5E" w14:textId="77777777" w:rsidTr="0014181A">
        <w:tc>
          <w:tcPr>
            <w:tcW w:w="2000" w:type="pct"/>
            <w:tcBorders>
              <w:top w:val="single" w:sz="2" w:space="0" w:color="808080"/>
              <w:bottom w:val="single" w:sz="2" w:space="0" w:color="808080"/>
              <w:right w:val="single" w:sz="24" w:space="0" w:color="FFFFFF"/>
            </w:tcBorders>
            <w:shd w:val="clear" w:color="auto" w:fill="auto"/>
          </w:tcPr>
          <w:p w14:paraId="0F9C0FEC" w14:textId="77777777" w:rsidR="0014181A" w:rsidRPr="00131CEE" w:rsidRDefault="0014181A" w:rsidP="0014181A">
            <w:pPr>
              <w:pStyle w:val="TableText-Left"/>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711B92BE"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9D98433"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38B17810"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0B57C7FF" w14:textId="77777777" w:rsidR="0014181A" w:rsidRPr="00582024" w:rsidRDefault="0014181A" w:rsidP="0014181A">
            <w:pPr>
              <w:pStyle w:val="TableText-Right"/>
              <w:rPr>
                <w:color w:val="FF0000"/>
              </w:rPr>
            </w:pPr>
            <w:r w:rsidRPr="00582024">
              <w:rPr>
                <w:color w:val="FF0000"/>
              </w:rPr>
              <w:t>$___,___.__</w:t>
            </w:r>
          </w:p>
        </w:tc>
      </w:tr>
      <w:tr w:rsidR="0014181A" w:rsidRPr="00B950F9" w14:paraId="2E653A2E" w14:textId="77777777" w:rsidTr="0014181A">
        <w:tc>
          <w:tcPr>
            <w:tcW w:w="2000" w:type="pct"/>
            <w:tcBorders>
              <w:top w:val="single" w:sz="2" w:space="0" w:color="808080"/>
              <w:right w:val="single" w:sz="24" w:space="0" w:color="FFFFFF"/>
            </w:tcBorders>
            <w:shd w:val="clear" w:color="auto" w:fill="auto"/>
          </w:tcPr>
          <w:p w14:paraId="391FB6D9"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0B66F7D"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1DFBAEB"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3F129F2A"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tcBorders>
            <w:shd w:val="clear" w:color="auto" w:fill="auto"/>
          </w:tcPr>
          <w:p w14:paraId="4870E746" w14:textId="77777777" w:rsidR="0014181A" w:rsidRPr="00B950F9" w:rsidRDefault="0014181A" w:rsidP="0014181A">
            <w:pPr>
              <w:pStyle w:val="TableText-Right"/>
            </w:pPr>
            <w:r w:rsidRPr="00B950F9">
              <w:rPr>
                <w:b/>
                <w:color w:val="FF0000"/>
              </w:rPr>
              <w:t>$___,___.__</w:t>
            </w:r>
          </w:p>
        </w:tc>
      </w:tr>
    </w:tbl>
    <w:p w14:paraId="7C75B0B4"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3854"/>
        <w:gridCol w:w="1446"/>
        <w:gridCol w:w="1446"/>
        <w:gridCol w:w="1446"/>
        <w:gridCol w:w="1446"/>
      </w:tblGrid>
      <w:tr w:rsidR="0014181A" w:rsidRPr="00131CEE" w14:paraId="525767D2" w14:textId="77777777" w:rsidTr="0014181A">
        <w:trPr>
          <w:tblHeader/>
        </w:trPr>
        <w:tc>
          <w:tcPr>
            <w:tcW w:w="2000" w:type="pct"/>
            <w:tcBorders>
              <w:top w:val="single" w:sz="2" w:space="0" w:color="808080"/>
              <w:bottom w:val="single" w:sz="2" w:space="0" w:color="808080"/>
              <w:right w:val="single" w:sz="24" w:space="0" w:color="FFFFFF"/>
            </w:tcBorders>
            <w:shd w:val="clear" w:color="auto" w:fill="BFBFBF"/>
            <w:vAlign w:val="center"/>
          </w:tcPr>
          <w:p w14:paraId="4A08D9DC" w14:textId="77777777" w:rsidR="0014181A" w:rsidRPr="00131CEE" w:rsidRDefault="0014181A" w:rsidP="0014181A">
            <w:pPr>
              <w:pStyle w:val="TableHeader2"/>
            </w:pPr>
            <w:r>
              <w:t>Name</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09A9920" w14:textId="77777777" w:rsidR="0014181A" w:rsidRPr="00582024" w:rsidRDefault="0014181A" w:rsidP="0014181A">
            <w:pPr>
              <w:spacing w:after="120"/>
              <w:jc w:val="center"/>
            </w:pPr>
            <w:r w:rsidRPr="00582024">
              <w:rPr>
                <w:rFonts w:ascii="Arial Narrow" w:hAnsi="Arial Narrow"/>
                <w:b/>
              </w:rPr>
              <w:t>Allocated</w:t>
            </w:r>
          </w:p>
          <w:p w14:paraId="55F1300C"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0CD2AE1" w14:textId="77777777" w:rsidR="0014181A" w:rsidRPr="00582024" w:rsidRDefault="0014181A" w:rsidP="0014181A">
            <w:pPr>
              <w:spacing w:after="120"/>
              <w:jc w:val="center"/>
            </w:pPr>
            <w:r w:rsidRPr="00582024">
              <w:rPr>
                <w:rFonts w:ascii="Arial Narrow" w:hAnsi="Arial Narrow"/>
                <w:b/>
              </w:rPr>
              <w:t>Allocated</w:t>
            </w:r>
          </w:p>
          <w:p w14:paraId="79F2D081"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7335CBBD" w14:textId="77777777" w:rsidR="0014181A" w:rsidRPr="00582024" w:rsidRDefault="0014181A" w:rsidP="0014181A">
            <w:pPr>
              <w:spacing w:after="120"/>
              <w:jc w:val="center"/>
            </w:pPr>
            <w:r w:rsidRPr="00582024">
              <w:rPr>
                <w:rFonts w:ascii="Arial Narrow" w:hAnsi="Arial Narrow"/>
                <w:b/>
              </w:rPr>
              <w:t>ICR</w:t>
            </w:r>
          </w:p>
          <w:p w14:paraId="71D5FAA2"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38FD0520" w14:textId="77777777" w:rsidR="0014181A" w:rsidRPr="00582024" w:rsidRDefault="0014181A" w:rsidP="0014181A">
            <w:pPr>
              <w:spacing w:after="120"/>
              <w:jc w:val="center"/>
            </w:pPr>
            <w:r w:rsidRPr="00582024">
              <w:rPr>
                <w:rFonts w:ascii="Arial Narrow" w:hAnsi="Arial Narrow"/>
                <w:b/>
              </w:rPr>
              <w:t>ICR</w:t>
            </w:r>
          </w:p>
          <w:p w14:paraId="5DBA623B" w14:textId="77777777" w:rsidR="0014181A" w:rsidRPr="00582024" w:rsidRDefault="0014181A" w:rsidP="0014181A">
            <w:pPr>
              <w:spacing w:after="120"/>
              <w:jc w:val="center"/>
            </w:pPr>
            <w:r w:rsidRPr="00582024">
              <w:rPr>
                <w:rFonts w:ascii="Arial Narrow" w:hAnsi="Arial Narrow"/>
                <w:b/>
              </w:rPr>
              <w:t>$ (pa)</w:t>
            </w:r>
          </w:p>
        </w:tc>
      </w:tr>
      <w:tr w:rsidR="0014181A" w:rsidRPr="00131CEE" w14:paraId="3B5ADD69" w14:textId="77777777" w:rsidTr="0014181A">
        <w:tc>
          <w:tcPr>
            <w:tcW w:w="2000" w:type="pct"/>
            <w:tcBorders>
              <w:top w:val="single" w:sz="2" w:space="0" w:color="808080"/>
              <w:bottom w:val="single" w:sz="2" w:space="0" w:color="808080"/>
              <w:right w:val="single" w:sz="24" w:space="0" w:color="FFFFFF"/>
            </w:tcBorders>
            <w:shd w:val="clear" w:color="auto" w:fill="auto"/>
          </w:tcPr>
          <w:p w14:paraId="7E36BCD3" w14:textId="77777777" w:rsidR="0014181A" w:rsidRPr="00131CEE" w:rsidRDefault="0014181A" w:rsidP="0014181A">
            <w:pPr>
              <w:pStyle w:val="TableText-LeftBold"/>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14F6ED2E"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FF5C15F"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7208342C" w14:textId="77777777" w:rsidR="0014181A" w:rsidRPr="00131CEE" w:rsidRDefault="0014181A" w:rsidP="0014181A">
            <w:pPr>
              <w:pStyle w:val="TableText-LeftBold"/>
            </w:pPr>
          </w:p>
        </w:tc>
        <w:tc>
          <w:tcPr>
            <w:tcW w:w="750" w:type="pct"/>
            <w:tcBorders>
              <w:top w:val="single" w:sz="2" w:space="0" w:color="808080"/>
              <w:left w:val="single" w:sz="24" w:space="0" w:color="FFFFFF"/>
              <w:bottom w:val="single" w:sz="2" w:space="0" w:color="808080"/>
            </w:tcBorders>
            <w:shd w:val="clear" w:color="auto" w:fill="auto"/>
          </w:tcPr>
          <w:p w14:paraId="3FC673F2" w14:textId="77777777" w:rsidR="0014181A" w:rsidRPr="00131CEE" w:rsidRDefault="0014181A" w:rsidP="0014181A">
            <w:pPr>
              <w:pStyle w:val="TableText-LeftBold"/>
            </w:pPr>
          </w:p>
        </w:tc>
      </w:tr>
      <w:tr w:rsidR="0014181A" w:rsidRPr="00131CEE" w14:paraId="57E39FF5" w14:textId="77777777" w:rsidTr="0014181A">
        <w:tc>
          <w:tcPr>
            <w:tcW w:w="2000" w:type="pct"/>
            <w:tcBorders>
              <w:top w:val="single" w:sz="2" w:space="0" w:color="808080"/>
              <w:bottom w:val="single" w:sz="2" w:space="0" w:color="808080"/>
              <w:right w:val="single" w:sz="24" w:space="0" w:color="FFFFFF"/>
            </w:tcBorders>
            <w:shd w:val="clear" w:color="auto" w:fill="auto"/>
          </w:tcPr>
          <w:p w14:paraId="27ECDE76"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51F1C20"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586C77F"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EA0451B"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5587DAD9" w14:textId="77777777" w:rsidR="0014181A" w:rsidRPr="00582024" w:rsidRDefault="0014181A" w:rsidP="0014181A">
            <w:pPr>
              <w:pStyle w:val="TableText-Right"/>
              <w:rPr>
                <w:color w:val="FF0000"/>
              </w:rPr>
            </w:pPr>
            <w:r w:rsidRPr="00582024">
              <w:rPr>
                <w:color w:val="FF0000"/>
              </w:rPr>
              <w:t>$___,___.__</w:t>
            </w:r>
          </w:p>
        </w:tc>
      </w:tr>
      <w:tr w:rsidR="0014181A" w:rsidRPr="00131CEE" w14:paraId="747D088C" w14:textId="77777777" w:rsidTr="0014181A">
        <w:tc>
          <w:tcPr>
            <w:tcW w:w="2000" w:type="pct"/>
            <w:tcBorders>
              <w:top w:val="single" w:sz="2" w:space="0" w:color="808080"/>
              <w:bottom w:val="single" w:sz="2" w:space="0" w:color="808080"/>
              <w:right w:val="single" w:sz="24" w:space="0" w:color="FFFFFF"/>
            </w:tcBorders>
            <w:shd w:val="clear" w:color="auto" w:fill="auto"/>
          </w:tcPr>
          <w:p w14:paraId="527C4DC6" w14:textId="77777777" w:rsidR="0014181A" w:rsidRPr="00131CEE" w:rsidRDefault="0014181A" w:rsidP="0014181A">
            <w:pPr>
              <w:pStyle w:val="TableText-Left"/>
            </w:pPr>
            <w:r>
              <w:t>[Investment Option]</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5C0819F"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5395853" w14:textId="77777777" w:rsidR="0014181A" w:rsidRPr="00582024" w:rsidRDefault="0014181A" w:rsidP="0014181A">
            <w:pPr>
              <w:pStyle w:val="TableText-Right"/>
              <w:rPr>
                <w:color w:val="FF0000"/>
              </w:rPr>
            </w:pPr>
            <w:r w:rsidRPr="00582024">
              <w:rPr>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3FE3E65" w14:textId="77777777" w:rsidR="0014181A" w:rsidRPr="00582024" w:rsidRDefault="0014181A" w:rsidP="0014181A">
            <w:pPr>
              <w:pStyle w:val="TableText-Right"/>
              <w:rPr>
                <w:color w:val="FF0000"/>
              </w:rPr>
            </w:pPr>
            <w:r w:rsidRPr="00582024">
              <w:rPr>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0BAC8528" w14:textId="77777777" w:rsidR="0014181A" w:rsidRPr="00582024" w:rsidRDefault="0014181A" w:rsidP="0014181A">
            <w:pPr>
              <w:pStyle w:val="TableText-Right"/>
              <w:rPr>
                <w:color w:val="FF0000"/>
              </w:rPr>
            </w:pPr>
            <w:r w:rsidRPr="00582024">
              <w:rPr>
                <w:color w:val="FF0000"/>
              </w:rPr>
              <w:t>$___,___.__</w:t>
            </w:r>
          </w:p>
        </w:tc>
      </w:tr>
      <w:tr w:rsidR="0014181A" w:rsidRPr="00131CEE" w14:paraId="5DCFCF13" w14:textId="77777777" w:rsidTr="0014181A">
        <w:tc>
          <w:tcPr>
            <w:tcW w:w="2000" w:type="pct"/>
            <w:tcBorders>
              <w:top w:val="single" w:sz="2" w:space="0" w:color="808080"/>
              <w:right w:val="single" w:sz="24" w:space="0" w:color="FFFFFF"/>
            </w:tcBorders>
            <w:shd w:val="clear" w:color="auto" w:fill="auto"/>
          </w:tcPr>
          <w:p w14:paraId="7BBDEBD3"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00CFF5B" w14:textId="77777777" w:rsidR="0014181A" w:rsidRPr="00B950F9" w:rsidRDefault="0014181A" w:rsidP="0014181A">
            <w:pPr>
              <w:pStyle w:val="TableText-Right"/>
            </w:pPr>
            <w:r w:rsidRPr="00B950F9">
              <w:rPr>
                <w:b/>
                <w:color w:val="FF0000"/>
              </w:rPr>
              <w:t>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DAD09B8" w14:textId="77777777" w:rsidR="0014181A" w:rsidRPr="00B950F9" w:rsidRDefault="0014181A" w:rsidP="0014181A">
            <w:pPr>
              <w:pStyle w:val="TableText-Right"/>
            </w:pPr>
            <w:r w:rsidRPr="00B950F9">
              <w:rPr>
                <w:b/>
                <w:color w:val="FF0000"/>
              </w:rPr>
              <w:t>$___,___.__</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25AB283" w14:textId="77777777" w:rsidR="0014181A" w:rsidRPr="00B950F9" w:rsidRDefault="0014181A" w:rsidP="0014181A">
            <w:pPr>
              <w:pStyle w:val="TableText-Right"/>
            </w:pPr>
            <w:r w:rsidRPr="00B950F9">
              <w:rPr>
                <w:b/>
                <w:color w:val="FF0000"/>
              </w:rPr>
              <w:t>__.__%</w:t>
            </w:r>
          </w:p>
        </w:tc>
        <w:tc>
          <w:tcPr>
            <w:tcW w:w="750" w:type="pct"/>
            <w:tcBorders>
              <w:top w:val="single" w:sz="2" w:space="0" w:color="808080"/>
              <w:left w:val="single" w:sz="24" w:space="0" w:color="FFFFFF"/>
              <w:bottom w:val="single" w:sz="2" w:space="0" w:color="808080"/>
            </w:tcBorders>
            <w:shd w:val="clear" w:color="auto" w:fill="auto"/>
          </w:tcPr>
          <w:p w14:paraId="6C7EF6D2" w14:textId="77777777" w:rsidR="0014181A" w:rsidRPr="00B950F9" w:rsidRDefault="0014181A" w:rsidP="0014181A">
            <w:pPr>
              <w:pStyle w:val="TableText-Right"/>
            </w:pPr>
            <w:r w:rsidRPr="00B950F9">
              <w:rPr>
                <w:b/>
                <w:color w:val="FF0000"/>
              </w:rPr>
              <w:t>$___,___.__</w:t>
            </w:r>
          </w:p>
        </w:tc>
      </w:tr>
    </w:tbl>
    <w:p w14:paraId="0847F555" w14:textId="77777777" w:rsidR="0014181A" w:rsidRDefault="0014181A" w:rsidP="0014181A">
      <w:pPr>
        <w:spacing w:after="120"/>
        <w:jc w:val="right"/>
        <w:rPr>
          <w:rFonts w:eastAsia="Times New Roman" w:cs="Calibri"/>
          <w:bCs/>
          <w:kern w:val="1"/>
          <w:sz w:val="16"/>
          <w:szCs w:val="16"/>
          <w:lang w:val="en-US"/>
        </w:rPr>
      </w:pPr>
    </w:p>
    <w:p w14:paraId="22DD3E50" w14:textId="77777777" w:rsidR="0014181A" w:rsidRPr="002B7A6D" w:rsidRDefault="0014181A" w:rsidP="0014181A">
      <w:pPr>
        <w:rPr>
          <w:color w:val="002060"/>
          <w:sz w:val="24"/>
        </w:rPr>
      </w:pPr>
      <w:r w:rsidRPr="002B7A6D">
        <w:rPr>
          <w:color w:val="002060"/>
          <w:sz w:val="24"/>
        </w:rPr>
        <w:t>Costs</w:t>
      </w:r>
    </w:p>
    <w:p w14:paraId="1CAC527D" w14:textId="77777777" w:rsidR="0014181A" w:rsidRPr="00FD0716" w:rsidRDefault="0014181A" w:rsidP="0014181A">
      <w:pPr>
        <w:rPr>
          <w:rFonts w:cs="Calibri"/>
          <w:szCs w:val="20"/>
        </w:rPr>
      </w:pPr>
    </w:p>
    <w:p w14:paraId="19E54D92" w14:textId="77777777" w:rsidR="0014181A" w:rsidRPr="002B7A6D" w:rsidRDefault="0014181A" w:rsidP="0014181A">
      <w:pPr>
        <w:rPr>
          <w:b/>
        </w:rPr>
      </w:pPr>
      <w:r w:rsidRPr="002B7A6D">
        <w:rPr>
          <w:b/>
        </w:rPr>
        <w:t>Initial One-Off Costs</w:t>
      </w:r>
    </w:p>
    <w:p w14:paraId="0CDD8A72"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1927"/>
        <w:gridCol w:w="1928"/>
        <w:gridCol w:w="2891"/>
        <w:gridCol w:w="1446"/>
        <w:gridCol w:w="1446"/>
      </w:tblGrid>
      <w:tr w:rsidR="0014181A" w:rsidRPr="00131CEE" w14:paraId="716CFFE2" w14:textId="77777777" w:rsidTr="0014181A">
        <w:trPr>
          <w:tblHeader/>
        </w:trPr>
        <w:tc>
          <w:tcPr>
            <w:tcW w:w="1000" w:type="pct"/>
            <w:tcBorders>
              <w:top w:val="single" w:sz="2" w:space="0" w:color="808080"/>
              <w:bottom w:val="single" w:sz="2" w:space="0" w:color="808080"/>
              <w:right w:val="single" w:sz="24" w:space="0" w:color="FFFFFF"/>
            </w:tcBorders>
            <w:shd w:val="clear" w:color="auto" w:fill="BFBFBF"/>
            <w:vAlign w:val="center"/>
          </w:tcPr>
          <w:p w14:paraId="2A14F7EE" w14:textId="77777777" w:rsidR="0014181A" w:rsidRPr="00131CEE" w:rsidRDefault="0014181A" w:rsidP="0014181A">
            <w:pPr>
              <w:pStyle w:val="TableHeader2"/>
            </w:pPr>
            <w:r>
              <w:t>Fee Type</w:t>
            </w:r>
          </w:p>
        </w:tc>
        <w:tc>
          <w:tcPr>
            <w:tcW w:w="10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1782800" w14:textId="77777777" w:rsidR="0014181A" w:rsidRPr="00131CEE" w:rsidRDefault="0014181A" w:rsidP="0014181A">
            <w:pPr>
              <w:pStyle w:val="TableHeader2"/>
            </w:pPr>
            <w:r>
              <w:t>Relating To</w:t>
            </w:r>
          </w:p>
        </w:tc>
        <w:tc>
          <w:tcPr>
            <w:tcW w:w="15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79A346DD" w14:textId="77777777" w:rsidR="0014181A" w:rsidRPr="00131CEE" w:rsidRDefault="0014181A" w:rsidP="0014181A">
            <w:pPr>
              <w:pStyle w:val="TableHeader2"/>
            </w:pPr>
            <w:r>
              <w:t>Payment Method</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7E27557"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15BC3C96" w14:textId="77777777" w:rsidR="0014181A" w:rsidRPr="00582024" w:rsidRDefault="0014181A" w:rsidP="0014181A">
            <w:pPr>
              <w:spacing w:after="120"/>
              <w:jc w:val="center"/>
            </w:pPr>
            <w:r w:rsidRPr="00582024">
              <w:rPr>
                <w:rFonts w:ascii="Arial Narrow" w:hAnsi="Arial Narrow"/>
                <w:b/>
              </w:rPr>
              <w:t>$</w:t>
            </w:r>
          </w:p>
        </w:tc>
      </w:tr>
      <w:tr w:rsidR="0014181A" w:rsidRPr="00131CEE" w14:paraId="4DBD653D" w14:textId="77777777" w:rsidTr="0014181A">
        <w:tc>
          <w:tcPr>
            <w:tcW w:w="1000" w:type="pct"/>
            <w:tcBorders>
              <w:top w:val="single" w:sz="2" w:space="0" w:color="808080"/>
              <w:bottom w:val="single" w:sz="2" w:space="0" w:color="808080"/>
              <w:right w:val="single" w:sz="24" w:space="0" w:color="FFFFFF"/>
            </w:tcBorders>
            <w:shd w:val="clear" w:color="auto" w:fill="auto"/>
          </w:tcPr>
          <w:p w14:paraId="7DA1868C" w14:textId="77777777" w:rsidR="0014181A" w:rsidRPr="00582024" w:rsidRDefault="0014181A" w:rsidP="0014181A">
            <w:pPr>
              <w:spacing w:after="120"/>
            </w:pPr>
            <w:r w:rsidRPr="00582024">
              <w:rPr>
                <w:rFonts w:ascii="Arial Narrow" w:hAnsi="Arial Narrow"/>
                <w:szCs w:val="20"/>
              </w:rPr>
              <w:t>Advice Preparation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38B39608" w14:textId="77777777" w:rsidR="0014181A" w:rsidRPr="00131CEE" w:rsidRDefault="0014181A" w:rsidP="0014181A">
            <w:pPr>
              <w:pStyle w:val="TableText-Left"/>
            </w:pPr>
            <w:r>
              <w:t xml:space="preserve">This </w:t>
            </w:r>
            <w:proofErr w:type="spellStart"/>
            <w:r>
              <w:t>SoA</w:t>
            </w:r>
            <w:proofErr w:type="spellEnd"/>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5C8F7D68" w14:textId="77777777" w:rsidR="0014181A" w:rsidRPr="00582024" w:rsidRDefault="0014181A" w:rsidP="0014181A">
            <w:pPr>
              <w:spacing w:after="120"/>
            </w:pPr>
            <w:r w:rsidRPr="00582024">
              <w:rPr>
                <w:rFonts w:ascii="Arial Narrow" w:hAnsi="Arial Narrow"/>
                <w:color w:val="7030A0"/>
                <w:szCs w:val="20"/>
                <w:highlight w:val="yellow"/>
              </w:rPr>
              <w:t>[Invoiced Separately]</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7CAEA15" w14:textId="77777777" w:rsidR="0014181A" w:rsidRPr="00131CEE" w:rsidRDefault="0014181A" w:rsidP="0014181A">
            <w:pPr>
              <w:pStyle w:val="TableText-Centre"/>
            </w:pPr>
            <w:r>
              <w:t>N/App</w:t>
            </w:r>
          </w:p>
        </w:tc>
        <w:tc>
          <w:tcPr>
            <w:tcW w:w="750" w:type="pct"/>
            <w:tcBorders>
              <w:top w:val="single" w:sz="2" w:space="0" w:color="808080"/>
              <w:left w:val="single" w:sz="24" w:space="0" w:color="FFFFFF"/>
              <w:bottom w:val="single" w:sz="2" w:space="0" w:color="808080"/>
            </w:tcBorders>
            <w:shd w:val="clear" w:color="auto" w:fill="auto"/>
          </w:tcPr>
          <w:p w14:paraId="0E82DF4E" w14:textId="77777777" w:rsidR="0014181A" w:rsidRPr="00582024" w:rsidRDefault="0014181A" w:rsidP="0014181A">
            <w:pPr>
              <w:pStyle w:val="TableText-Right"/>
              <w:rPr>
                <w:color w:val="FF0000"/>
              </w:rPr>
            </w:pPr>
            <w:r w:rsidRPr="00582024">
              <w:rPr>
                <w:color w:val="FF0000"/>
              </w:rPr>
              <w:t>$___,___.__</w:t>
            </w:r>
          </w:p>
        </w:tc>
      </w:tr>
      <w:tr w:rsidR="0014181A" w:rsidRPr="007274B7" w14:paraId="267DB936" w14:textId="77777777" w:rsidTr="0014181A">
        <w:tc>
          <w:tcPr>
            <w:tcW w:w="1000" w:type="pct"/>
            <w:tcBorders>
              <w:top w:val="single" w:sz="2" w:space="0" w:color="808080"/>
              <w:bottom w:val="single" w:sz="2" w:space="0" w:color="808080"/>
              <w:right w:val="single" w:sz="24" w:space="0" w:color="FFFFFF"/>
            </w:tcBorders>
            <w:shd w:val="clear" w:color="auto" w:fill="auto"/>
          </w:tcPr>
          <w:p w14:paraId="75E1ADF2" w14:textId="77777777" w:rsidR="0014181A" w:rsidRPr="00582024" w:rsidRDefault="0014181A" w:rsidP="0014181A">
            <w:pPr>
              <w:spacing w:after="120"/>
            </w:pPr>
            <w:r w:rsidRPr="00582024">
              <w:rPr>
                <w:rFonts w:ascii="Arial Narrow" w:hAnsi="Arial Narrow"/>
                <w:szCs w:val="20"/>
              </w:rPr>
              <w:t>Advice Implementation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6DDB267B"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0B602968"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32143D7"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2E344667" w14:textId="77777777" w:rsidR="0014181A" w:rsidRPr="00582024" w:rsidRDefault="0014181A" w:rsidP="0014181A">
            <w:pPr>
              <w:pStyle w:val="TableText-Right"/>
              <w:rPr>
                <w:color w:val="FF0000"/>
              </w:rPr>
            </w:pPr>
            <w:r w:rsidRPr="00582024">
              <w:rPr>
                <w:color w:val="FF0000"/>
              </w:rPr>
              <w:t>$___,___.__</w:t>
            </w:r>
          </w:p>
        </w:tc>
      </w:tr>
      <w:tr w:rsidR="0014181A" w:rsidRPr="00131CEE" w14:paraId="33074E0F" w14:textId="77777777" w:rsidTr="0014181A">
        <w:tblPrEx>
          <w:tblBorders>
            <w:top w:val="single" w:sz="2" w:space="0" w:color="808080"/>
            <w:insideH w:val="single" w:sz="24" w:space="0" w:color="FFFFFF"/>
            <w:insideV w:val="single" w:sz="24" w:space="0" w:color="FFFFFF"/>
          </w:tblBorders>
        </w:tblPrEx>
        <w:tc>
          <w:tcPr>
            <w:tcW w:w="1000" w:type="pct"/>
            <w:tcBorders>
              <w:top w:val="single" w:sz="2" w:space="0" w:color="808080"/>
            </w:tcBorders>
            <w:shd w:val="clear" w:color="auto" w:fill="auto"/>
          </w:tcPr>
          <w:p w14:paraId="4037044A" w14:textId="77777777" w:rsidR="0014181A" w:rsidRPr="00131CEE" w:rsidRDefault="0014181A" w:rsidP="0014181A">
            <w:pPr>
              <w:pStyle w:val="TableText-RightBold"/>
            </w:pPr>
          </w:p>
        </w:tc>
        <w:tc>
          <w:tcPr>
            <w:tcW w:w="1000" w:type="pct"/>
            <w:tcBorders>
              <w:top w:val="single" w:sz="2" w:space="0" w:color="808080"/>
            </w:tcBorders>
            <w:shd w:val="clear" w:color="auto" w:fill="auto"/>
          </w:tcPr>
          <w:p w14:paraId="19AC6327" w14:textId="77777777" w:rsidR="0014181A" w:rsidRPr="00131CEE" w:rsidRDefault="0014181A" w:rsidP="0014181A">
            <w:pPr>
              <w:pStyle w:val="TableText-RightBold"/>
            </w:pPr>
          </w:p>
        </w:tc>
        <w:tc>
          <w:tcPr>
            <w:tcW w:w="1500" w:type="pct"/>
            <w:tcBorders>
              <w:top w:val="single" w:sz="2" w:space="0" w:color="808080"/>
            </w:tcBorders>
            <w:shd w:val="clear" w:color="auto" w:fill="auto"/>
          </w:tcPr>
          <w:p w14:paraId="05648199" w14:textId="77777777" w:rsidR="0014181A" w:rsidRPr="00131CEE" w:rsidRDefault="0014181A" w:rsidP="0014181A">
            <w:pPr>
              <w:pStyle w:val="TableText-RightBold"/>
            </w:pPr>
          </w:p>
        </w:tc>
        <w:tc>
          <w:tcPr>
            <w:tcW w:w="750" w:type="pct"/>
            <w:tcBorders>
              <w:top w:val="single" w:sz="2" w:space="0" w:color="808080"/>
            </w:tcBorders>
            <w:shd w:val="clear" w:color="auto" w:fill="auto"/>
          </w:tcPr>
          <w:p w14:paraId="7BCC876C"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bottom w:val="single" w:sz="2" w:space="0" w:color="808080"/>
            </w:tcBorders>
            <w:shd w:val="clear" w:color="auto" w:fill="auto"/>
          </w:tcPr>
          <w:p w14:paraId="707426F4" w14:textId="77777777" w:rsidR="0014181A" w:rsidRPr="00131CEE" w:rsidRDefault="0014181A" w:rsidP="0014181A">
            <w:pPr>
              <w:pStyle w:val="TableText-RightBold"/>
            </w:pPr>
            <w:r w:rsidRPr="007274B7">
              <w:t>$___,___.__</w:t>
            </w:r>
          </w:p>
        </w:tc>
      </w:tr>
    </w:tbl>
    <w:p w14:paraId="3A4A732F" w14:textId="77777777" w:rsidR="0014181A" w:rsidRPr="00FD0716" w:rsidRDefault="0014181A" w:rsidP="0014181A">
      <w:pPr>
        <w:rPr>
          <w:rFonts w:cs="Calibri"/>
          <w:lang w:val="en-US"/>
        </w:rPr>
      </w:pPr>
    </w:p>
    <w:p w14:paraId="5531B4D4" w14:textId="77777777" w:rsidR="0014181A" w:rsidRPr="002B7A6D" w:rsidRDefault="0014181A" w:rsidP="0014181A">
      <w:pPr>
        <w:rPr>
          <w:b/>
        </w:rPr>
      </w:pPr>
      <w:r w:rsidRPr="002B7A6D">
        <w:rPr>
          <w:b/>
        </w:rPr>
        <w:t>Initial Product Commission</w:t>
      </w:r>
    </w:p>
    <w:p w14:paraId="6EF3124A"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1927"/>
        <w:gridCol w:w="1928"/>
        <w:gridCol w:w="2891"/>
        <w:gridCol w:w="1446"/>
        <w:gridCol w:w="1446"/>
      </w:tblGrid>
      <w:tr w:rsidR="0014181A" w:rsidRPr="00131CEE" w14:paraId="035F6BCE" w14:textId="77777777" w:rsidTr="0014181A">
        <w:trPr>
          <w:tblHeader/>
        </w:trPr>
        <w:tc>
          <w:tcPr>
            <w:tcW w:w="1000" w:type="pct"/>
            <w:tcBorders>
              <w:top w:val="single" w:sz="2" w:space="0" w:color="808080"/>
              <w:bottom w:val="single" w:sz="2" w:space="0" w:color="808080"/>
              <w:right w:val="single" w:sz="24" w:space="0" w:color="FFFFFF"/>
            </w:tcBorders>
            <w:shd w:val="clear" w:color="auto" w:fill="BFBFBF"/>
            <w:vAlign w:val="center"/>
          </w:tcPr>
          <w:p w14:paraId="7E118296" w14:textId="77777777" w:rsidR="0014181A" w:rsidRPr="00131CEE" w:rsidRDefault="0014181A" w:rsidP="0014181A">
            <w:pPr>
              <w:pStyle w:val="TableHeader2"/>
            </w:pPr>
            <w:r>
              <w:lastRenderedPageBreak/>
              <w:t>Fee Type</w:t>
            </w:r>
          </w:p>
        </w:tc>
        <w:tc>
          <w:tcPr>
            <w:tcW w:w="10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00CBAF4E" w14:textId="77777777" w:rsidR="0014181A" w:rsidRPr="00131CEE" w:rsidRDefault="0014181A" w:rsidP="0014181A">
            <w:pPr>
              <w:pStyle w:val="TableHeader2"/>
            </w:pPr>
            <w:r>
              <w:t>Relating To</w:t>
            </w:r>
          </w:p>
        </w:tc>
        <w:tc>
          <w:tcPr>
            <w:tcW w:w="15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110EBB9" w14:textId="77777777" w:rsidR="0014181A" w:rsidRPr="00131CEE" w:rsidRDefault="0014181A" w:rsidP="0014181A">
            <w:pPr>
              <w:pStyle w:val="TableHeader2"/>
            </w:pPr>
            <w:r>
              <w:t>Payment Method</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212FEE61"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46D8B9DF" w14:textId="77777777" w:rsidR="0014181A" w:rsidRPr="00582024" w:rsidRDefault="0014181A" w:rsidP="0014181A">
            <w:pPr>
              <w:spacing w:after="120"/>
              <w:jc w:val="center"/>
            </w:pPr>
            <w:r w:rsidRPr="00582024">
              <w:rPr>
                <w:rFonts w:ascii="Arial Narrow" w:hAnsi="Arial Narrow"/>
                <w:b/>
              </w:rPr>
              <w:t>$</w:t>
            </w:r>
          </w:p>
        </w:tc>
      </w:tr>
      <w:tr w:rsidR="0014181A" w:rsidRPr="00131CEE" w14:paraId="52CF8053" w14:textId="77777777" w:rsidTr="0014181A">
        <w:tc>
          <w:tcPr>
            <w:tcW w:w="1000" w:type="pct"/>
            <w:tcBorders>
              <w:top w:val="single" w:sz="2" w:space="0" w:color="808080"/>
              <w:bottom w:val="single" w:sz="2" w:space="0" w:color="808080"/>
              <w:right w:val="single" w:sz="24" w:space="0" w:color="FFFFFF"/>
            </w:tcBorders>
            <w:shd w:val="clear" w:color="auto" w:fill="auto"/>
          </w:tcPr>
          <w:p w14:paraId="7EB77A13" w14:textId="77777777" w:rsidR="0014181A" w:rsidRPr="00131CEE" w:rsidRDefault="0014181A" w:rsidP="0014181A">
            <w:pPr>
              <w:pStyle w:val="TableText-Left"/>
            </w:pPr>
            <w:r>
              <w:t xml:space="preserve">Upfront Commission </w:t>
            </w:r>
            <w:r w:rsidRPr="00684B56">
              <w:rPr>
                <w:vertAlign w:val="superscript"/>
              </w:rPr>
              <w:t>[1]</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5FD32C9A"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4362F9F8"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471C79C2"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2A77D913" w14:textId="77777777" w:rsidR="0014181A" w:rsidRPr="00582024" w:rsidRDefault="0014181A" w:rsidP="0014181A">
            <w:pPr>
              <w:pStyle w:val="TableText-Right"/>
              <w:rPr>
                <w:color w:val="FF0000"/>
              </w:rPr>
            </w:pPr>
            <w:r w:rsidRPr="00582024">
              <w:rPr>
                <w:color w:val="FF0000"/>
              </w:rPr>
              <w:t>$___,___.__</w:t>
            </w:r>
          </w:p>
        </w:tc>
      </w:tr>
      <w:tr w:rsidR="0014181A" w:rsidRPr="00131CEE" w14:paraId="3BA9FAEA" w14:textId="77777777" w:rsidTr="0014181A">
        <w:tc>
          <w:tcPr>
            <w:tcW w:w="1000" w:type="pct"/>
            <w:tcBorders>
              <w:top w:val="single" w:sz="2" w:space="0" w:color="808080"/>
              <w:bottom w:val="single" w:sz="2" w:space="0" w:color="808080"/>
              <w:right w:val="single" w:sz="24" w:space="0" w:color="FFFFFF"/>
            </w:tcBorders>
            <w:shd w:val="clear" w:color="auto" w:fill="auto"/>
          </w:tcPr>
          <w:p w14:paraId="7D7AC27F" w14:textId="77777777" w:rsidR="0014181A" w:rsidRPr="00131CEE" w:rsidRDefault="0014181A" w:rsidP="0014181A">
            <w:pPr>
              <w:pStyle w:val="TableText-Left"/>
            </w:pPr>
            <w:r>
              <w:t xml:space="preserve">Upfront Commission </w:t>
            </w:r>
            <w:r w:rsidRPr="00684B56">
              <w:rPr>
                <w:vertAlign w:val="superscript"/>
              </w:rPr>
              <w:t>[1]</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698473E0"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195E4E64"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51F20906"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4D511BF2" w14:textId="77777777" w:rsidR="0014181A" w:rsidRPr="00582024" w:rsidRDefault="0014181A" w:rsidP="0014181A">
            <w:pPr>
              <w:pStyle w:val="TableText-Right"/>
              <w:rPr>
                <w:color w:val="FF0000"/>
              </w:rPr>
            </w:pPr>
            <w:r w:rsidRPr="00582024">
              <w:rPr>
                <w:color w:val="FF0000"/>
              </w:rPr>
              <w:t>$___,___.__</w:t>
            </w:r>
          </w:p>
        </w:tc>
      </w:tr>
      <w:tr w:rsidR="0014181A" w:rsidRPr="00131CEE" w14:paraId="78CFD0B7" w14:textId="77777777" w:rsidTr="0014181A">
        <w:tblPrEx>
          <w:tblBorders>
            <w:top w:val="single" w:sz="2" w:space="0" w:color="808080"/>
            <w:insideH w:val="single" w:sz="24" w:space="0" w:color="FFFFFF"/>
            <w:insideV w:val="single" w:sz="24" w:space="0" w:color="FFFFFF"/>
          </w:tblBorders>
        </w:tblPrEx>
        <w:tc>
          <w:tcPr>
            <w:tcW w:w="1000" w:type="pct"/>
            <w:tcBorders>
              <w:top w:val="single" w:sz="2" w:space="0" w:color="808080"/>
            </w:tcBorders>
            <w:shd w:val="clear" w:color="auto" w:fill="auto"/>
          </w:tcPr>
          <w:p w14:paraId="030BC159" w14:textId="77777777" w:rsidR="0014181A" w:rsidRPr="00131CEE" w:rsidRDefault="0014181A" w:rsidP="0014181A">
            <w:pPr>
              <w:pStyle w:val="TableText-RightBold"/>
            </w:pPr>
          </w:p>
        </w:tc>
        <w:tc>
          <w:tcPr>
            <w:tcW w:w="1000" w:type="pct"/>
            <w:tcBorders>
              <w:top w:val="single" w:sz="2" w:space="0" w:color="808080"/>
            </w:tcBorders>
            <w:shd w:val="clear" w:color="auto" w:fill="auto"/>
          </w:tcPr>
          <w:p w14:paraId="75051ABE" w14:textId="77777777" w:rsidR="0014181A" w:rsidRPr="00131CEE" w:rsidRDefault="0014181A" w:rsidP="0014181A">
            <w:pPr>
              <w:pStyle w:val="TableText-RightBold"/>
            </w:pPr>
          </w:p>
        </w:tc>
        <w:tc>
          <w:tcPr>
            <w:tcW w:w="1500" w:type="pct"/>
            <w:tcBorders>
              <w:top w:val="single" w:sz="2" w:space="0" w:color="808080"/>
            </w:tcBorders>
            <w:shd w:val="clear" w:color="auto" w:fill="auto"/>
          </w:tcPr>
          <w:p w14:paraId="5FDFD9B1" w14:textId="77777777" w:rsidR="0014181A" w:rsidRPr="00131CEE" w:rsidRDefault="0014181A" w:rsidP="0014181A">
            <w:pPr>
              <w:pStyle w:val="TableText-RightBold"/>
            </w:pPr>
          </w:p>
        </w:tc>
        <w:tc>
          <w:tcPr>
            <w:tcW w:w="750" w:type="pct"/>
            <w:tcBorders>
              <w:top w:val="single" w:sz="2" w:space="0" w:color="808080"/>
            </w:tcBorders>
            <w:shd w:val="clear" w:color="auto" w:fill="auto"/>
          </w:tcPr>
          <w:p w14:paraId="29AF5702"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bottom w:val="single" w:sz="2" w:space="0" w:color="808080"/>
            </w:tcBorders>
            <w:shd w:val="clear" w:color="auto" w:fill="auto"/>
          </w:tcPr>
          <w:p w14:paraId="46A9BD4B" w14:textId="77777777" w:rsidR="0014181A" w:rsidRPr="00131CEE" w:rsidRDefault="0014181A" w:rsidP="0014181A">
            <w:pPr>
              <w:pStyle w:val="TableText-RightBold"/>
            </w:pPr>
            <w:r w:rsidRPr="00131CEE">
              <w:t>$</w:t>
            </w:r>
            <w:r>
              <w:t>___</w:t>
            </w:r>
            <w:r w:rsidRPr="00131CEE">
              <w:t>,</w:t>
            </w:r>
            <w:r>
              <w:t>___</w:t>
            </w:r>
            <w:r w:rsidRPr="00131CEE">
              <w:t>.</w:t>
            </w:r>
            <w:r>
              <w:t>__</w:t>
            </w:r>
          </w:p>
        </w:tc>
      </w:tr>
    </w:tbl>
    <w:p w14:paraId="578700F4"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3573BEBA" w14:textId="77777777" w:rsidTr="0014181A">
        <w:tc>
          <w:tcPr>
            <w:tcW w:w="202" w:type="pct"/>
            <w:hideMark/>
          </w:tcPr>
          <w:p w14:paraId="713C6FDF" w14:textId="77777777" w:rsidR="0014181A" w:rsidRDefault="0014181A" w:rsidP="0014181A">
            <w:pPr>
              <w:pStyle w:val="Notes-Numbers"/>
            </w:pPr>
            <w:r>
              <w:t>[1]</w:t>
            </w:r>
          </w:p>
        </w:tc>
        <w:tc>
          <w:tcPr>
            <w:tcW w:w="4798" w:type="pct"/>
            <w:hideMark/>
          </w:tcPr>
          <w:p w14:paraId="369CB90B" w14:textId="77777777" w:rsidR="0014181A" w:rsidRPr="00684B56" w:rsidRDefault="0014181A" w:rsidP="0014181A">
            <w:pPr>
              <w:pStyle w:val="Notes-Text"/>
            </w:pPr>
            <w:r w:rsidRPr="00684B56">
              <w:t>This is the amount that the product provider pays us.</w:t>
            </w:r>
          </w:p>
        </w:tc>
      </w:tr>
    </w:tbl>
    <w:p w14:paraId="3468B658" w14:textId="77777777" w:rsidR="0014181A" w:rsidRPr="00FD0716" w:rsidRDefault="0014181A" w:rsidP="0014181A">
      <w:pPr>
        <w:rPr>
          <w:rFonts w:cs="Calibri"/>
          <w:lang w:val="en-US"/>
        </w:rPr>
      </w:pPr>
    </w:p>
    <w:p w14:paraId="30282077" w14:textId="77777777" w:rsidR="0014181A" w:rsidRPr="002B7A6D" w:rsidRDefault="0014181A" w:rsidP="0014181A">
      <w:pPr>
        <w:rPr>
          <w:b/>
        </w:rPr>
      </w:pPr>
      <w:r w:rsidRPr="002B7A6D">
        <w:rPr>
          <w:b/>
        </w:rPr>
        <w:t>On-Going Costs</w:t>
      </w:r>
    </w:p>
    <w:p w14:paraId="0E724E8C" w14:textId="77777777" w:rsidR="0014181A" w:rsidRDefault="0014181A" w:rsidP="0014181A">
      <w:pPr>
        <w:rPr>
          <w:rFonts w:cs="Calibri"/>
          <w:lang w:val="en-US"/>
        </w:rPr>
      </w:pPr>
    </w:p>
    <w:tbl>
      <w:tblPr>
        <w:tblW w:w="5000" w:type="pct"/>
        <w:tblLayout w:type="fixed"/>
        <w:tblLook w:val="0000" w:firstRow="0" w:lastRow="0" w:firstColumn="0" w:lastColumn="0" w:noHBand="0" w:noVBand="0"/>
      </w:tblPr>
      <w:tblGrid>
        <w:gridCol w:w="1927"/>
        <w:gridCol w:w="1928"/>
        <w:gridCol w:w="2891"/>
        <w:gridCol w:w="1446"/>
        <w:gridCol w:w="1446"/>
      </w:tblGrid>
      <w:tr w:rsidR="0014181A" w:rsidRPr="00131CEE" w14:paraId="04041FED" w14:textId="77777777" w:rsidTr="0014181A">
        <w:trPr>
          <w:tblHeader/>
        </w:trPr>
        <w:tc>
          <w:tcPr>
            <w:tcW w:w="1000" w:type="pct"/>
            <w:tcBorders>
              <w:top w:val="single" w:sz="2" w:space="0" w:color="808080"/>
              <w:bottom w:val="single" w:sz="2" w:space="0" w:color="808080"/>
              <w:right w:val="single" w:sz="24" w:space="0" w:color="FFFFFF"/>
            </w:tcBorders>
            <w:shd w:val="clear" w:color="auto" w:fill="BFBFBF"/>
            <w:vAlign w:val="center"/>
          </w:tcPr>
          <w:p w14:paraId="523C181E" w14:textId="77777777" w:rsidR="0014181A" w:rsidRPr="00131CEE" w:rsidRDefault="0014181A" w:rsidP="0014181A">
            <w:pPr>
              <w:pStyle w:val="TableHeader2"/>
            </w:pPr>
            <w:r>
              <w:t>Fee Type</w:t>
            </w:r>
          </w:p>
        </w:tc>
        <w:tc>
          <w:tcPr>
            <w:tcW w:w="10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67606C5" w14:textId="77777777" w:rsidR="0014181A" w:rsidRPr="00131CEE" w:rsidRDefault="0014181A" w:rsidP="0014181A">
            <w:pPr>
              <w:pStyle w:val="TableHeader2"/>
            </w:pPr>
            <w:r>
              <w:t>Relating To</w:t>
            </w:r>
          </w:p>
        </w:tc>
        <w:tc>
          <w:tcPr>
            <w:tcW w:w="150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8EEA588" w14:textId="77777777" w:rsidR="0014181A" w:rsidRPr="00131CEE" w:rsidRDefault="0014181A" w:rsidP="0014181A">
            <w:pPr>
              <w:pStyle w:val="TableHeader2"/>
            </w:pPr>
            <w:r>
              <w:t>Payment Method</w:t>
            </w:r>
          </w:p>
        </w:tc>
        <w:tc>
          <w:tcPr>
            <w:tcW w:w="750"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565136CF" w14:textId="77777777" w:rsidR="0014181A" w:rsidRPr="00582024" w:rsidRDefault="0014181A" w:rsidP="0014181A">
            <w:pPr>
              <w:spacing w:after="120"/>
              <w:jc w:val="center"/>
            </w:pPr>
            <w:r w:rsidRPr="00582024">
              <w:rPr>
                <w:rFonts w:ascii="Arial Narrow" w:hAnsi="Arial Narrow"/>
                <w:b/>
              </w:rPr>
              <w:t>%</w:t>
            </w:r>
          </w:p>
        </w:tc>
        <w:tc>
          <w:tcPr>
            <w:tcW w:w="750" w:type="pct"/>
            <w:tcBorders>
              <w:top w:val="single" w:sz="2" w:space="0" w:color="808080"/>
              <w:left w:val="single" w:sz="24" w:space="0" w:color="FFFFFF"/>
              <w:bottom w:val="single" w:sz="2" w:space="0" w:color="808080"/>
            </w:tcBorders>
            <w:shd w:val="clear" w:color="auto" w:fill="BFBFBF"/>
            <w:vAlign w:val="center"/>
          </w:tcPr>
          <w:p w14:paraId="04B08C54" w14:textId="77777777" w:rsidR="0014181A" w:rsidRPr="00582024" w:rsidRDefault="0014181A" w:rsidP="0014181A">
            <w:pPr>
              <w:spacing w:after="120"/>
              <w:jc w:val="center"/>
            </w:pPr>
            <w:r w:rsidRPr="00582024">
              <w:rPr>
                <w:rFonts w:ascii="Arial Narrow" w:hAnsi="Arial Narrow"/>
                <w:b/>
              </w:rPr>
              <w:t>$</w:t>
            </w:r>
          </w:p>
        </w:tc>
      </w:tr>
      <w:tr w:rsidR="0014181A" w:rsidRPr="00131CEE" w14:paraId="10C4BB6F" w14:textId="77777777" w:rsidTr="0014181A">
        <w:tc>
          <w:tcPr>
            <w:tcW w:w="1000" w:type="pct"/>
            <w:tcBorders>
              <w:top w:val="single" w:sz="2" w:space="0" w:color="808080"/>
              <w:bottom w:val="single" w:sz="2" w:space="0" w:color="808080"/>
              <w:right w:val="single" w:sz="24" w:space="0" w:color="FFFFFF"/>
            </w:tcBorders>
            <w:shd w:val="clear" w:color="auto" w:fill="auto"/>
          </w:tcPr>
          <w:p w14:paraId="2D497D6C" w14:textId="77777777" w:rsidR="0014181A" w:rsidRPr="00582024" w:rsidRDefault="0014181A" w:rsidP="0014181A">
            <w:pPr>
              <w:spacing w:after="120"/>
            </w:pPr>
            <w:r w:rsidRPr="00582024">
              <w:rPr>
                <w:rFonts w:ascii="Arial Narrow" w:hAnsi="Arial Narrow"/>
                <w:szCs w:val="20"/>
              </w:rPr>
              <w:t>Adviser Service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775D6628"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55250923"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08DC6041"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09655D9B" w14:textId="77777777" w:rsidR="0014181A" w:rsidRPr="00582024" w:rsidRDefault="0014181A" w:rsidP="0014181A">
            <w:pPr>
              <w:pStyle w:val="TableText-Right"/>
              <w:rPr>
                <w:color w:val="FF0000"/>
              </w:rPr>
            </w:pPr>
            <w:r w:rsidRPr="00582024">
              <w:rPr>
                <w:color w:val="FF0000"/>
              </w:rPr>
              <w:t>$___,___.__</w:t>
            </w:r>
          </w:p>
        </w:tc>
      </w:tr>
      <w:tr w:rsidR="0014181A" w:rsidRPr="00131CEE" w14:paraId="14FFBB74" w14:textId="77777777" w:rsidTr="0014181A">
        <w:tc>
          <w:tcPr>
            <w:tcW w:w="1000" w:type="pct"/>
            <w:tcBorders>
              <w:top w:val="single" w:sz="2" w:space="0" w:color="808080"/>
              <w:bottom w:val="single" w:sz="2" w:space="0" w:color="808080"/>
              <w:right w:val="single" w:sz="24" w:space="0" w:color="FFFFFF"/>
            </w:tcBorders>
            <w:shd w:val="clear" w:color="auto" w:fill="auto"/>
          </w:tcPr>
          <w:p w14:paraId="665746AC" w14:textId="77777777" w:rsidR="0014181A" w:rsidRPr="00582024" w:rsidRDefault="0014181A" w:rsidP="0014181A">
            <w:pPr>
              <w:spacing w:after="120"/>
            </w:pPr>
            <w:r w:rsidRPr="00582024">
              <w:rPr>
                <w:rFonts w:ascii="Arial Narrow" w:hAnsi="Arial Narrow"/>
                <w:szCs w:val="20"/>
              </w:rPr>
              <w:t>Trail Commission</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3D3F1AE9"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38F84219"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70C90AD"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2816FD4A" w14:textId="77777777" w:rsidR="0014181A" w:rsidRPr="00582024" w:rsidRDefault="0014181A" w:rsidP="0014181A">
            <w:pPr>
              <w:pStyle w:val="TableText-Right"/>
              <w:rPr>
                <w:color w:val="FF0000"/>
              </w:rPr>
            </w:pPr>
            <w:r w:rsidRPr="00582024">
              <w:rPr>
                <w:color w:val="FF0000"/>
              </w:rPr>
              <w:t>$___,___.__</w:t>
            </w:r>
          </w:p>
        </w:tc>
      </w:tr>
      <w:tr w:rsidR="0014181A" w:rsidRPr="00131CEE" w14:paraId="66135CE9" w14:textId="77777777" w:rsidTr="0014181A">
        <w:tc>
          <w:tcPr>
            <w:tcW w:w="1000" w:type="pct"/>
            <w:tcBorders>
              <w:top w:val="single" w:sz="2" w:space="0" w:color="808080"/>
              <w:bottom w:val="single" w:sz="2" w:space="0" w:color="808080"/>
              <w:right w:val="single" w:sz="24" w:space="0" w:color="FFFFFF"/>
            </w:tcBorders>
            <w:shd w:val="clear" w:color="auto" w:fill="auto"/>
          </w:tcPr>
          <w:p w14:paraId="31C71421" w14:textId="77777777" w:rsidR="0014181A" w:rsidRPr="00582024" w:rsidRDefault="0014181A" w:rsidP="0014181A">
            <w:pPr>
              <w:spacing w:after="120"/>
            </w:pPr>
            <w:r w:rsidRPr="00582024">
              <w:rPr>
                <w:rFonts w:ascii="Arial Narrow" w:hAnsi="Arial Narrow"/>
                <w:szCs w:val="20"/>
              </w:rPr>
              <w:t>Contribution Fee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tcPr>
          <w:p w14:paraId="3D5BF84D" w14:textId="77777777" w:rsidR="0014181A" w:rsidRPr="00131CEE" w:rsidRDefault="0014181A" w:rsidP="0014181A">
            <w:pPr>
              <w:pStyle w:val="TableText-Left"/>
            </w:pPr>
            <w:r>
              <w:t>[Client Name]</w:t>
            </w:r>
          </w:p>
        </w:tc>
        <w:tc>
          <w:tcPr>
            <w:tcW w:w="1500" w:type="pct"/>
            <w:tcBorders>
              <w:top w:val="single" w:sz="2" w:space="0" w:color="808080"/>
              <w:left w:val="single" w:sz="24" w:space="0" w:color="FFFFFF"/>
              <w:bottom w:val="single" w:sz="2" w:space="0" w:color="808080"/>
              <w:right w:val="single" w:sz="24" w:space="0" w:color="FFFFFF"/>
            </w:tcBorders>
            <w:shd w:val="clear" w:color="auto" w:fill="auto"/>
          </w:tcPr>
          <w:p w14:paraId="0C51724D" w14:textId="77777777" w:rsidR="0014181A" w:rsidRPr="00131CEE" w:rsidRDefault="0014181A" w:rsidP="0014181A">
            <w:pPr>
              <w:pStyle w:val="TableText-Left"/>
            </w:pPr>
            <w:r>
              <w:t>[Fund Name]</w:t>
            </w:r>
          </w:p>
        </w:tc>
        <w:tc>
          <w:tcPr>
            <w:tcW w:w="750" w:type="pct"/>
            <w:tcBorders>
              <w:top w:val="single" w:sz="2" w:space="0" w:color="808080"/>
              <w:left w:val="single" w:sz="24" w:space="0" w:color="FFFFFF"/>
              <w:bottom w:val="single" w:sz="2" w:space="0" w:color="808080"/>
              <w:right w:val="single" w:sz="24" w:space="0" w:color="FFFFFF"/>
            </w:tcBorders>
            <w:shd w:val="clear" w:color="auto" w:fill="auto"/>
          </w:tcPr>
          <w:p w14:paraId="2B9A9CA9" w14:textId="77777777" w:rsidR="0014181A" w:rsidRPr="00582024" w:rsidRDefault="0014181A" w:rsidP="0014181A">
            <w:pPr>
              <w:pStyle w:val="TableText-Right"/>
              <w:rPr>
                <w:color w:val="FF0000"/>
              </w:rPr>
            </w:pPr>
            <w:r w:rsidRPr="00582024">
              <w:rPr>
                <w:color w:val="FF0000"/>
              </w:rPr>
              <w:t>_.__%</w:t>
            </w:r>
          </w:p>
        </w:tc>
        <w:tc>
          <w:tcPr>
            <w:tcW w:w="750" w:type="pct"/>
            <w:tcBorders>
              <w:top w:val="single" w:sz="2" w:space="0" w:color="808080"/>
              <w:left w:val="single" w:sz="24" w:space="0" w:color="FFFFFF"/>
              <w:bottom w:val="single" w:sz="2" w:space="0" w:color="808080"/>
            </w:tcBorders>
            <w:shd w:val="clear" w:color="auto" w:fill="auto"/>
          </w:tcPr>
          <w:p w14:paraId="6578CB12" w14:textId="77777777" w:rsidR="0014181A" w:rsidRPr="00582024" w:rsidRDefault="0014181A" w:rsidP="0014181A">
            <w:pPr>
              <w:pStyle w:val="TableText-Right"/>
              <w:rPr>
                <w:color w:val="FF0000"/>
              </w:rPr>
            </w:pPr>
            <w:r w:rsidRPr="00582024">
              <w:rPr>
                <w:color w:val="FF0000"/>
              </w:rPr>
              <w:t>$___,___.__</w:t>
            </w:r>
          </w:p>
        </w:tc>
      </w:tr>
      <w:tr w:rsidR="0014181A" w:rsidRPr="00131CEE" w14:paraId="4750D8DC" w14:textId="77777777" w:rsidTr="0014181A">
        <w:tblPrEx>
          <w:tblBorders>
            <w:top w:val="single" w:sz="2" w:space="0" w:color="808080"/>
            <w:insideH w:val="single" w:sz="24" w:space="0" w:color="FFFFFF"/>
            <w:insideV w:val="single" w:sz="24" w:space="0" w:color="FFFFFF"/>
          </w:tblBorders>
        </w:tblPrEx>
        <w:tc>
          <w:tcPr>
            <w:tcW w:w="1000" w:type="pct"/>
            <w:tcBorders>
              <w:top w:val="single" w:sz="2" w:space="0" w:color="808080"/>
            </w:tcBorders>
            <w:shd w:val="clear" w:color="auto" w:fill="auto"/>
          </w:tcPr>
          <w:p w14:paraId="0FE03BA7" w14:textId="77777777" w:rsidR="0014181A" w:rsidRPr="00131CEE" w:rsidRDefault="0014181A" w:rsidP="0014181A">
            <w:pPr>
              <w:pStyle w:val="TableText-RightBold"/>
            </w:pPr>
          </w:p>
        </w:tc>
        <w:tc>
          <w:tcPr>
            <w:tcW w:w="1000" w:type="pct"/>
            <w:tcBorders>
              <w:top w:val="single" w:sz="2" w:space="0" w:color="808080"/>
            </w:tcBorders>
            <w:shd w:val="clear" w:color="auto" w:fill="auto"/>
          </w:tcPr>
          <w:p w14:paraId="285D2373" w14:textId="77777777" w:rsidR="0014181A" w:rsidRPr="00131CEE" w:rsidRDefault="0014181A" w:rsidP="0014181A">
            <w:pPr>
              <w:pStyle w:val="TableText-RightBold"/>
            </w:pPr>
          </w:p>
        </w:tc>
        <w:tc>
          <w:tcPr>
            <w:tcW w:w="1500" w:type="pct"/>
            <w:tcBorders>
              <w:top w:val="single" w:sz="2" w:space="0" w:color="808080"/>
            </w:tcBorders>
            <w:shd w:val="clear" w:color="auto" w:fill="auto"/>
          </w:tcPr>
          <w:p w14:paraId="1825CBF2" w14:textId="77777777" w:rsidR="0014181A" w:rsidRPr="00131CEE" w:rsidRDefault="0014181A" w:rsidP="0014181A">
            <w:pPr>
              <w:pStyle w:val="TableText-RightBold"/>
            </w:pPr>
          </w:p>
        </w:tc>
        <w:tc>
          <w:tcPr>
            <w:tcW w:w="750" w:type="pct"/>
            <w:tcBorders>
              <w:top w:val="single" w:sz="2" w:space="0" w:color="808080"/>
            </w:tcBorders>
            <w:shd w:val="clear" w:color="auto" w:fill="auto"/>
          </w:tcPr>
          <w:p w14:paraId="7D0DBC3B" w14:textId="77777777" w:rsidR="0014181A" w:rsidRPr="00582024" w:rsidRDefault="0014181A" w:rsidP="0014181A">
            <w:pPr>
              <w:spacing w:after="120"/>
              <w:jc w:val="right"/>
            </w:pPr>
            <w:r w:rsidRPr="00582024">
              <w:rPr>
                <w:rFonts w:ascii="Arial Narrow" w:hAnsi="Arial Narrow"/>
                <w:b/>
              </w:rPr>
              <w:t>Total</w:t>
            </w:r>
          </w:p>
        </w:tc>
        <w:tc>
          <w:tcPr>
            <w:tcW w:w="750" w:type="pct"/>
            <w:tcBorders>
              <w:top w:val="single" w:sz="2" w:space="0" w:color="808080"/>
              <w:bottom w:val="single" w:sz="2" w:space="0" w:color="808080"/>
            </w:tcBorders>
            <w:shd w:val="clear" w:color="auto" w:fill="auto"/>
          </w:tcPr>
          <w:p w14:paraId="12FB21EA" w14:textId="77777777" w:rsidR="0014181A" w:rsidRPr="00131CEE" w:rsidRDefault="0014181A" w:rsidP="0014181A">
            <w:pPr>
              <w:pStyle w:val="TableText-RightBold"/>
            </w:pPr>
            <w:r w:rsidRPr="00131CEE">
              <w:t>$</w:t>
            </w:r>
            <w:r>
              <w:t>___</w:t>
            </w:r>
            <w:r w:rsidRPr="00131CEE">
              <w:t>,</w:t>
            </w:r>
            <w:r>
              <w:t>___</w:t>
            </w:r>
            <w:r w:rsidRPr="00131CEE">
              <w:t>.</w:t>
            </w:r>
            <w:r>
              <w:t>__</w:t>
            </w:r>
          </w:p>
        </w:tc>
      </w:tr>
    </w:tbl>
    <w:p w14:paraId="039C5B60" w14:textId="77777777" w:rsidR="0014181A" w:rsidRPr="00FD0716" w:rsidRDefault="0014181A" w:rsidP="0014181A">
      <w:pPr>
        <w:rPr>
          <w:rFonts w:eastAsia="Arial" w:cs="Calibri"/>
          <w:kern w:val="1"/>
          <w:lang w:val="en-US"/>
        </w:rPr>
      </w:pPr>
    </w:p>
    <w:p w14:paraId="206A111F" w14:textId="77777777" w:rsidR="0014181A" w:rsidRPr="002B7A6D" w:rsidRDefault="0014181A" w:rsidP="0014181A">
      <w:pPr>
        <w:rPr>
          <w:b/>
        </w:rPr>
      </w:pPr>
      <w:r w:rsidRPr="002B7A6D">
        <w:rPr>
          <w:b/>
        </w:rPr>
        <w:t>On</w:t>
      </w:r>
      <w:r>
        <w:rPr>
          <w:b/>
        </w:rPr>
        <w:t>g</w:t>
      </w:r>
      <w:r w:rsidRPr="002B7A6D">
        <w:rPr>
          <w:b/>
        </w:rPr>
        <w:t>oing Cost Comparison (pa)</w:t>
      </w:r>
    </w:p>
    <w:p w14:paraId="201FA24A" w14:textId="77777777" w:rsidR="0014181A" w:rsidRPr="00FD0716" w:rsidRDefault="0014181A" w:rsidP="0014181A">
      <w:pPr>
        <w:rPr>
          <w:rFonts w:cs="Calibri"/>
          <w:lang w:val="en-US"/>
        </w:rPr>
      </w:pPr>
    </w:p>
    <w:tbl>
      <w:tblPr>
        <w:tblW w:w="5000" w:type="pct"/>
        <w:tblLayout w:type="fixed"/>
        <w:tblLook w:val="0000" w:firstRow="0" w:lastRow="0" w:firstColumn="0" w:lastColumn="0" w:noHBand="0" w:noVBand="0"/>
      </w:tblPr>
      <w:tblGrid>
        <w:gridCol w:w="2274"/>
        <w:gridCol w:w="1521"/>
        <w:gridCol w:w="1592"/>
        <w:gridCol w:w="1417"/>
        <w:gridCol w:w="1417"/>
        <w:gridCol w:w="1417"/>
      </w:tblGrid>
      <w:tr w:rsidR="0014181A" w:rsidRPr="00131CEE" w14:paraId="7619B670" w14:textId="77777777" w:rsidTr="0014181A">
        <w:trPr>
          <w:tblHeader/>
        </w:trPr>
        <w:tc>
          <w:tcPr>
            <w:tcW w:w="1969" w:type="pct"/>
            <w:gridSpan w:val="2"/>
            <w:tcBorders>
              <w:right w:val="single" w:sz="24" w:space="0" w:color="FFFFFF"/>
            </w:tcBorders>
            <w:shd w:val="clear" w:color="auto" w:fill="auto"/>
            <w:vAlign w:val="center"/>
          </w:tcPr>
          <w:p w14:paraId="78A1A40E" w14:textId="77777777" w:rsidR="0014181A" w:rsidRDefault="0014181A" w:rsidP="0014181A">
            <w:pPr>
              <w:pStyle w:val="TableHeader2"/>
            </w:pPr>
          </w:p>
        </w:tc>
        <w:tc>
          <w:tcPr>
            <w:tcW w:w="826" w:type="pct"/>
            <w:tcBorders>
              <w:top w:val="single" w:sz="2" w:space="0" w:color="808080"/>
              <w:left w:val="single" w:sz="24" w:space="0" w:color="FFFFFF"/>
              <w:bottom w:val="single" w:sz="2" w:space="0" w:color="808080"/>
              <w:right w:val="single" w:sz="24" w:space="0" w:color="FFFFFF"/>
            </w:tcBorders>
            <w:shd w:val="clear" w:color="auto" w:fill="BFBFBF"/>
            <w:vAlign w:val="center"/>
          </w:tcPr>
          <w:p w14:paraId="6C1FAF9C" w14:textId="77777777" w:rsidR="0014181A" w:rsidRPr="00582024" w:rsidRDefault="0014181A" w:rsidP="0014181A">
            <w:pPr>
              <w:spacing w:after="120"/>
              <w:jc w:val="center"/>
            </w:pPr>
            <w:r w:rsidRPr="00582024">
              <w:rPr>
                <w:rFonts w:ascii="Arial Narrow" w:hAnsi="Arial Narrow"/>
                <w:b/>
              </w:rPr>
              <w:t>Existing</w:t>
            </w:r>
          </w:p>
          <w:p w14:paraId="16A0DDB3" w14:textId="77777777" w:rsidR="0014181A" w:rsidRPr="00582024" w:rsidRDefault="0014181A" w:rsidP="0014181A">
            <w:pPr>
              <w:spacing w:after="120"/>
              <w:jc w:val="center"/>
            </w:pPr>
            <w:r w:rsidRPr="00582024">
              <w:rPr>
                <w:rFonts w:ascii="Arial Narrow" w:hAnsi="Arial Narrow"/>
                <w:b/>
              </w:rPr>
              <w:t>Plans</w:t>
            </w:r>
          </w:p>
        </w:tc>
        <w:tc>
          <w:tcPr>
            <w:tcW w:w="735" w:type="pct"/>
            <w:tcBorders>
              <w:top w:val="single" w:sz="2" w:space="0" w:color="808080"/>
              <w:left w:val="single" w:sz="24" w:space="0" w:color="FFFFFF"/>
              <w:bottom w:val="single" w:sz="2" w:space="0" w:color="808080"/>
              <w:right w:val="single" w:sz="24" w:space="0" w:color="FFFFFF"/>
            </w:tcBorders>
            <w:shd w:val="clear" w:color="auto" w:fill="BFBFBF"/>
          </w:tcPr>
          <w:p w14:paraId="3465D067" w14:textId="77777777" w:rsidR="0014181A" w:rsidRPr="00582024" w:rsidRDefault="0014181A" w:rsidP="0014181A">
            <w:pPr>
              <w:spacing w:after="120"/>
              <w:jc w:val="center"/>
              <w:rPr>
                <w:rFonts w:ascii="Arial Narrow" w:hAnsi="Arial Narrow"/>
                <w:b/>
              </w:rPr>
            </w:pPr>
          </w:p>
        </w:tc>
        <w:tc>
          <w:tcPr>
            <w:tcW w:w="735" w:type="pct"/>
            <w:tcBorders>
              <w:top w:val="single" w:sz="2" w:space="0" w:color="808080"/>
              <w:left w:val="single" w:sz="24" w:space="0" w:color="FFFFFF"/>
              <w:bottom w:val="single" w:sz="2" w:space="0" w:color="808080"/>
            </w:tcBorders>
            <w:shd w:val="clear" w:color="auto" w:fill="BFBFBF"/>
            <w:vAlign w:val="center"/>
          </w:tcPr>
          <w:p w14:paraId="40F8D7FC" w14:textId="77777777" w:rsidR="0014181A" w:rsidRPr="00582024" w:rsidRDefault="0014181A" w:rsidP="0014181A">
            <w:pPr>
              <w:spacing w:after="120"/>
              <w:jc w:val="center"/>
            </w:pPr>
            <w:r w:rsidRPr="00582024">
              <w:rPr>
                <w:rFonts w:ascii="Arial Narrow" w:hAnsi="Arial Narrow"/>
                <w:b/>
              </w:rPr>
              <w:t>Proposed</w:t>
            </w:r>
          </w:p>
          <w:p w14:paraId="2582ACD9" w14:textId="77777777" w:rsidR="0014181A" w:rsidRPr="00582024" w:rsidRDefault="0014181A" w:rsidP="0014181A">
            <w:pPr>
              <w:spacing w:after="120"/>
              <w:jc w:val="center"/>
            </w:pPr>
            <w:r w:rsidRPr="00582024">
              <w:rPr>
                <w:rFonts w:ascii="Arial Narrow" w:hAnsi="Arial Narrow"/>
                <w:b/>
              </w:rPr>
              <w:t>Plans</w:t>
            </w:r>
          </w:p>
        </w:tc>
        <w:tc>
          <w:tcPr>
            <w:tcW w:w="735" w:type="pct"/>
            <w:tcBorders>
              <w:top w:val="single" w:sz="2" w:space="0" w:color="808080"/>
              <w:left w:val="single" w:sz="24" w:space="0" w:color="FFFFFF"/>
              <w:bottom w:val="single" w:sz="2" w:space="0" w:color="808080"/>
            </w:tcBorders>
            <w:shd w:val="clear" w:color="auto" w:fill="BFBFBF"/>
          </w:tcPr>
          <w:p w14:paraId="212DD38E" w14:textId="77777777" w:rsidR="0014181A" w:rsidRPr="00582024" w:rsidRDefault="0014181A" w:rsidP="0014181A">
            <w:pPr>
              <w:spacing w:after="120"/>
              <w:jc w:val="center"/>
              <w:rPr>
                <w:rFonts w:ascii="Arial Narrow" w:hAnsi="Arial Narrow"/>
                <w:b/>
              </w:rPr>
            </w:pPr>
          </w:p>
        </w:tc>
      </w:tr>
      <w:tr w:rsidR="0014181A" w:rsidRPr="00131CEE" w14:paraId="0CE7B5E9" w14:textId="77777777" w:rsidTr="0014181A">
        <w:trPr>
          <w:tblHeader/>
        </w:trPr>
        <w:tc>
          <w:tcPr>
            <w:tcW w:w="1180" w:type="pct"/>
            <w:tcBorders>
              <w:top w:val="single" w:sz="2" w:space="0" w:color="808080"/>
              <w:bottom w:val="single" w:sz="2" w:space="0" w:color="808080"/>
            </w:tcBorders>
            <w:shd w:val="clear" w:color="auto" w:fill="D9D9D9"/>
          </w:tcPr>
          <w:p w14:paraId="5378EE4F" w14:textId="77777777" w:rsidR="0014181A" w:rsidRDefault="0014181A" w:rsidP="0014181A">
            <w:pPr>
              <w:pStyle w:val="TableHeader2"/>
            </w:pPr>
          </w:p>
        </w:tc>
        <w:tc>
          <w:tcPr>
            <w:tcW w:w="3085" w:type="pct"/>
            <w:gridSpan w:val="4"/>
            <w:tcBorders>
              <w:top w:val="single" w:sz="2" w:space="0" w:color="808080"/>
              <w:bottom w:val="single" w:sz="2" w:space="0" w:color="808080"/>
            </w:tcBorders>
            <w:shd w:val="clear" w:color="auto" w:fill="D9D9D9"/>
            <w:vAlign w:val="center"/>
          </w:tcPr>
          <w:p w14:paraId="615B1DD8" w14:textId="77777777" w:rsidR="0014181A" w:rsidRPr="00131CEE" w:rsidRDefault="0014181A" w:rsidP="0014181A">
            <w:pPr>
              <w:pStyle w:val="TableHeader2"/>
            </w:pPr>
            <w:r>
              <w:t>Ongoing Costs</w:t>
            </w:r>
          </w:p>
        </w:tc>
        <w:tc>
          <w:tcPr>
            <w:tcW w:w="735" w:type="pct"/>
            <w:tcBorders>
              <w:top w:val="single" w:sz="2" w:space="0" w:color="808080"/>
              <w:bottom w:val="single" w:sz="2" w:space="0" w:color="808080"/>
            </w:tcBorders>
            <w:shd w:val="clear" w:color="auto" w:fill="D9D9D9"/>
          </w:tcPr>
          <w:p w14:paraId="7F94DCCE" w14:textId="77777777" w:rsidR="0014181A" w:rsidRDefault="0014181A" w:rsidP="0014181A">
            <w:pPr>
              <w:pStyle w:val="TableHeader2"/>
            </w:pPr>
          </w:p>
        </w:tc>
      </w:tr>
      <w:tr w:rsidR="0014181A" w:rsidRPr="00131CEE" w14:paraId="6B2A93A5"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03A74DA" w14:textId="77777777" w:rsidR="0014181A" w:rsidRPr="00582024" w:rsidRDefault="0014181A" w:rsidP="0014181A">
            <w:pPr>
              <w:spacing w:after="120"/>
            </w:pPr>
            <w:r w:rsidRPr="00582024">
              <w:rPr>
                <w:rFonts w:ascii="Arial Narrow" w:hAnsi="Arial Narrow"/>
                <w:szCs w:val="20"/>
              </w:rPr>
              <w:t>Administration Fees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DA1946E"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4AC81381"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8A12A0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59D56904" w14:textId="77777777" w:rsidR="0014181A" w:rsidRPr="00BA086C" w:rsidRDefault="0014181A" w:rsidP="0014181A">
            <w:pPr>
              <w:pStyle w:val="TableText-Right"/>
              <w:rPr>
                <w:color w:val="FF0000"/>
              </w:rPr>
            </w:pPr>
            <w:r w:rsidRPr="00951A8D">
              <w:rPr>
                <w:color w:val="FF0000"/>
              </w:rPr>
              <w:t>_.__%</w:t>
            </w:r>
          </w:p>
        </w:tc>
      </w:tr>
      <w:tr w:rsidR="0014181A" w:rsidRPr="00131CEE" w14:paraId="52AC2DDD"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5B6F0EEF" w14:textId="77777777" w:rsidR="0014181A" w:rsidRPr="00582024" w:rsidRDefault="0014181A" w:rsidP="0014181A">
            <w:pPr>
              <w:spacing w:after="120"/>
            </w:pPr>
            <w:r w:rsidRPr="00582024">
              <w:rPr>
                <w:rFonts w:ascii="Arial Narrow" w:hAnsi="Arial Narrow"/>
                <w:szCs w:val="20"/>
              </w:rPr>
              <w:t>Adviser Service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E9CD98A"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7252607E"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5D4CA80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60D7D250" w14:textId="77777777" w:rsidR="0014181A" w:rsidRPr="00BA086C" w:rsidRDefault="0014181A" w:rsidP="0014181A">
            <w:pPr>
              <w:pStyle w:val="TableText-Right"/>
              <w:rPr>
                <w:color w:val="FF0000"/>
              </w:rPr>
            </w:pPr>
            <w:r w:rsidRPr="00951A8D">
              <w:rPr>
                <w:color w:val="FF0000"/>
              </w:rPr>
              <w:t>_.__%</w:t>
            </w:r>
          </w:p>
        </w:tc>
      </w:tr>
      <w:tr w:rsidR="0014181A" w:rsidRPr="00131CEE" w14:paraId="7266C986"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2685938" w14:textId="77777777" w:rsidR="0014181A" w:rsidRPr="00582024" w:rsidRDefault="0014181A" w:rsidP="0014181A">
            <w:pPr>
              <w:spacing w:after="120"/>
            </w:pPr>
            <w:r w:rsidRPr="00582024">
              <w:rPr>
                <w:rFonts w:ascii="Arial Narrow" w:hAnsi="Arial Narrow"/>
                <w:szCs w:val="20"/>
              </w:rPr>
              <w:t>Contribution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8337C54"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1A358B31"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1329A72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3FFD45AD" w14:textId="77777777" w:rsidR="0014181A" w:rsidRPr="00BA086C" w:rsidRDefault="0014181A" w:rsidP="0014181A">
            <w:pPr>
              <w:pStyle w:val="TableText-Right"/>
              <w:rPr>
                <w:color w:val="FF0000"/>
              </w:rPr>
            </w:pPr>
            <w:r w:rsidRPr="00951A8D">
              <w:rPr>
                <w:color w:val="FF0000"/>
              </w:rPr>
              <w:t>_.__%</w:t>
            </w:r>
          </w:p>
        </w:tc>
      </w:tr>
      <w:tr w:rsidR="0014181A" w:rsidRPr="00131CEE" w14:paraId="61286E46"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6C4E050D" w14:textId="77777777" w:rsidR="0014181A" w:rsidRPr="00582024" w:rsidRDefault="0014181A" w:rsidP="0014181A">
            <w:pPr>
              <w:spacing w:after="120"/>
            </w:pPr>
            <w:r w:rsidRPr="00582024">
              <w:rPr>
                <w:rFonts w:ascii="Arial Narrow" w:hAnsi="Arial Narrow"/>
                <w:szCs w:val="20"/>
              </w:rPr>
              <w:t>Expense Recovery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0824A8CE"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016C9BAA"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3E9C7E68"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14AA37B9" w14:textId="77777777" w:rsidR="0014181A" w:rsidRPr="00BA086C" w:rsidRDefault="0014181A" w:rsidP="0014181A">
            <w:pPr>
              <w:pStyle w:val="TableText-Right"/>
              <w:rPr>
                <w:color w:val="FF0000"/>
              </w:rPr>
            </w:pPr>
            <w:r w:rsidRPr="00951A8D">
              <w:rPr>
                <w:color w:val="FF0000"/>
              </w:rPr>
              <w:t>_.__%</w:t>
            </w:r>
          </w:p>
        </w:tc>
      </w:tr>
      <w:tr w:rsidR="0014181A" w:rsidRPr="00131CEE" w14:paraId="1E1065EE"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671B6ADD" w14:textId="77777777" w:rsidR="0014181A" w:rsidRPr="00582024" w:rsidRDefault="0014181A" w:rsidP="0014181A">
            <w:pPr>
              <w:spacing w:after="120"/>
            </w:pPr>
            <w:r w:rsidRPr="00582024">
              <w:rPr>
                <w:rFonts w:ascii="Arial Narrow" w:hAnsi="Arial Narrow"/>
                <w:szCs w:val="20"/>
              </w:rPr>
              <w:t>Indirect Cost Ratio (ICR)</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21DF8EA8"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18708BDD"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30B2660B"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470175C8" w14:textId="77777777" w:rsidR="0014181A" w:rsidRPr="00BA086C" w:rsidRDefault="0014181A" w:rsidP="0014181A">
            <w:pPr>
              <w:pStyle w:val="TableText-Right"/>
              <w:rPr>
                <w:color w:val="FF0000"/>
              </w:rPr>
            </w:pPr>
            <w:r w:rsidRPr="00951A8D">
              <w:rPr>
                <w:color w:val="FF0000"/>
              </w:rPr>
              <w:t>_.__%</w:t>
            </w:r>
          </w:p>
        </w:tc>
      </w:tr>
      <w:tr w:rsidR="0014181A" w:rsidRPr="00131CEE" w14:paraId="3D7A55D9"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762320FE" w14:textId="77777777" w:rsidR="0014181A" w:rsidRPr="00582024" w:rsidRDefault="0014181A" w:rsidP="0014181A">
            <w:pPr>
              <w:spacing w:after="120"/>
            </w:pPr>
            <w:r w:rsidRPr="00582024">
              <w:rPr>
                <w:rFonts w:ascii="Arial Narrow" w:hAnsi="Arial Narrow"/>
                <w:szCs w:val="20"/>
              </w:rPr>
              <w:t>Membership Fee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3CB59FB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1EBC270A"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33326707"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2FA73A75" w14:textId="77777777" w:rsidR="0014181A" w:rsidRPr="00BA086C" w:rsidRDefault="0014181A" w:rsidP="0014181A">
            <w:pPr>
              <w:pStyle w:val="TableText-Right"/>
              <w:rPr>
                <w:color w:val="FF0000"/>
              </w:rPr>
            </w:pPr>
            <w:r w:rsidRPr="00951A8D">
              <w:rPr>
                <w:color w:val="FF0000"/>
              </w:rPr>
              <w:t>_.__%</w:t>
            </w:r>
          </w:p>
        </w:tc>
      </w:tr>
      <w:tr w:rsidR="0014181A" w:rsidRPr="00131CEE" w14:paraId="0F0A65FB"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193C3A47" w14:textId="77777777" w:rsidR="0014181A" w:rsidRPr="00582024" w:rsidRDefault="0014181A" w:rsidP="0014181A">
            <w:pPr>
              <w:spacing w:after="120"/>
            </w:pPr>
            <w:r w:rsidRPr="00582024">
              <w:rPr>
                <w:rFonts w:ascii="Arial Narrow" w:hAnsi="Arial Narrow"/>
                <w:szCs w:val="20"/>
              </w:rPr>
              <w:t>Membership Protection</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36948478"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7AAABECA"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03664B5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0665EB8E" w14:textId="77777777" w:rsidR="0014181A" w:rsidRPr="00BA086C" w:rsidRDefault="0014181A" w:rsidP="0014181A">
            <w:pPr>
              <w:pStyle w:val="TableText-Right"/>
              <w:rPr>
                <w:color w:val="FF0000"/>
              </w:rPr>
            </w:pPr>
            <w:r w:rsidRPr="00951A8D">
              <w:rPr>
                <w:color w:val="FF0000"/>
              </w:rPr>
              <w:t>_.__%</w:t>
            </w:r>
          </w:p>
        </w:tc>
      </w:tr>
      <w:tr w:rsidR="0014181A" w:rsidRPr="00131CEE" w14:paraId="09362C72"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1CF6F4ED" w14:textId="77777777" w:rsidR="0014181A" w:rsidRPr="00582024" w:rsidRDefault="0014181A" w:rsidP="0014181A">
            <w:pPr>
              <w:spacing w:after="120"/>
            </w:pPr>
            <w:r w:rsidRPr="00582024">
              <w:rPr>
                <w:rFonts w:ascii="Arial Narrow" w:hAnsi="Arial Narrow"/>
                <w:szCs w:val="20"/>
              </w:rPr>
              <w:t>Performance Fees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91ED80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3F534E27"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9EA096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2278A3F1" w14:textId="77777777" w:rsidR="0014181A" w:rsidRPr="00BA086C" w:rsidRDefault="0014181A" w:rsidP="0014181A">
            <w:pPr>
              <w:pStyle w:val="TableText-Right"/>
              <w:rPr>
                <w:color w:val="FF0000"/>
              </w:rPr>
            </w:pPr>
            <w:r w:rsidRPr="00951A8D">
              <w:rPr>
                <w:color w:val="FF0000"/>
              </w:rPr>
              <w:t>_.__%</w:t>
            </w:r>
          </w:p>
        </w:tc>
      </w:tr>
      <w:tr w:rsidR="0014181A" w:rsidRPr="00131CEE" w14:paraId="533CE5F5"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7E53C75C" w14:textId="77777777" w:rsidR="0014181A" w:rsidRPr="00582024" w:rsidRDefault="0014181A" w:rsidP="0014181A">
            <w:pPr>
              <w:spacing w:after="120"/>
            </w:pPr>
            <w:r w:rsidRPr="00582024">
              <w:rPr>
                <w:rFonts w:ascii="Arial Narrow" w:hAnsi="Arial Narrow"/>
                <w:szCs w:val="20"/>
              </w:rPr>
              <w:t>Trustee Fees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F140C3B"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6F261E5B"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24676AB1"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2E74D5DA" w14:textId="77777777" w:rsidR="0014181A" w:rsidRPr="00BA086C" w:rsidRDefault="0014181A" w:rsidP="0014181A">
            <w:pPr>
              <w:pStyle w:val="TableText-Right"/>
              <w:rPr>
                <w:color w:val="FF0000"/>
              </w:rPr>
            </w:pPr>
            <w:r w:rsidRPr="00951A8D">
              <w:rPr>
                <w:color w:val="FF0000"/>
              </w:rPr>
              <w:t>_.__%</w:t>
            </w:r>
          </w:p>
        </w:tc>
      </w:tr>
      <w:tr w:rsidR="0014181A" w:rsidRPr="00131CEE" w14:paraId="7B450EF7" w14:textId="77777777" w:rsidTr="0014181A">
        <w:tblPrEx>
          <w:tblBorders>
            <w:top w:val="single" w:sz="2" w:space="0" w:color="808080"/>
            <w:insideH w:val="single" w:sz="24" w:space="0" w:color="FFFFFF"/>
            <w:insideV w:val="single" w:sz="24" w:space="0" w:color="FFFFFF"/>
          </w:tblBorders>
        </w:tblPrEx>
        <w:tc>
          <w:tcPr>
            <w:tcW w:w="1969" w:type="pct"/>
            <w:gridSpan w:val="2"/>
            <w:tcBorders>
              <w:top w:val="single" w:sz="2" w:space="0" w:color="808080"/>
            </w:tcBorders>
            <w:shd w:val="clear" w:color="auto" w:fill="auto"/>
          </w:tcPr>
          <w:p w14:paraId="624ED912" w14:textId="77777777" w:rsidR="0014181A" w:rsidRPr="00582024" w:rsidRDefault="0014181A" w:rsidP="0014181A">
            <w:pPr>
              <w:spacing w:after="120"/>
              <w:jc w:val="right"/>
            </w:pPr>
            <w:r w:rsidRPr="00582024">
              <w:rPr>
                <w:rFonts w:ascii="Arial Narrow" w:hAnsi="Arial Narrow"/>
                <w:b/>
              </w:rPr>
              <w:t>Gross Ongoing Costs (pa)</w:t>
            </w:r>
          </w:p>
        </w:tc>
        <w:tc>
          <w:tcPr>
            <w:tcW w:w="826" w:type="pct"/>
            <w:tcBorders>
              <w:top w:val="single" w:sz="2" w:space="0" w:color="808080"/>
            </w:tcBorders>
            <w:shd w:val="clear" w:color="auto" w:fill="auto"/>
          </w:tcPr>
          <w:p w14:paraId="05EA650E"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tcBorders>
          </w:tcPr>
          <w:p w14:paraId="0C337194" w14:textId="77777777" w:rsidR="0014181A" w:rsidRPr="00131CEE" w:rsidRDefault="0014181A" w:rsidP="0014181A">
            <w:pPr>
              <w:pStyle w:val="TableText-RightBold"/>
            </w:pPr>
            <w:r w:rsidRPr="00951A8D">
              <w:t>_.__%</w:t>
            </w:r>
          </w:p>
        </w:tc>
        <w:tc>
          <w:tcPr>
            <w:tcW w:w="735" w:type="pct"/>
            <w:tcBorders>
              <w:top w:val="single" w:sz="2" w:space="0" w:color="808080"/>
              <w:bottom w:val="single" w:sz="2" w:space="0" w:color="808080"/>
            </w:tcBorders>
            <w:shd w:val="clear" w:color="auto" w:fill="auto"/>
          </w:tcPr>
          <w:p w14:paraId="2C98E3AE"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bottom w:val="single" w:sz="2" w:space="0" w:color="808080"/>
            </w:tcBorders>
          </w:tcPr>
          <w:p w14:paraId="0063446F" w14:textId="77777777" w:rsidR="0014181A" w:rsidRPr="00131CEE" w:rsidRDefault="0014181A" w:rsidP="0014181A">
            <w:pPr>
              <w:pStyle w:val="TableText-RightBold"/>
            </w:pPr>
            <w:r w:rsidRPr="00951A8D">
              <w:t>_.__%</w:t>
            </w:r>
          </w:p>
        </w:tc>
      </w:tr>
      <w:tr w:rsidR="0014181A" w:rsidRPr="00131CEE" w14:paraId="4F32AB6B" w14:textId="77777777" w:rsidTr="0014181A">
        <w:trPr>
          <w:tblHeader/>
        </w:trPr>
        <w:tc>
          <w:tcPr>
            <w:tcW w:w="1180" w:type="pct"/>
            <w:tcBorders>
              <w:top w:val="single" w:sz="2" w:space="0" w:color="808080"/>
              <w:bottom w:val="single" w:sz="2" w:space="0" w:color="808080"/>
            </w:tcBorders>
            <w:shd w:val="clear" w:color="auto" w:fill="D9D9D9"/>
          </w:tcPr>
          <w:p w14:paraId="235C2639" w14:textId="77777777" w:rsidR="0014181A" w:rsidRDefault="0014181A" w:rsidP="0014181A">
            <w:pPr>
              <w:pStyle w:val="TableHeader2"/>
            </w:pPr>
          </w:p>
        </w:tc>
        <w:tc>
          <w:tcPr>
            <w:tcW w:w="3085" w:type="pct"/>
            <w:gridSpan w:val="4"/>
            <w:tcBorders>
              <w:top w:val="single" w:sz="2" w:space="0" w:color="808080"/>
              <w:bottom w:val="single" w:sz="2" w:space="0" w:color="808080"/>
            </w:tcBorders>
            <w:shd w:val="clear" w:color="auto" w:fill="D9D9D9"/>
            <w:vAlign w:val="center"/>
          </w:tcPr>
          <w:p w14:paraId="213330C0" w14:textId="77777777" w:rsidR="0014181A" w:rsidRPr="00131CEE" w:rsidRDefault="0014181A" w:rsidP="0014181A">
            <w:pPr>
              <w:pStyle w:val="TableHeader2"/>
            </w:pPr>
            <w:r>
              <w:t>Rebate</w:t>
            </w:r>
          </w:p>
        </w:tc>
        <w:tc>
          <w:tcPr>
            <w:tcW w:w="735" w:type="pct"/>
            <w:tcBorders>
              <w:top w:val="single" w:sz="2" w:space="0" w:color="808080"/>
              <w:bottom w:val="single" w:sz="2" w:space="0" w:color="808080"/>
            </w:tcBorders>
            <w:shd w:val="clear" w:color="auto" w:fill="D9D9D9"/>
          </w:tcPr>
          <w:p w14:paraId="43E1F9A3" w14:textId="77777777" w:rsidR="0014181A" w:rsidRDefault="0014181A" w:rsidP="0014181A">
            <w:pPr>
              <w:pStyle w:val="TableHeader2"/>
            </w:pPr>
          </w:p>
        </w:tc>
      </w:tr>
      <w:tr w:rsidR="0014181A" w:rsidRPr="00131CEE" w14:paraId="1C66F71B"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65E71377" w14:textId="77777777" w:rsidR="0014181A" w:rsidRPr="00582024" w:rsidRDefault="0014181A" w:rsidP="0014181A">
            <w:pPr>
              <w:spacing w:after="120"/>
            </w:pPr>
            <w:r w:rsidRPr="00582024">
              <w:rPr>
                <w:rFonts w:ascii="Arial Narrow" w:hAnsi="Arial Narrow"/>
                <w:szCs w:val="20"/>
              </w:rPr>
              <w:t>Portfolio Balance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CE2B623"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50724ADC"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4BAEB45C"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084A107B" w14:textId="77777777" w:rsidR="0014181A" w:rsidRPr="00BA086C" w:rsidRDefault="0014181A" w:rsidP="0014181A">
            <w:pPr>
              <w:pStyle w:val="TableText-Right"/>
              <w:rPr>
                <w:color w:val="FF0000"/>
              </w:rPr>
            </w:pPr>
            <w:r w:rsidRPr="00951A8D">
              <w:rPr>
                <w:color w:val="FF0000"/>
              </w:rPr>
              <w:t>_.__%</w:t>
            </w:r>
          </w:p>
        </w:tc>
      </w:tr>
      <w:tr w:rsidR="0014181A" w:rsidRPr="00131CEE" w14:paraId="4D488871"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5229808" w14:textId="77777777" w:rsidR="0014181A" w:rsidRPr="00582024" w:rsidRDefault="0014181A" w:rsidP="0014181A">
            <w:pPr>
              <w:spacing w:after="120"/>
            </w:pPr>
            <w:r w:rsidRPr="00582024">
              <w:rPr>
                <w:rFonts w:ascii="Arial Narrow" w:hAnsi="Arial Narrow"/>
                <w:szCs w:val="20"/>
              </w:rPr>
              <w:t>Investment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0B2F40DA"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2ED7ABC9"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22E60787"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6DBB80C9" w14:textId="77777777" w:rsidR="0014181A" w:rsidRPr="00BA086C" w:rsidRDefault="0014181A" w:rsidP="0014181A">
            <w:pPr>
              <w:pStyle w:val="TableText-Right"/>
              <w:rPr>
                <w:color w:val="FF0000"/>
              </w:rPr>
            </w:pPr>
            <w:r w:rsidRPr="00951A8D">
              <w:rPr>
                <w:color w:val="FF0000"/>
              </w:rPr>
              <w:t>_.__%</w:t>
            </w:r>
          </w:p>
        </w:tc>
      </w:tr>
      <w:tr w:rsidR="0014181A" w:rsidRPr="00131CEE" w14:paraId="0440A4C9"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72A746C4" w14:textId="77777777" w:rsidR="0014181A" w:rsidRPr="00582024" w:rsidRDefault="0014181A" w:rsidP="0014181A">
            <w:pPr>
              <w:spacing w:after="120"/>
            </w:pPr>
            <w:r w:rsidRPr="00582024">
              <w:rPr>
                <w:rFonts w:ascii="Arial Narrow" w:hAnsi="Arial Narrow"/>
                <w:szCs w:val="20"/>
              </w:rPr>
              <w:t>Contribution Commission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1652C6BD"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009F0C1E"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0A08B00"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5A01705E" w14:textId="77777777" w:rsidR="0014181A" w:rsidRPr="00BA086C" w:rsidRDefault="0014181A" w:rsidP="0014181A">
            <w:pPr>
              <w:pStyle w:val="TableText-Right"/>
              <w:rPr>
                <w:color w:val="FF0000"/>
              </w:rPr>
            </w:pPr>
            <w:r w:rsidRPr="00951A8D">
              <w:rPr>
                <w:color w:val="FF0000"/>
              </w:rPr>
              <w:t>_.__%</w:t>
            </w:r>
          </w:p>
        </w:tc>
      </w:tr>
      <w:tr w:rsidR="0014181A" w:rsidRPr="00131CEE" w14:paraId="17C421C9"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3EFE764E" w14:textId="77777777" w:rsidR="0014181A" w:rsidRPr="00582024" w:rsidRDefault="0014181A" w:rsidP="0014181A">
            <w:pPr>
              <w:spacing w:after="120"/>
            </w:pPr>
            <w:r w:rsidRPr="00582024">
              <w:rPr>
                <w:rFonts w:ascii="Arial Narrow" w:hAnsi="Arial Narrow"/>
                <w:szCs w:val="20"/>
              </w:rPr>
              <w:t>Trail Commission Rebate</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430D6C85"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75091084"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77CB8EDC" w14:textId="77777777" w:rsidR="0014181A" w:rsidRPr="00582024" w:rsidRDefault="0014181A" w:rsidP="0014181A">
            <w:pPr>
              <w:pStyle w:val="TableText-Right"/>
              <w:rPr>
                <w:color w:val="FF0000"/>
              </w:rPr>
            </w:pPr>
            <w:r w:rsidRPr="00BA086C">
              <w:rPr>
                <w:color w:val="FF0000"/>
              </w:rPr>
              <w:t>$___,___.__</w:t>
            </w:r>
          </w:p>
        </w:tc>
        <w:tc>
          <w:tcPr>
            <w:tcW w:w="735" w:type="pct"/>
            <w:tcBorders>
              <w:top w:val="single" w:sz="2" w:space="0" w:color="808080"/>
              <w:left w:val="single" w:sz="24" w:space="0" w:color="FFFFFF"/>
              <w:bottom w:val="single" w:sz="2" w:space="0" w:color="808080"/>
            </w:tcBorders>
          </w:tcPr>
          <w:p w14:paraId="57349850" w14:textId="77777777" w:rsidR="0014181A" w:rsidRPr="00BA086C" w:rsidRDefault="0014181A" w:rsidP="0014181A">
            <w:pPr>
              <w:pStyle w:val="TableText-Right"/>
              <w:rPr>
                <w:color w:val="FF0000"/>
              </w:rPr>
            </w:pPr>
            <w:r w:rsidRPr="00951A8D">
              <w:rPr>
                <w:color w:val="FF0000"/>
              </w:rPr>
              <w:t>_.__%</w:t>
            </w:r>
          </w:p>
        </w:tc>
      </w:tr>
      <w:tr w:rsidR="0014181A" w:rsidRPr="00131CEE" w14:paraId="448453BA"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5A50E500" w14:textId="77777777" w:rsidR="0014181A" w:rsidRPr="00582024" w:rsidRDefault="0014181A" w:rsidP="0014181A">
            <w:pPr>
              <w:spacing w:after="120"/>
            </w:pPr>
            <w:r w:rsidRPr="00582024">
              <w:rPr>
                <w:rFonts w:ascii="Arial Narrow" w:hAnsi="Arial Narrow"/>
                <w:szCs w:val="20"/>
              </w:rPr>
              <w:t>Other Rebates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C6E07B1"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5429F135"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68176B46"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tcBorders>
          </w:tcPr>
          <w:p w14:paraId="657B4148" w14:textId="77777777" w:rsidR="0014181A" w:rsidRPr="00BA086C" w:rsidRDefault="0014181A" w:rsidP="0014181A">
            <w:pPr>
              <w:pStyle w:val="TableText-Right"/>
              <w:rPr>
                <w:color w:val="FF0000"/>
              </w:rPr>
            </w:pPr>
            <w:r w:rsidRPr="00951A8D">
              <w:rPr>
                <w:color w:val="FF0000"/>
              </w:rPr>
              <w:t>_.__%</w:t>
            </w:r>
          </w:p>
        </w:tc>
      </w:tr>
      <w:tr w:rsidR="0014181A" w:rsidRPr="00131CEE" w14:paraId="58D80B8B" w14:textId="77777777" w:rsidTr="0014181A">
        <w:tc>
          <w:tcPr>
            <w:tcW w:w="1969" w:type="pct"/>
            <w:gridSpan w:val="2"/>
            <w:tcBorders>
              <w:top w:val="single" w:sz="2" w:space="0" w:color="808080"/>
              <w:bottom w:val="single" w:sz="2" w:space="0" w:color="808080"/>
              <w:right w:val="single" w:sz="24" w:space="0" w:color="FFFFFF"/>
            </w:tcBorders>
            <w:shd w:val="clear" w:color="auto" w:fill="auto"/>
            <w:vAlign w:val="center"/>
          </w:tcPr>
          <w:p w14:paraId="238CE7FB" w14:textId="77777777" w:rsidR="0014181A" w:rsidRPr="00582024" w:rsidRDefault="0014181A" w:rsidP="0014181A">
            <w:pPr>
              <w:spacing w:after="120"/>
            </w:pPr>
            <w:r w:rsidRPr="00582024">
              <w:rPr>
                <w:rFonts w:ascii="Arial Narrow" w:hAnsi="Arial Narrow"/>
                <w:szCs w:val="20"/>
              </w:rPr>
              <w:t>Total Rebates</w:t>
            </w:r>
          </w:p>
        </w:tc>
        <w:tc>
          <w:tcPr>
            <w:tcW w:w="826" w:type="pct"/>
            <w:tcBorders>
              <w:top w:val="single" w:sz="2" w:space="0" w:color="808080"/>
              <w:left w:val="single" w:sz="24" w:space="0" w:color="FFFFFF"/>
              <w:bottom w:val="single" w:sz="2" w:space="0" w:color="808080"/>
              <w:right w:val="single" w:sz="24" w:space="0" w:color="FFFFFF"/>
            </w:tcBorders>
            <w:shd w:val="clear" w:color="auto" w:fill="auto"/>
          </w:tcPr>
          <w:p w14:paraId="6FAC40C0"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right w:val="single" w:sz="24" w:space="0" w:color="FFFFFF"/>
            </w:tcBorders>
          </w:tcPr>
          <w:p w14:paraId="3E3D0B46" w14:textId="77777777" w:rsidR="0014181A" w:rsidRPr="00BA086C" w:rsidRDefault="0014181A" w:rsidP="0014181A">
            <w:pPr>
              <w:pStyle w:val="TableText-Right"/>
              <w:rPr>
                <w:color w:val="FF0000"/>
              </w:rPr>
            </w:pPr>
            <w:r w:rsidRPr="00951A8D">
              <w:rPr>
                <w:color w:val="FF0000"/>
              </w:rPr>
              <w:t>_.__%</w:t>
            </w:r>
          </w:p>
        </w:tc>
        <w:tc>
          <w:tcPr>
            <w:tcW w:w="735" w:type="pct"/>
            <w:tcBorders>
              <w:top w:val="single" w:sz="2" w:space="0" w:color="808080"/>
              <w:left w:val="single" w:sz="24" w:space="0" w:color="FFFFFF"/>
              <w:bottom w:val="single" w:sz="2" w:space="0" w:color="808080"/>
            </w:tcBorders>
            <w:shd w:val="clear" w:color="auto" w:fill="auto"/>
          </w:tcPr>
          <w:p w14:paraId="46E64A48" w14:textId="77777777" w:rsidR="0014181A" w:rsidRDefault="0014181A" w:rsidP="0014181A">
            <w:pPr>
              <w:pStyle w:val="TableText-Right"/>
            </w:pPr>
            <w:r w:rsidRPr="00BA086C">
              <w:rPr>
                <w:color w:val="FF0000"/>
              </w:rPr>
              <w:t>$___,___.__</w:t>
            </w:r>
          </w:p>
        </w:tc>
        <w:tc>
          <w:tcPr>
            <w:tcW w:w="735" w:type="pct"/>
            <w:tcBorders>
              <w:top w:val="single" w:sz="2" w:space="0" w:color="808080"/>
              <w:left w:val="single" w:sz="24" w:space="0" w:color="FFFFFF"/>
              <w:bottom w:val="single" w:sz="2" w:space="0" w:color="808080"/>
            </w:tcBorders>
          </w:tcPr>
          <w:p w14:paraId="0BBC7B6F" w14:textId="77777777" w:rsidR="0014181A" w:rsidRPr="00BA086C" w:rsidRDefault="0014181A" w:rsidP="0014181A">
            <w:pPr>
              <w:pStyle w:val="TableText-Right"/>
              <w:rPr>
                <w:color w:val="FF0000"/>
              </w:rPr>
            </w:pPr>
            <w:r w:rsidRPr="00951A8D">
              <w:rPr>
                <w:color w:val="FF0000"/>
              </w:rPr>
              <w:t>_.__%</w:t>
            </w:r>
          </w:p>
        </w:tc>
      </w:tr>
      <w:tr w:rsidR="0014181A" w:rsidRPr="00131CEE" w14:paraId="6E315842" w14:textId="77777777" w:rsidTr="0014181A">
        <w:tblPrEx>
          <w:tblBorders>
            <w:top w:val="single" w:sz="2" w:space="0" w:color="808080"/>
            <w:insideH w:val="single" w:sz="24" w:space="0" w:color="FFFFFF"/>
            <w:insideV w:val="single" w:sz="24" w:space="0" w:color="FFFFFF"/>
          </w:tblBorders>
        </w:tblPrEx>
        <w:tc>
          <w:tcPr>
            <w:tcW w:w="1969" w:type="pct"/>
            <w:gridSpan w:val="2"/>
            <w:tcBorders>
              <w:top w:val="single" w:sz="2" w:space="0" w:color="808080"/>
            </w:tcBorders>
            <w:shd w:val="clear" w:color="auto" w:fill="auto"/>
          </w:tcPr>
          <w:p w14:paraId="733FB281" w14:textId="77777777" w:rsidR="0014181A" w:rsidRPr="00582024" w:rsidRDefault="0014181A" w:rsidP="0014181A">
            <w:pPr>
              <w:spacing w:after="120"/>
              <w:jc w:val="right"/>
            </w:pPr>
            <w:r w:rsidRPr="00582024">
              <w:rPr>
                <w:rFonts w:ascii="Arial Narrow" w:hAnsi="Arial Narrow"/>
                <w:b/>
              </w:rPr>
              <w:t>Net Ongoing Costs (pa)</w:t>
            </w:r>
          </w:p>
        </w:tc>
        <w:tc>
          <w:tcPr>
            <w:tcW w:w="826" w:type="pct"/>
            <w:tcBorders>
              <w:top w:val="single" w:sz="2" w:space="0" w:color="808080"/>
            </w:tcBorders>
            <w:shd w:val="clear" w:color="auto" w:fill="auto"/>
          </w:tcPr>
          <w:p w14:paraId="6DAFE4FD"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tcBorders>
          </w:tcPr>
          <w:p w14:paraId="0FF0ADEE" w14:textId="77777777" w:rsidR="0014181A" w:rsidRPr="00131CEE" w:rsidRDefault="0014181A" w:rsidP="0014181A">
            <w:pPr>
              <w:pStyle w:val="TableText-RightBold"/>
            </w:pPr>
            <w:r w:rsidRPr="00951A8D">
              <w:t>_.__%</w:t>
            </w:r>
          </w:p>
        </w:tc>
        <w:tc>
          <w:tcPr>
            <w:tcW w:w="735" w:type="pct"/>
            <w:tcBorders>
              <w:top w:val="single" w:sz="2" w:space="0" w:color="808080"/>
              <w:bottom w:val="single" w:sz="2" w:space="0" w:color="808080"/>
            </w:tcBorders>
            <w:shd w:val="clear" w:color="auto" w:fill="auto"/>
          </w:tcPr>
          <w:p w14:paraId="1F4D4C38"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bottom w:val="single" w:sz="2" w:space="0" w:color="808080"/>
            </w:tcBorders>
          </w:tcPr>
          <w:p w14:paraId="7371C221" w14:textId="77777777" w:rsidR="0014181A" w:rsidRPr="00131CEE" w:rsidRDefault="0014181A" w:rsidP="0014181A">
            <w:pPr>
              <w:pStyle w:val="TableText-RightBold"/>
            </w:pPr>
            <w:r w:rsidRPr="00951A8D">
              <w:t>_.__%</w:t>
            </w:r>
          </w:p>
        </w:tc>
      </w:tr>
      <w:tr w:rsidR="0014181A" w:rsidRPr="00131CEE" w14:paraId="350D9451" w14:textId="77777777" w:rsidTr="0014181A">
        <w:tblPrEx>
          <w:tblBorders>
            <w:top w:val="single" w:sz="2" w:space="0" w:color="808080"/>
            <w:insideH w:val="single" w:sz="24" w:space="0" w:color="FFFFFF"/>
            <w:insideV w:val="single" w:sz="24" w:space="0" w:color="FFFFFF"/>
          </w:tblBorders>
        </w:tblPrEx>
        <w:tc>
          <w:tcPr>
            <w:tcW w:w="1969" w:type="pct"/>
            <w:gridSpan w:val="2"/>
            <w:tcBorders>
              <w:top w:val="single" w:sz="2" w:space="0" w:color="808080"/>
            </w:tcBorders>
            <w:shd w:val="clear" w:color="auto" w:fill="auto"/>
          </w:tcPr>
          <w:p w14:paraId="7613C7F2" w14:textId="77777777" w:rsidR="0014181A" w:rsidRPr="00582024" w:rsidRDefault="0014181A" w:rsidP="0014181A">
            <w:pPr>
              <w:spacing w:after="120"/>
              <w:jc w:val="right"/>
            </w:pPr>
            <w:r w:rsidRPr="00582024">
              <w:rPr>
                <w:rFonts w:ascii="Arial Narrow" w:hAnsi="Arial Narrow"/>
                <w:b/>
              </w:rPr>
              <w:t>Change in Ongoing Costs (pa)</w:t>
            </w:r>
          </w:p>
        </w:tc>
        <w:tc>
          <w:tcPr>
            <w:tcW w:w="826" w:type="pct"/>
            <w:tcBorders>
              <w:top w:val="single" w:sz="2" w:space="0" w:color="808080"/>
            </w:tcBorders>
            <w:shd w:val="clear" w:color="auto" w:fill="auto"/>
          </w:tcPr>
          <w:p w14:paraId="6FEA8560" w14:textId="77777777" w:rsidR="0014181A" w:rsidRPr="00131CEE" w:rsidRDefault="0014181A" w:rsidP="0014181A">
            <w:pPr>
              <w:pStyle w:val="TableText-RightBold"/>
            </w:pPr>
          </w:p>
        </w:tc>
        <w:tc>
          <w:tcPr>
            <w:tcW w:w="735" w:type="pct"/>
            <w:tcBorders>
              <w:top w:val="single" w:sz="2" w:space="0" w:color="808080"/>
            </w:tcBorders>
          </w:tcPr>
          <w:p w14:paraId="130B9476" w14:textId="77777777" w:rsidR="0014181A" w:rsidRPr="00131CEE" w:rsidRDefault="0014181A" w:rsidP="0014181A">
            <w:pPr>
              <w:pStyle w:val="TableText-RightBold"/>
            </w:pPr>
          </w:p>
        </w:tc>
        <w:tc>
          <w:tcPr>
            <w:tcW w:w="735" w:type="pct"/>
            <w:tcBorders>
              <w:top w:val="single" w:sz="2" w:space="0" w:color="808080"/>
              <w:bottom w:val="single" w:sz="2" w:space="0" w:color="808080"/>
            </w:tcBorders>
            <w:shd w:val="clear" w:color="auto" w:fill="auto"/>
          </w:tcPr>
          <w:p w14:paraId="3E4B2B97" w14:textId="77777777" w:rsidR="0014181A" w:rsidRPr="00131CEE" w:rsidRDefault="0014181A" w:rsidP="0014181A">
            <w:pPr>
              <w:pStyle w:val="TableText-RightBold"/>
            </w:pPr>
            <w:r w:rsidRPr="00131CEE">
              <w:t>$</w:t>
            </w:r>
            <w:r>
              <w:t>___</w:t>
            </w:r>
            <w:r w:rsidRPr="00131CEE">
              <w:t>,</w:t>
            </w:r>
            <w:r>
              <w:t>___</w:t>
            </w:r>
            <w:r w:rsidRPr="00131CEE">
              <w:t>.</w:t>
            </w:r>
            <w:r>
              <w:t>__</w:t>
            </w:r>
          </w:p>
        </w:tc>
        <w:tc>
          <w:tcPr>
            <w:tcW w:w="735" w:type="pct"/>
            <w:tcBorders>
              <w:top w:val="single" w:sz="2" w:space="0" w:color="808080"/>
              <w:bottom w:val="single" w:sz="2" w:space="0" w:color="808080"/>
            </w:tcBorders>
          </w:tcPr>
          <w:p w14:paraId="64D40696" w14:textId="77777777" w:rsidR="0014181A" w:rsidRPr="00131CEE" w:rsidRDefault="0014181A" w:rsidP="0014181A">
            <w:pPr>
              <w:pStyle w:val="TableText-RightBold"/>
            </w:pPr>
            <w:r>
              <w:t>_.__%</w:t>
            </w:r>
          </w:p>
        </w:tc>
      </w:tr>
    </w:tbl>
    <w:p w14:paraId="64FFA983" w14:textId="77777777" w:rsidR="0014181A" w:rsidRDefault="0014181A" w:rsidP="0014181A">
      <w:pPr>
        <w:rPr>
          <w:rFonts w:cs="Calibri"/>
          <w:lang w:val="en-US"/>
        </w:rPr>
      </w:pPr>
    </w:p>
    <w:bookmarkEnd w:id="48"/>
    <w:bookmarkEnd w:id="49"/>
    <w:p w14:paraId="3F16E85F" w14:textId="77777777" w:rsidR="0014181A" w:rsidRPr="00FD0716" w:rsidRDefault="0014181A" w:rsidP="0014181A">
      <w:pPr>
        <w:rPr>
          <w:rFonts w:cs="Calibri"/>
        </w:rPr>
      </w:pPr>
      <w:r w:rsidRPr="00FD0716">
        <w:rPr>
          <w:rFonts w:cs="Calibri"/>
        </w:rPr>
        <w:br w:type="page"/>
      </w:r>
    </w:p>
    <w:p w14:paraId="6CDD5FEC" w14:textId="13AC09DC" w:rsidR="0014181A" w:rsidRPr="00FD0716" w:rsidRDefault="0014181A" w:rsidP="00AE76DF">
      <w:pPr>
        <w:pStyle w:val="Heading1"/>
      </w:pPr>
      <w:bookmarkStart w:id="56" w:name="_Toc260306685"/>
      <w:bookmarkStart w:id="57" w:name="_Toc377642920"/>
      <w:bookmarkStart w:id="58" w:name="_Toc489275736"/>
      <w:bookmarkStart w:id="59" w:name="_Toc4151634"/>
      <w:bookmarkStart w:id="60" w:name="_Toc6216222"/>
      <w:bookmarkStart w:id="61" w:name="_Toc24635594"/>
      <w:bookmarkStart w:id="62" w:name="_Toc46234260"/>
      <w:r w:rsidRPr="00FD0716">
        <w:lastRenderedPageBreak/>
        <w:t xml:space="preserve">Product </w:t>
      </w:r>
      <w:bookmarkEnd w:id="56"/>
      <w:bookmarkEnd w:id="57"/>
      <w:bookmarkEnd w:id="58"/>
      <w:bookmarkEnd w:id="59"/>
      <w:bookmarkEnd w:id="60"/>
      <w:bookmarkEnd w:id="61"/>
      <w:r w:rsidR="00CA587B">
        <w:t>Research</w:t>
      </w:r>
      <w:bookmarkEnd w:id="62"/>
    </w:p>
    <w:p w14:paraId="03B5D1A8" w14:textId="77777777" w:rsidR="0014181A" w:rsidRDefault="0014181A" w:rsidP="0014181A">
      <w:pPr>
        <w:pStyle w:val="Code"/>
        <w:rPr>
          <w:rFonts w:cs="Calibri"/>
        </w:rPr>
      </w:pPr>
    </w:p>
    <w:p w14:paraId="7138C350" w14:textId="77777777" w:rsidR="0014181A" w:rsidRDefault="0014181A" w:rsidP="0014181A">
      <w:pPr>
        <w:pStyle w:val="Instructions"/>
        <w:rPr>
          <w:highlight w:val="yellow"/>
        </w:rPr>
      </w:pPr>
      <w:r>
        <w:rPr>
          <w:highlight w:val="yellow"/>
        </w:rPr>
        <w:t xml:space="preserve">  </w:t>
      </w:r>
      <w:r w:rsidRPr="005C1A27">
        <w:rPr>
          <w:highlight w:val="yellow"/>
        </w:rPr>
        <w:t xml:space="preserve">For </w:t>
      </w:r>
      <w:r>
        <w:rPr>
          <w:highlight w:val="yellow"/>
        </w:rPr>
        <w:t>advice which includes insurance or investment product solutions, please</w:t>
      </w:r>
      <w:r w:rsidRPr="005C1A27">
        <w:rPr>
          <w:highlight w:val="yellow"/>
        </w:rPr>
        <w:t xml:space="preserve"> include</w:t>
      </w:r>
      <w:r>
        <w:rPr>
          <w:highlight w:val="yellow"/>
        </w:rPr>
        <w:t xml:space="preserve"> all relevant product information here.  </w:t>
      </w:r>
    </w:p>
    <w:p w14:paraId="29A9D77D" w14:textId="77777777" w:rsidR="0014181A" w:rsidRPr="005C1A27" w:rsidRDefault="0014181A" w:rsidP="0014181A">
      <w:pPr>
        <w:pStyle w:val="Instructions"/>
        <w:rPr>
          <w:highlight w:val="yellow"/>
        </w:rPr>
      </w:pPr>
      <w:r>
        <w:rPr>
          <w:highlight w:val="yellow"/>
        </w:rPr>
        <w:t xml:space="preserve">  Such product information may come from research providers (such as Morningstar) or directly from product providers. </w:t>
      </w:r>
    </w:p>
    <w:p w14:paraId="73BCA0F6" w14:textId="77777777" w:rsidR="0014181A" w:rsidRPr="002B6532" w:rsidRDefault="0014181A" w:rsidP="0014181A"/>
    <w:p w14:paraId="5ACCE176" w14:textId="77777777" w:rsidR="00247562" w:rsidRPr="00247562" w:rsidRDefault="00247562" w:rsidP="00247562"/>
    <w:sectPr w:rsidR="00247562" w:rsidRPr="00247562" w:rsidSect="0014181A">
      <w:type w:val="continuous"/>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Shane Miller" w:date="2018-11-05T15:05:00Z" w:initials="SM">
    <w:p w14:paraId="4D6F83B5" w14:textId="77777777" w:rsidR="00C3002B" w:rsidRDefault="00C3002B" w:rsidP="0014181A">
      <w:pPr>
        <w:pStyle w:val="CommentText"/>
      </w:pPr>
      <w:r>
        <w:rPr>
          <w:rStyle w:val="CommentReference"/>
        </w:rPr>
        <w:annotationRef/>
      </w:r>
      <w:r w:rsidRPr="00001951">
        <w:t>https://www.ato.gov.au/rates/fbt/</w:t>
      </w:r>
    </w:p>
  </w:comment>
  <w:comment w:id="27" w:author="Shane Miller" w:date="2020-07-10T14:43:00Z" w:initials="SM">
    <w:p w14:paraId="5CA52C77" w14:textId="47A7B675" w:rsidR="00C3002B" w:rsidRDefault="00C3002B">
      <w:pPr>
        <w:pStyle w:val="CommentText"/>
      </w:pPr>
      <w:r>
        <w:rPr>
          <w:rStyle w:val="CommentReference"/>
        </w:rPr>
        <w:annotationRef/>
      </w:r>
    </w:p>
  </w:comment>
  <w:comment w:id="28" w:author="Shane Miller" w:date="2020-07-10T14:57:00Z" w:initials="SM">
    <w:p w14:paraId="6D159DED" w14:textId="71588402" w:rsidR="003F20CA" w:rsidRDefault="003F20C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6F83B5" w15:done="0"/>
  <w15:commentEx w15:paraId="5CA52C77" w15:done="0"/>
  <w15:commentEx w15:paraId="6D159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FD01" w16cex:dateUtc="2020-07-10T04:43:00Z"/>
  <w16cex:commentExtensible w16cex:durableId="22B30076" w16cex:dateUtc="2020-07-10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F83B5" w16cid:durableId="1F8ADAA2"/>
  <w16cid:commentId w16cid:paraId="5CA52C77" w16cid:durableId="22B2FD01"/>
  <w16cid:commentId w16cid:paraId="6D159DED" w16cid:durableId="22B300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C3002B" w:rsidRDefault="00C3002B">
      <w:r>
        <w:separator/>
      </w:r>
    </w:p>
  </w:endnote>
  <w:endnote w:type="continuationSeparator" w:id="0">
    <w:p w14:paraId="02D4A1D1" w14:textId="77777777" w:rsidR="00C3002B" w:rsidRDefault="00C3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7710"/>
      <w:gridCol w:w="1928"/>
    </w:tblGrid>
    <w:tr w:rsidR="00C3002B" w:rsidRPr="00FF69E4" w14:paraId="727D66FB" w14:textId="77777777" w:rsidTr="0014181A">
      <w:tc>
        <w:tcPr>
          <w:tcW w:w="4000" w:type="pct"/>
        </w:tcPr>
        <w:p w14:paraId="4A1C9011" w14:textId="60D64654" w:rsidR="00C3002B" w:rsidRPr="00FF69E4" w:rsidRDefault="00C3002B" w:rsidP="0014181A">
          <w:pPr>
            <w:pStyle w:val="Footer"/>
            <w:rPr>
              <w:i/>
            </w:rPr>
          </w:pPr>
        </w:p>
      </w:tc>
      <w:tc>
        <w:tcPr>
          <w:tcW w:w="1000" w:type="pct"/>
        </w:tcPr>
        <w:p w14:paraId="44CFC9CC" w14:textId="77777777" w:rsidR="00C3002B" w:rsidRPr="00326FD0" w:rsidRDefault="00C3002B" w:rsidP="0014181A">
          <w:pPr>
            <w:pStyle w:val="Footer"/>
            <w:jc w:val="right"/>
          </w:pPr>
          <w:r w:rsidRPr="00326FD0">
            <w:t xml:space="preserve">Page </w:t>
          </w:r>
          <w:r w:rsidRPr="00326FD0">
            <w:fldChar w:fldCharType="begin"/>
          </w:r>
          <w:r w:rsidRPr="00326FD0">
            <w:instrText xml:space="preserve"> PAGE </w:instrText>
          </w:r>
          <w:r w:rsidRPr="00326FD0">
            <w:fldChar w:fldCharType="separate"/>
          </w:r>
          <w:r>
            <w:rPr>
              <w:noProof/>
            </w:rPr>
            <w:t>5</w:t>
          </w:r>
          <w:r w:rsidRPr="00326FD0">
            <w:fldChar w:fldCharType="end"/>
          </w:r>
          <w:r w:rsidRPr="00326FD0">
            <w:t xml:space="preserve"> of </w:t>
          </w:r>
          <w:r w:rsidRPr="00326FD0">
            <w:fldChar w:fldCharType="begin"/>
          </w:r>
          <w:r w:rsidRPr="00326FD0">
            <w:instrText xml:space="preserve"> NUMPAGES  </w:instrText>
          </w:r>
          <w:r w:rsidRPr="00326FD0">
            <w:fldChar w:fldCharType="separate"/>
          </w:r>
          <w:r>
            <w:rPr>
              <w:noProof/>
            </w:rPr>
            <w:t>70</w:t>
          </w:r>
          <w:r w:rsidRPr="00326FD0">
            <w:fldChar w:fldCharType="end"/>
          </w:r>
        </w:p>
      </w:tc>
    </w:tr>
  </w:tbl>
  <w:p w14:paraId="4FE49D26" w14:textId="77777777" w:rsidR="00C3002B" w:rsidRPr="0052412B" w:rsidRDefault="00C3002B" w:rsidP="0014181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C3002B" w:rsidRDefault="00C3002B">
      <w:r>
        <w:separator/>
      </w:r>
    </w:p>
  </w:footnote>
  <w:footnote w:type="continuationSeparator" w:id="0">
    <w:p w14:paraId="73F4E245" w14:textId="77777777" w:rsidR="00C3002B" w:rsidRDefault="00C3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9C32E51"/>
    <w:multiLevelType w:val="hybridMultilevel"/>
    <w:tmpl w:val="33F83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15CEF"/>
    <w:multiLevelType w:val="hybridMultilevel"/>
    <w:tmpl w:val="1FE0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4"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BC59BA"/>
    <w:multiLevelType w:val="hybridMultilevel"/>
    <w:tmpl w:val="D5AE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50A51"/>
    <w:multiLevelType w:val="hybridMultilevel"/>
    <w:tmpl w:val="F7AC4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6"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5A1094"/>
    <w:multiLevelType w:val="hybridMultilevel"/>
    <w:tmpl w:val="73A4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5"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8"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56C4D"/>
    <w:multiLevelType w:val="hybridMultilevel"/>
    <w:tmpl w:val="26AC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1"/>
  </w:num>
  <w:num w:numId="4">
    <w:abstractNumId w:val="32"/>
  </w:num>
  <w:num w:numId="5">
    <w:abstractNumId w:val="4"/>
  </w:num>
  <w:num w:numId="6">
    <w:abstractNumId w:val="13"/>
  </w:num>
  <w:num w:numId="7">
    <w:abstractNumId w:val="29"/>
  </w:num>
  <w:num w:numId="8">
    <w:abstractNumId w:val="36"/>
  </w:num>
  <w:num w:numId="9">
    <w:abstractNumId w:val="1"/>
  </w:num>
  <w:num w:numId="10">
    <w:abstractNumId w:val="37"/>
  </w:num>
  <w:num w:numId="11">
    <w:abstractNumId w:val="25"/>
  </w:num>
  <w:num w:numId="12">
    <w:abstractNumId w:val="34"/>
  </w:num>
  <w:num w:numId="13">
    <w:abstractNumId w:val="49"/>
  </w:num>
  <w:num w:numId="14">
    <w:abstractNumId w:val="31"/>
  </w:num>
  <w:num w:numId="15">
    <w:abstractNumId w:val="26"/>
  </w:num>
  <w:num w:numId="16">
    <w:abstractNumId w:val="50"/>
  </w:num>
  <w:num w:numId="17">
    <w:abstractNumId w:val="14"/>
  </w:num>
  <w:num w:numId="18">
    <w:abstractNumId w:val="17"/>
  </w:num>
  <w:num w:numId="19">
    <w:abstractNumId w:val="38"/>
  </w:num>
  <w:num w:numId="20">
    <w:abstractNumId w:val="52"/>
  </w:num>
  <w:num w:numId="21">
    <w:abstractNumId w:val="6"/>
  </w:num>
  <w:num w:numId="22">
    <w:abstractNumId w:val="8"/>
  </w:num>
  <w:num w:numId="23">
    <w:abstractNumId w:val="35"/>
  </w:num>
  <w:num w:numId="24">
    <w:abstractNumId w:val="27"/>
  </w:num>
  <w:num w:numId="25">
    <w:abstractNumId w:val="42"/>
  </w:num>
  <w:num w:numId="26">
    <w:abstractNumId w:val="47"/>
  </w:num>
  <w:num w:numId="27">
    <w:abstractNumId w:val="44"/>
  </w:num>
  <w:num w:numId="28">
    <w:abstractNumId w:val="33"/>
  </w:num>
  <w:num w:numId="29">
    <w:abstractNumId w:val="10"/>
  </w:num>
  <w:num w:numId="30">
    <w:abstractNumId w:val="7"/>
  </w:num>
  <w:num w:numId="31">
    <w:abstractNumId w:val="11"/>
  </w:num>
  <w:num w:numId="32">
    <w:abstractNumId w:val="51"/>
  </w:num>
  <w:num w:numId="33">
    <w:abstractNumId w:val="22"/>
  </w:num>
  <w:num w:numId="34">
    <w:abstractNumId w:val="39"/>
  </w:num>
  <w:num w:numId="35">
    <w:abstractNumId w:val="18"/>
  </w:num>
  <w:num w:numId="36">
    <w:abstractNumId w:val="3"/>
  </w:num>
  <w:num w:numId="37">
    <w:abstractNumId w:val="40"/>
  </w:num>
  <w:num w:numId="38">
    <w:abstractNumId w:val="2"/>
  </w:num>
  <w:num w:numId="39">
    <w:abstractNumId w:val="20"/>
  </w:num>
  <w:num w:numId="40">
    <w:abstractNumId w:val="21"/>
  </w:num>
  <w:num w:numId="41">
    <w:abstractNumId w:val="48"/>
  </w:num>
  <w:num w:numId="42">
    <w:abstractNumId w:val="46"/>
  </w:num>
  <w:num w:numId="43">
    <w:abstractNumId w:val="24"/>
  </w:num>
  <w:num w:numId="44">
    <w:abstractNumId w:val="45"/>
  </w:num>
  <w:num w:numId="45">
    <w:abstractNumId w:val="23"/>
  </w:num>
  <w:num w:numId="46">
    <w:abstractNumId w:val="15"/>
  </w:num>
  <w:num w:numId="47">
    <w:abstractNumId w:val="28"/>
  </w:num>
  <w:num w:numId="48">
    <w:abstractNumId w:val="5"/>
  </w:num>
  <w:num w:numId="49">
    <w:abstractNumId w:val="12"/>
  </w:num>
  <w:num w:numId="50">
    <w:abstractNumId w:val="43"/>
  </w:num>
  <w:num w:numId="51">
    <w:abstractNumId w:val="16"/>
  </w:num>
  <w:num w:numId="52">
    <w:abstractNumId w:val="19"/>
  </w:num>
  <w:num w:numId="53">
    <w:abstractNumId w:val="3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455C6"/>
    <w:rsid w:val="00047696"/>
    <w:rsid w:val="000500B1"/>
    <w:rsid w:val="00050F3D"/>
    <w:rsid w:val="00056A49"/>
    <w:rsid w:val="00061D31"/>
    <w:rsid w:val="00084824"/>
    <w:rsid w:val="00087A98"/>
    <w:rsid w:val="00090A51"/>
    <w:rsid w:val="000924A2"/>
    <w:rsid w:val="00094622"/>
    <w:rsid w:val="00096D19"/>
    <w:rsid w:val="000A1E8B"/>
    <w:rsid w:val="000A3FCC"/>
    <w:rsid w:val="000B3A3A"/>
    <w:rsid w:val="000D28AB"/>
    <w:rsid w:val="000D55C5"/>
    <w:rsid w:val="000D759F"/>
    <w:rsid w:val="000E16EA"/>
    <w:rsid w:val="000E4FEE"/>
    <w:rsid w:val="000E6A76"/>
    <w:rsid w:val="000F1777"/>
    <w:rsid w:val="000F658A"/>
    <w:rsid w:val="00107F33"/>
    <w:rsid w:val="0011432C"/>
    <w:rsid w:val="00126DCE"/>
    <w:rsid w:val="0013768A"/>
    <w:rsid w:val="0014181A"/>
    <w:rsid w:val="00144DC3"/>
    <w:rsid w:val="001462D5"/>
    <w:rsid w:val="00151E48"/>
    <w:rsid w:val="00153758"/>
    <w:rsid w:val="00155017"/>
    <w:rsid w:val="00160128"/>
    <w:rsid w:val="00161488"/>
    <w:rsid w:val="00172A10"/>
    <w:rsid w:val="0017580F"/>
    <w:rsid w:val="00175A13"/>
    <w:rsid w:val="0018516A"/>
    <w:rsid w:val="001A0E05"/>
    <w:rsid w:val="001A2C37"/>
    <w:rsid w:val="001B0822"/>
    <w:rsid w:val="001C2086"/>
    <w:rsid w:val="001C5036"/>
    <w:rsid w:val="001D22BF"/>
    <w:rsid w:val="001D5761"/>
    <w:rsid w:val="001E1C94"/>
    <w:rsid w:val="001F0066"/>
    <w:rsid w:val="00205D33"/>
    <w:rsid w:val="0022071F"/>
    <w:rsid w:val="002211C3"/>
    <w:rsid w:val="00227E01"/>
    <w:rsid w:val="002316B8"/>
    <w:rsid w:val="00247562"/>
    <w:rsid w:val="00252671"/>
    <w:rsid w:val="0026277C"/>
    <w:rsid w:val="00295413"/>
    <w:rsid w:val="00295D20"/>
    <w:rsid w:val="00296A1B"/>
    <w:rsid w:val="002A1294"/>
    <w:rsid w:val="002B1739"/>
    <w:rsid w:val="002C01AB"/>
    <w:rsid w:val="002C3570"/>
    <w:rsid w:val="002C6EA5"/>
    <w:rsid w:val="002D3F16"/>
    <w:rsid w:val="002D5AD9"/>
    <w:rsid w:val="002D73AA"/>
    <w:rsid w:val="002E229B"/>
    <w:rsid w:val="002F407E"/>
    <w:rsid w:val="002F7665"/>
    <w:rsid w:val="00302703"/>
    <w:rsid w:val="00302D8A"/>
    <w:rsid w:val="00304FFA"/>
    <w:rsid w:val="00306C2A"/>
    <w:rsid w:val="00327761"/>
    <w:rsid w:val="00354122"/>
    <w:rsid w:val="00354DD6"/>
    <w:rsid w:val="003654BE"/>
    <w:rsid w:val="00367657"/>
    <w:rsid w:val="003A7677"/>
    <w:rsid w:val="003B135F"/>
    <w:rsid w:val="003C4C68"/>
    <w:rsid w:val="003D450F"/>
    <w:rsid w:val="003D6E89"/>
    <w:rsid w:val="003F20CA"/>
    <w:rsid w:val="003F3ACE"/>
    <w:rsid w:val="004048F7"/>
    <w:rsid w:val="0041327E"/>
    <w:rsid w:val="00421555"/>
    <w:rsid w:val="00437140"/>
    <w:rsid w:val="00446AD6"/>
    <w:rsid w:val="00453FEB"/>
    <w:rsid w:val="00482DB8"/>
    <w:rsid w:val="0048493D"/>
    <w:rsid w:val="00486F4F"/>
    <w:rsid w:val="004958DF"/>
    <w:rsid w:val="004969E9"/>
    <w:rsid w:val="004B7D18"/>
    <w:rsid w:val="004C0404"/>
    <w:rsid w:val="004C7FEA"/>
    <w:rsid w:val="004E7A6D"/>
    <w:rsid w:val="004F51AE"/>
    <w:rsid w:val="004F7D87"/>
    <w:rsid w:val="005132FF"/>
    <w:rsid w:val="00527FA4"/>
    <w:rsid w:val="005575FE"/>
    <w:rsid w:val="0056405C"/>
    <w:rsid w:val="00586A69"/>
    <w:rsid w:val="00595A4D"/>
    <w:rsid w:val="005A70E8"/>
    <w:rsid w:val="005B1192"/>
    <w:rsid w:val="005D3D2E"/>
    <w:rsid w:val="00602C7E"/>
    <w:rsid w:val="006075CB"/>
    <w:rsid w:val="00613434"/>
    <w:rsid w:val="00616D05"/>
    <w:rsid w:val="00627DA4"/>
    <w:rsid w:val="00647D71"/>
    <w:rsid w:val="006505CF"/>
    <w:rsid w:val="006531B0"/>
    <w:rsid w:val="00655A6E"/>
    <w:rsid w:val="00664A4A"/>
    <w:rsid w:val="00673A1F"/>
    <w:rsid w:val="00674E3C"/>
    <w:rsid w:val="00674E95"/>
    <w:rsid w:val="00677687"/>
    <w:rsid w:val="00690059"/>
    <w:rsid w:val="00695B89"/>
    <w:rsid w:val="006B4443"/>
    <w:rsid w:val="006B53B9"/>
    <w:rsid w:val="006C6455"/>
    <w:rsid w:val="006D1646"/>
    <w:rsid w:val="006E3394"/>
    <w:rsid w:val="006E6FC9"/>
    <w:rsid w:val="0070304F"/>
    <w:rsid w:val="00707BEA"/>
    <w:rsid w:val="007158CB"/>
    <w:rsid w:val="00716066"/>
    <w:rsid w:val="00726594"/>
    <w:rsid w:val="00727884"/>
    <w:rsid w:val="00737139"/>
    <w:rsid w:val="0073749D"/>
    <w:rsid w:val="00740FDA"/>
    <w:rsid w:val="00742D99"/>
    <w:rsid w:val="00745606"/>
    <w:rsid w:val="00746C46"/>
    <w:rsid w:val="00752801"/>
    <w:rsid w:val="00764DCC"/>
    <w:rsid w:val="00781D06"/>
    <w:rsid w:val="0079240F"/>
    <w:rsid w:val="00797F61"/>
    <w:rsid w:val="007C194F"/>
    <w:rsid w:val="007C4FF9"/>
    <w:rsid w:val="007D6567"/>
    <w:rsid w:val="007D6E31"/>
    <w:rsid w:val="007F164B"/>
    <w:rsid w:val="00802F32"/>
    <w:rsid w:val="008102A5"/>
    <w:rsid w:val="0082487F"/>
    <w:rsid w:val="00830F8F"/>
    <w:rsid w:val="008310BE"/>
    <w:rsid w:val="0084242B"/>
    <w:rsid w:val="00847C6B"/>
    <w:rsid w:val="00856259"/>
    <w:rsid w:val="008616B0"/>
    <w:rsid w:val="00861747"/>
    <w:rsid w:val="0088297F"/>
    <w:rsid w:val="008907D7"/>
    <w:rsid w:val="008C366A"/>
    <w:rsid w:val="008C56E4"/>
    <w:rsid w:val="008D5816"/>
    <w:rsid w:val="008D648E"/>
    <w:rsid w:val="008E3BFD"/>
    <w:rsid w:val="008E4557"/>
    <w:rsid w:val="008E7D3E"/>
    <w:rsid w:val="008F2E9C"/>
    <w:rsid w:val="00902A83"/>
    <w:rsid w:val="009032F0"/>
    <w:rsid w:val="00905115"/>
    <w:rsid w:val="009170D2"/>
    <w:rsid w:val="00923F6A"/>
    <w:rsid w:val="00925248"/>
    <w:rsid w:val="0093244A"/>
    <w:rsid w:val="00936E77"/>
    <w:rsid w:val="00943C14"/>
    <w:rsid w:val="009477FA"/>
    <w:rsid w:val="00950FAA"/>
    <w:rsid w:val="00951741"/>
    <w:rsid w:val="00962EB2"/>
    <w:rsid w:val="0097413F"/>
    <w:rsid w:val="009813BF"/>
    <w:rsid w:val="00992577"/>
    <w:rsid w:val="00992EE4"/>
    <w:rsid w:val="0099413D"/>
    <w:rsid w:val="0099581F"/>
    <w:rsid w:val="00996484"/>
    <w:rsid w:val="009A22B5"/>
    <w:rsid w:val="009A4D46"/>
    <w:rsid w:val="009B512A"/>
    <w:rsid w:val="009B5813"/>
    <w:rsid w:val="009C4E11"/>
    <w:rsid w:val="009C586F"/>
    <w:rsid w:val="009F7298"/>
    <w:rsid w:val="00A14931"/>
    <w:rsid w:val="00A23609"/>
    <w:rsid w:val="00A34084"/>
    <w:rsid w:val="00A35463"/>
    <w:rsid w:val="00A46FB3"/>
    <w:rsid w:val="00A66032"/>
    <w:rsid w:val="00A73B6D"/>
    <w:rsid w:val="00A83215"/>
    <w:rsid w:val="00AA7085"/>
    <w:rsid w:val="00AB41D6"/>
    <w:rsid w:val="00AB7DBD"/>
    <w:rsid w:val="00AC193C"/>
    <w:rsid w:val="00AD0118"/>
    <w:rsid w:val="00AE76DF"/>
    <w:rsid w:val="00AF7BA2"/>
    <w:rsid w:val="00B10C5F"/>
    <w:rsid w:val="00B16F40"/>
    <w:rsid w:val="00B23A7B"/>
    <w:rsid w:val="00B3255F"/>
    <w:rsid w:val="00B32E48"/>
    <w:rsid w:val="00B429AC"/>
    <w:rsid w:val="00B53E1D"/>
    <w:rsid w:val="00B55852"/>
    <w:rsid w:val="00B72AFF"/>
    <w:rsid w:val="00B73918"/>
    <w:rsid w:val="00B766BB"/>
    <w:rsid w:val="00B81B2E"/>
    <w:rsid w:val="00BA5CBC"/>
    <w:rsid w:val="00BC6025"/>
    <w:rsid w:val="00BE5413"/>
    <w:rsid w:val="00BE6961"/>
    <w:rsid w:val="00BE724F"/>
    <w:rsid w:val="00BE79CE"/>
    <w:rsid w:val="00C00F91"/>
    <w:rsid w:val="00C03AE7"/>
    <w:rsid w:val="00C06339"/>
    <w:rsid w:val="00C3002B"/>
    <w:rsid w:val="00C31624"/>
    <w:rsid w:val="00C32A42"/>
    <w:rsid w:val="00C40FB8"/>
    <w:rsid w:val="00C41C56"/>
    <w:rsid w:val="00C54DBF"/>
    <w:rsid w:val="00C5633D"/>
    <w:rsid w:val="00C61A38"/>
    <w:rsid w:val="00C70C9B"/>
    <w:rsid w:val="00C727EC"/>
    <w:rsid w:val="00C82B65"/>
    <w:rsid w:val="00C8437E"/>
    <w:rsid w:val="00C869B1"/>
    <w:rsid w:val="00C91A9C"/>
    <w:rsid w:val="00CA587B"/>
    <w:rsid w:val="00CB46C5"/>
    <w:rsid w:val="00CC725F"/>
    <w:rsid w:val="00CD61A4"/>
    <w:rsid w:val="00CE29CA"/>
    <w:rsid w:val="00CE5554"/>
    <w:rsid w:val="00CF08FF"/>
    <w:rsid w:val="00CF129A"/>
    <w:rsid w:val="00CF761E"/>
    <w:rsid w:val="00D02C83"/>
    <w:rsid w:val="00D1380F"/>
    <w:rsid w:val="00D203DE"/>
    <w:rsid w:val="00D26FFA"/>
    <w:rsid w:val="00D379D3"/>
    <w:rsid w:val="00D43660"/>
    <w:rsid w:val="00D44153"/>
    <w:rsid w:val="00D50707"/>
    <w:rsid w:val="00D73BE9"/>
    <w:rsid w:val="00D76DD5"/>
    <w:rsid w:val="00D81FB0"/>
    <w:rsid w:val="00D83105"/>
    <w:rsid w:val="00DB0A32"/>
    <w:rsid w:val="00DB6E2D"/>
    <w:rsid w:val="00DB774D"/>
    <w:rsid w:val="00DB7839"/>
    <w:rsid w:val="00DC03FB"/>
    <w:rsid w:val="00DC2957"/>
    <w:rsid w:val="00DC643A"/>
    <w:rsid w:val="00DD0F66"/>
    <w:rsid w:val="00DD3F78"/>
    <w:rsid w:val="00DD7C8F"/>
    <w:rsid w:val="00DE02F2"/>
    <w:rsid w:val="00DF6854"/>
    <w:rsid w:val="00E02E01"/>
    <w:rsid w:val="00E06EFA"/>
    <w:rsid w:val="00E12529"/>
    <w:rsid w:val="00E16575"/>
    <w:rsid w:val="00E24B15"/>
    <w:rsid w:val="00E330E2"/>
    <w:rsid w:val="00E368F1"/>
    <w:rsid w:val="00E467B4"/>
    <w:rsid w:val="00E5533A"/>
    <w:rsid w:val="00E81BEA"/>
    <w:rsid w:val="00E81E6C"/>
    <w:rsid w:val="00E93081"/>
    <w:rsid w:val="00E95243"/>
    <w:rsid w:val="00EA5341"/>
    <w:rsid w:val="00EB0433"/>
    <w:rsid w:val="00EB619A"/>
    <w:rsid w:val="00EC132C"/>
    <w:rsid w:val="00EE2AC1"/>
    <w:rsid w:val="00EF19DD"/>
    <w:rsid w:val="00EF5382"/>
    <w:rsid w:val="00EF6120"/>
    <w:rsid w:val="00F1157B"/>
    <w:rsid w:val="00F11E56"/>
    <w:rsid w:val="00F37D5A"/>
    <w:rsid w:val="00F5655C"/>
    <w:rsid w:val="00F67E58"/>
    <w:rsid w:val="00F74275"/>
    <w:rsid w:val="00F7619B"/>
    <w:rsid w:val="00F8483E"/>
    <w:rsid w:val="00F91A2E"/>
    <w:rsid w:val="00FA006A"/>
    <w:rsid w:val="00FA0F6C"/>
    <w:rsid w:val="00FA7EF0"/>
    <w:rsid w:val="00FB64C0"/>
    <w:rsid w:val="00FC1A2F"/>
    <w:rsid w:val="00FC34D4"/>
    <w:rsid w:val="00FC403B"/>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14181A"/>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45F0-02F4-4946-B5EF-09CBF2B6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26</cp:revision>
  <dcterms:created xsi:type="dcterms:W3CDTF">2019-11-21T03:44:00Z</dcterms:created>
  <dcterms:modified xsi:type="dcterms:W3CDTF">2020-07-21T04:31:00Z</dcterms:modified>
</cp:coreProperties>
</file>