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6F18BA33" w14:textId="7463FD72" w:rsidR="00571749"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316008" w:history="1">
            <w:r w:rsidR="00571749" w:rsidRPr="00200166">
              <w:rPr>
                <w:rStyle w:val="Hyperlink"/>
              </w:rPr>
              <w:t>Appendix 3: July 2020 New Texts (Impact of COVID Pandemic)</w:t>
            </w:r>
            <w:r w:rsidR="00571749">
              <w:rPr>
                <w:webHidden/>
              </w:rPr>
              <w:tab/>
            </w:r>
            <w:r w:rsidR="00571749">
              <w:rPr>
                <w:webHidden/>
              </w:rPr>
              <w:fldChar w:fldCharType="begin"/>
            </w:r>
            <w:r w:rsidR="00571749">
              <w:rPr>
                <w:webHidden/>
              </w:rPr>
              <w:instrText xml:space="preserve"> PAGEREF _Toc46316008 \h </w:instrText>
            </w:r>
            <w:r w:rsidR="00571749">
              <w:rPr>
                <w:webHidden/>
              </w:rPr>
            </w:r>
            <w:r w:rsidR="00571749">
              <w:rPr>
                <w:webHidden/>
              </w:rPr>
              <w:fldChar w:fldCharType="separate"/>
            </w:r>
            <w:r w:rsidR="00571749">
              <w:rPr>
                <w:webHidden/>
              </w:rPr>
              <w:t>2</w:t>
            </w:r>
            <w:r w:rsidR="00571749">
              <w:rPr>
                <w:webHidden/>
              </w:rPr>
              <w:fldChar w:fldCharType="end"/>
            </w:r>
          </w:hyperlink>
        </w:p>
        <w:p w14:paraId="22AC292B" w14:textId="551EFF45" w:rsidR="00571749" w:rsidRDefault="00571749">
          <w:pPr>
            <w:pStyle w:val="TOC2"/>
            <w:rPr>
              <w:rFonts w:asciiTheme="minorHAnsi" w:eastAsiaTheme="minorEastAsia" w:hAnsiTheme="minorHAnsi" w:cstheme="minorBidi"/>
              <w:color w:val="auto"/>
              <w:sz w:val="22"/>
              <w:szCs w:val="22"/>
              <w:lang w:val="en-AU" w:eastAsia="en-AU"/>
            </w:rPr>
          </w:pPr>
          <w:hyperlink w:anchor="_Toc46316009" w:history="1">
            <w:r w:rsidRPr="00200166">
              <w:rPr>
                <w:rStyle w:val="Hyperlink"/>
              </w:rPr>
              <w:t>Account Based Pension (ABP) &amp; Transition to Retirement Income Streams (TRIS) – New Minimum payments</w:t>
            </w:r>
            <w:r>
              <w:rPr>
                <w:webHidden/>
              </w:rPr>
              <w:tab/>
            </w:r>
            <w:r>
              <w:rPr>
                <w:webHidden/>
              </w:rPr>
              <w:fldChar w:fldCharType="begin"/>
            </w:r>
            <w:r>
              <w:rPr>
                <w:webHidden/>
              </w:rPr>
              <w:instrText xml:space="preserve"> PAGEREF _Toc46316009 \h </w:instrText>
            </w:r>
            <w:r>
              <w:rPr>
                <w:webHidden/>
              </w:rPr>
            </w:r>
            <w:r>
              <w:rPr>
                <w:webHidden/>
              </w:rPr>
              <w:fldChar w:fldCharType="separate"/>
            </w:r>
            <w:r>
              <w:rPr>
                <w:webHidden/>
              </w:rPr>
              <w:t>2</w:t>
            </w:r>
            <w:r>
              <w:rPr>
                <w:webHidden/>
              </w:rPr>
              <w:fldChar w:fldCharType="end"/>
            </w:r>
          </w:hyperlink>
        </w:p>
        <w:p w14:paraId="41B42D2A" w14:textId="10FE555A" w:rsidR="00571749" w:rsidRDefault="00571749">
          <w:pPr>
            <w:pStyle w:val="TOC2"/>
            <w:rPr>
              <w:rFonts w:asciiTheme="minorHAnsi" w:eastAsiaTheme="minorEastAsia" w:hAnsiTheme="minorHAnsi" w:cstheme="minorBidi"/>
              <w:color w:val="auto"/>
              <w:sz w:val="22"/>
              <w:szCs w:val="22"/>
              <w:lang w:val="en-AU" w:eastAsia="en-AU"/>
            </w:rPr>
          </w:pPr>
          <w:hyperlink w:anchor="_Toc46316010" w:history="1">
            <w:r w:rsidRPr="00200166">
              <w:rPr>
                <w:rStyle w:val="Hyperlink"/>
              </w:rPr>
              <w:t>Term Allocated Pension (TAP) – new minimum payments</w:t>
            </w:r>
            <w:r>
              <w:rPr>
                <w:webHidden/>
              </w:rPr>
              <w:tab/>
            </w:r>
            <w:r>
              <w:rPr>
                <w:webHidden/>
              </w:rPr>
              <w:fldChar w:fldCharType="begin"/>
            </w:r>
            <w:r>
              <w:rPr>
                <w:webHidden/>
              </w:rPr>
              <w:instrText xml:space="preserve"> PAGEREF _Toc46316010 \h </w:instrText>
            </w:r>
            <w:r>
              <w:rPr>
                <w:webHidden/>
              </w:rPr>
            </w:r>
            <w:r>
              <w:rPr>
                <w:webHidden/>
              </w:rPr>
              <w:fldChar w:fldCharType="separate"/>
            </w:r>
            <w:r>
              <w:rPr>
                <w:webHidden/>
              </w:rPr>
              <w:t>3</w:t>
            </w:r>
            <w:r>
              <w:rPr>
                <w:webHidden/>
              </w:rPr>
              <w:fldChar w:fldCharType="end"/>
            </w:r>
          </w:hyperlink>
        </w:p>
        <w:p w14:paraId="3835763B" w14:textId="7CBF8201" w:rsidR="00571749" w:rsidRDefault="00571749">
          <w:pPr>
            <w:pStyle w:val="TOC2"/>
            <w:rPr>
              <w:rFonts w:asciiTheme="minorHAnsi" w:eastAsiaTheme="minorEastAsia" w:hAnsiTheme="minorHAnsi" w:cstheme="minorBidi"/>
              <w:color w:val="auto"/>
              <w:sz w:val="22"/>
              <w:szCs w:val="22"/>
              <w:lang w:val="en-AU" w:eastAsia="en-AU"/>
            </w:rPr>
          </w:pPr>
          <w:hyperlink w:anchor="_Toc46316011" w:history="1">
            <w:r w:rsidRPr="00200166">
              <w:rPr>
                <w:rStyle w:val="Hyperlink"/>
              </w:rPr>
              <w:t>Deeming rates – reduction in rates</w:t>
            </w:r>
            <w:r>
              <w:rPr>
                <w:webHidden/>
              </w:rPr>
              <w:tab/>
            </w:r>
            <w:r>
              <w:rPr>
                <w:webHidden/>
              </w:rPr>
              <w:fldChar w:fldCharType="begin"/>
            </w:r>
            <w:r>
              <w:rPr>
                <w:webHidden/>
              </w:rPr>
              <w:instrText xml:space="preserve"> PAGEREF _Toc46316011 \h </w:instrText>
            </w:r>
            <w:r>
              <w:rPr>
                <w:webHidden/>
              </w:rPr>
            </w:r>
            <w:r>
              <w:rPr>
                <w:webHidden/>
              </w:rPr>
              <w:fldChar w:fldCharType="separate"/>
            </w:r>
            <w:r>
              <w:rPr>
                <w:webHidden/>
              </w:rPr>
              <w:t>3</w:t>
            </w:r>
            <w:r>
              <w:rPr>
                <w:webHidden/>
              </w:rPr>
              <w:fldChar w:fldCharType="end"/>
            </w:r>
          </w:hyperlink>
        </w:p>
        <w:p w14:paraId="76058455" w14:textId="0A35A511" w:rsidR="00571749" w:rsidRDefault="00571749">
          <w:pPr>
            <w:pStyle w:val="TOC2"/>
            <w:rPr>
              <w:rFonts w:asciiTheme="minorHAnsi" w:eastAsiaTheme="minorEastAsia" w:hAnsiTheme="minorHAnsi" w:cstheme="minorBidi"/>
              <w:color w:val="auto"/>
              <w:sz w:val="22"/>
              <w:szCs w:val="22"/>
              <w:lang w:val="en-AU" w:eastAsia="en-AU"/>
            </w:rPr>
          </w:pPr>
          <w:hyperlink w:anchor="_Toc46316012" w:history="1">
            <w:r w:rsidRPr="00200166">
              <w:rPr>
                <w:rStyle w:val="Hyperlink"/>
              </w:rPr>
              <w:t>Early access to Superannuation</w:t>
            </w:r>
            <w:r>
              <w:rPr>
                <w:webHidden/>
              </w:rPr>
              <w:tab/>
            </w:r>
            <w:r>
              <w:rPr>
                <w:webHidden/>
              </w:rPr>
              <w:fldChar w:fldCharType="begin"/>
            </w:r>
            <w:r>
              <w:rPr>
                <w:webHidden/>
              </w:rPr>
              <w:instrText xml:space="preserve"> PAGEREF _Toc46316012 \h </w:instrText>
            </w:r>
            <w:r>
              <w:rPr>
                <w:webHidden/>
              </w:rPr>
            </w:r>
            <w:r>
              <w:rPr>
                <w:webHidden/>
              </w:rPr>
              <w:fldChar w:fldCharType="separate"/>
            </w:r>
            <w:r>
              <w:rPr>
                <w:webHidden/>
              </w:rPr>
              <w:t>3</w:t>
            </w:r>
            <w:r>
              <w:rPr>
                <w:webHidden/>
              </w:rPr>
              <w:fldChar w:fldCharType="end"/>
            </w:r>
          </w:hyperlink>
        </w:p>
        <w:p w14:paraId="4CB294FC" w14:textId="6A737672" w:rsidR="00571749" w:rsidRDefault="00571749">
          <w:pPr>
            <w:pStyle w:val="TOC2"/>
            <w:rPr>
              <w:rFonts w:asciiTheme="minorHAnsi" w:eastAsiaTheme="minorEastAsia" w:hAnsiTheme="minorHAnsi" w:cstheme="minorBidi"/>
              <w:color w:val="auto"/>
              <w:sz w:val="22"/>
              <w:szCs w:val="22"/>
              <w:lang w:val="en-AU" w:eastAsia="en-AU"/>
            </w:rPr>
          </w:pPr>
          <w:hyperlink w:anchor="_Toc46316013" w:history="1">
            <w:r w:rsidRPr="00200166">
              <w:rPr>
                <w:rStyle w:val="Hyperlink"/>
              </w:rPr>
              <w:t>JobKeeper Payment</w:t>
            </w:r>
            <w:r>
              <w:rPr>
                <w:webHidden/>
              </w:rPr>
              <w:tab/>
            </w:r>
            <w:r>
              <w:rPr>
                <w:webHidden/>
              </w:rPr>
              <w:fldChar w:fldCharType="begin"/>
            </w:r>
            <w:r>
              <w:rPr>
                <w:webHidden/>
              </w:rPr>
              <w:instrText xml:space="preserve"> PAGEREF _Toc46316013 \h </w:instrText>
            </w:r>
            <w:r>
              <w:rPr>
                <w:webHidden/>
              </w:rPr>
            </w:r>
            <w:r>
              <w:rPr>
                <w:webHidden/>
              </w:rPr>
              <w:fldChar w:fldCharType="separate"/>
            </w:r>
            <w:r>
              <w:rPr>
                <w:webHidden/>
              </w:rPr>
              <w:t>4</w:t>
            </w:r>
            <w:r>
              <w:rPr>
                <w:webHidden/>
              </w:rPr>
              <w:fldChar w:fldCharType="end"/>
            </w:r>
          </w:hyperlink>
        </w:p>
        <w:p w14:paraId="7A0A54CB" w14:textId="4DAFBB0F" w:rsidR="00571749" w:rsidRDefault="00571749">
          <w:pPr>
            <w:pStyle w:val="TOC2"/>
            <w:rPr>
              <w:rFonts w:asciiTheme="minorHAnsi" w:eastAsiaTheme="minorEastAsia" w:hAnsiTheme="minorHAnsi" w:cstheme="minorBidi"/>
              <w:color w:val="auto"/>
              <w:sz w:val="22"/>
              <w:szCs w:val="22"/>
              <w:lang w:val="en-AU" w:eastAsia="en-AU"/>
            </w:rPr>
          </w:pPr>
          <w:hyperlink w:anchor="_Toc46316014" w:history="1">
            <w:r w:rsidRPr="00200166">
              <w:rPr>
                <w:rStyle w:val="Hyperlink"/>
                <w:rFonts w:eastAsia="Times New Roman"/>
                <w:lang w:eastAsia="en-AU"/>
              </w:rPr>
              <w:t>Planned Changes to JobKeeper Payment</w:t>
            </w:r>
            <w:r>
              <w:rPr>
                <w:webHidden/>
              </w:rPr>
              <w:tab/>
            </w:r>
            <w:r>
              <w:rPr>
                <w:webHidden/>
              </w:rPr>
              <w:fldChar w:fldCharType="begin"/>
            </w:r>
            <w:r>
              <w:rPr>
                <w:webHidden/>
              </w:rPr>
              <w:instrText xml:space="preserve"> PAGEREF _Toc46316014 \h </w:instrText>
            </w:r>
            <w:r>
              <w:rPr>
                <w:webHidden/>
              </w:rPr>
            </w:r>
            <w:r>
              <w:rPr>
                <w:webHidden/>
              </w:rPr>
              <w:fldChar w:fldCharType="separate"/>
            </w:r>
            <w:r>
              <w:rPr>
                <w:webHidden/>
              </w:rPr>
              <w:t>4</w:t>
            </w:r>
            <w:r>
              <w:rPr>
                <w:webHidden/>
              </w:rPr>
              <w:fldChar w:fldCharType="end"/>
            </w:r>
          </w:hyperlink>
        </w:p>
        <w:p w14:paraId="7963FA5C" w14:textId="42B537E2" w:rsidR="00571749" w:rsidRDefault="00571749">
          <w:pPr>
            <w:pStyle w:val="TOC2"/>
            <w:rPr>
              <w:rFonts w:asciiTheme="minorHAnsi" w:eastAsiaTheme="minorEastAsia" w:hAnsiTheme="minorHAnsi" w:cstheme="minorBidi"/>
              <w:color w:val="auto"/>
              <w:sz w:val="22"/>
              <w:szCs w:val="22"/>
              <w:lang w:val="en-AU" w:eastAsia="en-AU"/>
            </w:rPr>
          </w:pPr>
          <w:hyperlink w:anchor="_Toc46316015" w:history="1">
            <w:r w:rsidRPr="00200166">
              <w:rPr>
                <w:rStyle w:val="Hyperlink"/>
              </w:rPr>
              <w:t>Job Seeker Payment (replaces NewStart Allowance)</w:t>
            </w:r>
            <w:r>
              <w:rPr>
                <w:webHidden/>
              </w:rPr>
              <w:tab/>
            </w:r>
            <w:r>
              <w:rPr>
                <w:webHidden/>
              </w:rPr>
              <w:fldChar w:fldCharType="begin"/>
            </w:r>
            <w:r>
              <w:rPr>
                <w:webHidden/>
              </w:rPr>
              <w:instrText xml:space="preserve"> PAGEREF _Toc46316015 \h </w:instrText>
            </w:r>
            <w:r>
              <w:rPr>
                <w:webHidden/>
              </w:rPr>
            </w:r>
            <w:r>
              <w:rPr>
                <w:webHidden/>
              </w:rPr>
              <w:fldChar w:fldCharType="separate"/>
            </w:r>
            <w:r>
              <w:rPr>
                <w:webHidden/>
              </w:rPr>
              <w:t>5</w:t>
            </w:r>
            <w:r>
              <w:rPr>
                <w:webHidden/>
              </w:rPr>
              <w:fldChar w:fldCharType="end"/>
            </w:r>
          </w:hyperlink>
        </w:p>
        <w:p w14:paraId="0B889D20" w14:textId="4CFD7026" w:rsidR="00571749" w:rsidRDefault="00571749">
          <w:pPr>
            <w:pStyle w:val="TOC2"/>
            <w:rPr>
              <w:rFonts w:asciiTheme="minorHAnsi" w:eastAsiaTheme="minorEastAsia" w:hAnsiTheme="minorHAnsi" w:cstheme="minorBidi"/>
              <w:color w:val="auto"/>
              <w:sz w:val="22"/>
              <w:szCs w:val="22"/>
              <w:lang w:val="en-AU" w:eastAsia="en-AU"/>
            </w:rPr>
          </w:pPr>
          <w:hyperlink w:anchor="_Toc46316016" w:history="1">
            <w:r w:rsidRPr="00200166">
              <w:rPr>
                <w:rStyle w:val="Hyperlink"/>
                <w:rFonts w:eastAsia="Times New Roman"/>
                <w:lang w:eastAsia="en-AU"/>
              </w:rPr>
              <w:t>Planned Changes to JobSeeker Payment</w:t>
            </w:r>
            <w:r>
              <w:rPr>
                <w:webHidden/>
              </w:rPr>
              <w:tab/>
            </w:r>
            <w:r>
              <w:rPr>
                <w:webHidden/>
              </w:rPr>
              <w:fldChar w:fldCharType="begin"/>
            </w:r>
            <w:r>
              <w:rPr>
                <w:webHidden/>
              </w:rPr>
              <w:instrText xml:space="preserve"> PAGEREF _Toc46316016 \h </w:instrText>
            </w:r>
            <w:r>
              <w:rPr>
                <w:webHidden/>
              </w:rPr>
            </w:r>
            <w:r>
              <w:rPr>
                <w:webHidden/>
              </w:rPr>
              <w:fldChar w:fldCharType="separate"/>
            </w:r>
            <w:r>
              <w:rPr>
                <w:webHidden/>
              </w:rPr>
              <w:t>7</w:t>
            </w:r>
            <w:r>
              <w:rPr>
                <w:webHidden/>
              </w:rPr>
              <w:fldChar w:fldCharType="end"/>
            </w:r>
          </w:hyperlink>
        </w:p>
        <w:p w14:paraId="1300984A" w14:textId="22C1709C" w:rsidR="00571749" w:rsidRDefault="00571749">
          <w:pPr>
            <w:pStyle w:val="TOC2"/>
            <w:rPr>
              <w:rFonts w:asciiTheme="minorHAnsi" w:eastAsiaTheme="minorEastAsia" w:hAnsiTheme="minorHAnsi" w:cstheme="minorBidi"/>
              <w:color w:val="auto"/>
              <w:sz w:val="22"/>
              <w:szCs w:val="22"/>
              <w:lang w:val="en-AU" w:eastAsia="en-AU"/>
            </w:rPr>
          </w:pPr>
          <w:hyperlink w:anchor="_Toc46316017" w:history="1">
            <w:r w:rsidRPr="00200166">
              <w:rPr>
                <w:rStyle w:val="Hyperlink"/>
              </w:rPr>
              <w:t>Economic Support Payments</w:t>
            </w:r>
            <w:r>
              <w:rPr>
                <w:webHidden/>
              </w:rPr>
              <w:tab/>
            </w:r>
            <w:r>
              <w:rPr>
                <w:webHidden/>
              </w:rPr>
              <w:fldChar w:fldCharType="begin"/>
            </w:r>
            <w:r>
              <w:rPr>
                <w:webHidden/>
              </w:rPr>
              <w:instrText xml:space="preserve"> PAGEREF _Toc46316017 \h </w:instrText>
            </w:r>
            <w:r>
              <w:rPr>
                <w:webHidden/>
              </w:rPr>
            </w:r>
            <w:r>
              <w:rPr>
                <w:webHidden/>
              </w:rPr>
              <w:fldChar w:fldCharType="separate"/>
            </w:r>
            <w:r>
              <w:rPr>
                <w:webHidden/>
              </w:rPr>
              <w:t>7</w:t>
            </w:r>
            <w:r>
              <w:rPr>
                <w:webHidden/>
              </w:rPr>
              <w:fldChar w:fldCharType="end"/>
            </w:r>
          </w:hyperlink>
        </w:p>
        <w:p w14:paraId="18DF032F" w14:textId="18FDC8AA" w:rsidR="00571749" w:rsidRDefault="00571749">
          <w:pPr>
            <w:pStyle w:val="TOC2"/>
            <w:rPr>
              <w:rFonts w:asciiTheme="minorHAnsi" w:eastAsiaTheme="minorEastAsia" w:hAnsiTheme="minorHAnsi" w:cstheme="minorBidi"/>
              <w:color w:val="auto"/>
              <w:sz w:val="22"/>
              <w:szCs w:val="22"/>
              <w:lang w:val="en-AU" w:eastAsia="en-AU"/>
            </w:rPr>
          </w:pPr>
          <w:hyperlink w:anchor="_Toc46316018" w:history="1">
            <w:r w:rsidRPr="00200166">
              <w:rPr>
                <w:rStyle w:val="Hyperlink"/>
              </w:rPr>
              <w:t>Coronavirus Supplement</w:t>
            </w:r>
            <w:r>
              <w:rPr>
                <w:webHidden/>
              </w:rPr>
              <w:tab/>
            </w:r>
            <w:r>
              <w:rPr>
                <w:webHidden/>
              </w:rPr>
              <w:fldChar w:fldCharType="begin"/>
            </w:r>
            <w:r>
              <w:rPr>
                <w:webHidden/>
              </w:rPr>
              <w:instrText xml:space="preserve"> PAGEREF _Toc46316018 \h </w:instrText>
            </w:r>
            <w:r>
              <w:rPr>
                <w:webHidden/>
              </w:rPr>
            </w:r>
            <w:r>
              <w:rPr>
                <w:webHidden/>
              </w:rPr>
              <w:fldChar w:fldCharType="separate"/>
            </w:r>
            <w:r>
              <w:rPr>
                <w:webHidden/>
              </w:rPr>
              <w:t>7</w:t>
            </w:r>
            <w:r>
              <w:rPr>
                <w:webHidden/>
              </w:rPr>
              <w:fldChar w:fldCharType="end"/>
            </w:r>
          </w:hyperlink>
        </w:p>
        <w:p w14:paraId="3E89F3AC" w14:textId="0EF57400" w:rsidR="00571749" w:rsidRDefault="00571749">
          <w:pPr>
            <w:pStyle w:val="TOC2"/>
            <w:rPr>
              <w:rFonts w:asciiTheme="minorHAnsi" w:eastAsiaTheme="minorEastAsia" w:hAnsiTheme="minorHAnsi" w:cstheme="minorBidi"/>
              <w:color w:val="auto"/>
              <w:sz w:val="22"/>
              <w:szCs w:val="22"/>
              <w:lang w:val="en-AU" w:eastAsia="en-AU"/>
            </w:rPr>
          </w:pPr>
          <w:hyperlink w:anchor="_Toc46316019" w:history="1">
            <w:r w:rsidRPr="00200166">
              <w:rPr>
                <w:rStyle w:val="Hyperlink"/>
              </w:rPr>
              <w:t>Electronic Identification and Witnessing of documents</w:t>
            </w:r>
            <w:r>
              <w:rPr>
                <w:webHidden/>
              </w:rPr>
              <w:tab/>
            </w:r>
            <w:r>
              <w:rPr>
                <w:webHidden/>
              </w:rPr>
              <w:fldChar w:fldCharType="begin"/>
            </w:r>
            <w:r>
              <w:rPr>
                <w:webHidden/>
              </w:rPr>
              <w:instrText xml:space="preserve"> PAGEREF _Toc46316019 \h </w:instrText>
            </w:r>
            <w:r>
              <w:rPr>
                <w:webHidden/>
              </w:rPr>
            </w:r>
            <w:r>
              <w:rPr>
                <w:webHidden/>
              </w:rPr>
              <w:fldChar w:fldCharType="separate"/>
            </w:r>
            <w:r>
              <w:rPr>
                <w:webHidden/>
              </w:rPr>
              <w:t>8</w:t>
            </w:r>
            <w:r>
              <w:rPr>
                <w:webHidden/>
              </w:rPr>
              <w:fldChar w:fldCharType="end"/>
            </w:r>
          </w:hyperlink>
        </w:p>
        <w:p w14:paraId="4D55DFE8" w14:textId="7DB2682C" w:rsidR="00571749" w:rsidRDefault="00571749">
          <w:pPr>
            <w:pStyle w:val="TOC2"/>
            <w:rPr>
              <w:rFonts w:asciiTheme="minorHAnsi" w:eastAsiaTheme="minorEastAsia" w:hAnsiTheme="minorHAnsi" w:cstheme="minorBidi"/>
              <w:color w:val="auto"/>
              <w:sz w:val="22"/>
              <w:szCs w:val="22"/>
              <w:lang w:val="en-AU" w:eastAsia="en-AU"/>
            </w:rPr>
          </w:pPr>
          <w:hyperlink w:anchor="_Toc46316020" w:history="1">
            <w:r w:rsidRPr="00200166">
              <w:rPr>
                <w:rStyle w:val="Hyperlink"/>
              </w:rPr>
              <w:t>Limited Recourse Borrowing Arrangement (LRBA) relief</w:t>
            </w:r>
            <w:r>
              <w:rPr>
                <w:webHidden/>
              </w:rPr>
              <w:tab/>
            </w:r>
            <w:r>
              <w:rPr>
                <w:webHidden/>
              </w:rPr>
              <w:fldChar w:fldCharType="begin"/>
            </w:r>
            <w:r>
              <w:rPr>
                <w:webHidden/>
              </w:rPr>
              <w:instrText xml:space="preserve"> PAGEREF _Toc46316020 \h </w:instrText>
            </w:r>
            <w:r>
              <w:rPr>
                <w:webHidden/>
              </w:rPr>
            </w:r>
            <w:r>
              <w:rPr>
                <w:webHidden/>
              </w:rPr>
              <w:fldChar w:fldCharType="separate"/>
            </w:r>
            <w:r>
              <w:rPr>
                <w:webHidden/>
              </w:rPr>
              <w:t>8</w:t>
            </w:r>
            <w:r>
              <w:rPr>
                <w:webHidden/>
              </w:rPr>
              <w:fldChar w:fldCharType="end"/>
            </w:r>
          </w:hyperlink>
        </w:p>
        <w:p w14:paraId="727B99A0" w14:textId="4F479325" w:rsidR="00571749" w:rsidRDefault="00571749">
          <w:pPr>
            <w:pStyle w:val="TOC2"/>
            <w:rPr>
              <w:rFonts w:asciiTheme="minorHAnsi" w:eastAsiaTheme="minorEastAsia" w:hAnsiTheme="minorHAnsi" w:cstheme="minorBidi"/>
              <w:color w:val="auto"/>
              <w:sz w:val="22"/>
              <w:szCs w:val="22"/>
              <w:lang w:val="en-AU" w:eastAsia="en-AU"/>
            </w:rPr>
          </w:pPr>
          <w:hyperlink w:anchor="_Toc46316021" w:history="1">
            <w:r w:rsidRPr="00200166">
              <w:rPr>
                <w:rStyle w:val="Hyperlink"/>
              </w:rPr>
              <w:t>Maintaining a Cash Reserve</w:t>
            </w:r>
            <w:r>
              <w:rPr>
                <w:webHidden/>
              </w:rPr>
              <w:tab/>
            </w:r>
            <w:r>
              <w:rPr>
                <w:webHidden/>
              </w:rPr>
              <w:fldChar w:fldCharType="begin"/>
            </w:r>
            <w:r>
              <w:rPr>
                <w:webHidden/>
              </w:rPr>
              <w:instrText xml:space="preserve"> PAGEREF _Toc46316021 \h </w:instrText>
            </w:r>
            <w:r>
              <w:rPr>
                <w:webHidden/>
              </w:rPr>
            </w:r>
            <w:r>
              <w:rPr>
                <w:webHidden/>
              </w:rPr>
              <w:fldChar w:fldCharType="separate"/>
            </w:r>
            <w:r>
              <w:rPr>
                <w:webHidden/>
              </w:rPr>
              <w:t>10</w:t>
            </w:r>
            <w:r>
              <w:rPr>
                <w:webHidden/>
              </w:rPr>
              <w:fldChar w:fldCharType="end"/>
            </w:r>
          </w:hyperlink>
        </w:p>
        <w:p w14:paraId="0AC180DF" w14:textId="6D83FA94" w:rsidR="00571749" w:rsidRDefault="00571749">
          <w:pPr>
            <w:pStyle w:val="TOC2"/>
            <w:rPr>
              <w:rFonts w:asciiTheme="minorHAnsi" w:eastAsiaTheme="minorEastAsia" w:hAnsiTheme="minorHAnsi" w:cstheme="minorBidi"/>
              <w:color w:val="auto"/>
              <w:sz w:val="22"/>
              <w:szCs w:val="22"/>
              <w:lang w:val="en-AU" w:eastAsia="en-AU"/>
            </w:rPr>
          </w:pPr>
          <w:hyperlink w:anchor="_Toc46316022" w:history="1">
            <w:r w:rsidRPr="00200166">
              <w:rPr>
                <w:rStyle w:val="Hyperlink"/>
              </w:rPr>
              <w:t>Implement a Reversionary Beneficiary</w:t>
            </w:r>
            <w:r>
              <w:rPr>
                <w:webHidden/>
              </w:rPr>
              <w:tab/>
            </w:r>
            <w:r>
              <w:rPr>
                <w:webHidden/>
              </w:rPr>
              <w:fldChar w:fldCharType="begin"/>
            </w:r>
            <w:r>
              <w:rPr>
                <w:webHidden/>
              </w:rPr>
              <w:instrText xml:space="preserve"> PAGEREF _Toc46316022 \h </w:instrText>
            </w:r>
            <w:r>
              <w:rPr>
                <w:webHidden/>
              </w:rPr>
            </w:r>
            <w:r>
              <w:rPr>
                <w:webHidden/>
              </w:rPr>
              <w:fldChar w:fldCharType="separate"/>
            </w:r>
            <w:r>
              <w:rPr>
                <w:webHidden/>
              </w:rPr>
              <w:t>11</w:t>
            </w:r>
            <w:r>
              <w:rPr>
                <w:webHidden/>
              </w:rPr>
              <w:fldChar w:fldCharType="end"/>
            </w:r>
          </w:hyperlink>
        </w:p>
        <w:p w14:paraId="3C79944C" w14:textId="7B0F0A93" w:rsidR="00571749" w:rsidRDefault="00571749">
          <w:pPr>
            <w:pStyle w:val="TOC2"/>
            <w:rPr>
              <w:rFonts w:asciiTheme="minorHAnsi" w:eastAsiaTheme="minorEastAsia" w:hAnsiTheme="minorHAnsi" w:cstheme="minorBidi"/>
              <w:color w:val="auto"/>
              <w:sz w:val="22"/>
              <w:szCs w:val="22"/>
              <w:lang w:val="en-AU" w:eastAsia="en-AU"/>
            </w:rPr>
          </w:pPr>
          <w:hyperlink w:anchor="_Toc46316023" w:history="1">
            <w:r w:rsidRPr="00200166">
              <w:rPr>
                <w:rStyle w:val="Hyperlink"/>
              </w:rPr>
              <w:t>Private Health Insurance</w:t>
            </w:r>
            <w:r>
              <w:rPr>
                <w:webHidden/>
              </w:rPr>
              <w:tab/>
            </w:r>
            <w:r>
              <w:rPr>
                <w:webHidden/>
              </w:rPr>
              <w:fldChar w:fldCharType="begin"/>
            </w:r>
            <w:r>
              <w:rPr>
                <w:webHidden/>
              </w:rPr>
              <w:instrText xml:space="preserve"> PAGEREF _Toc46316023 \h </w:instrText>
            </w:r>
            <w:r>
              <w:rPr>
                <w:webHidden/>
              </w:rPr>
            </w:r>
            <w:r>
              <w:rPr>
                <w:webHidden/>
              </w:rPr>
              <w:fldChar w:fldCharType="separate"/>
            </w:r>
            <w:r>
              <w:rPr>
                <w:webHidden/>
              </w:rPr>
              <w:t>12</w:t>
            </w:r>
            <w:r>
              <w:rPr>
                <w:webHidden/>
              </w:rPr>
              <w:fldChar w:fldCharType="end"/>
            </w:r>
          </w:hyperlink>
        </w:p>
        <w:p w14:paraId="71AFE2FF" w14:textId="492E2A82"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46316008"/>
      <w:bookmarkEnd w:id="0"/>
      <w:r w:rsidRPr="0080438E">
        <w:lastRenderedPageBreak/>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3C2D73B4" w:rsidR="008D648E" w:rsidRDefault="008A4D7B">
      <w:pPr>
        <w:pStyle w:val="Heading2"/>
      </w:pPr>
      <w:bookmarkStart w:id="12" w:name="_Toc46316009"/>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36BC9AFB"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10BEA1D9"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19A72BB8"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60373F39" w:rsidR="0068188B" w:rsidRDefault="006F117A" w:rsidP="006F117A">
      <w:r>
        <w:t>Lump</w:t>
      </w:r>
      <w:r w:rsidR="008A4D7B">
        <w:t xml:space="preserve"> sum withdrawals from an Account Based Pension </w:t>
      </w:r>
      <w:proofErr w:type="gramStart"/>
      <w:r>
        <w:t xml:space="preserve">or </w:t>
      </w:r>
      <w:r w:rsidR="00904106">
        <w:t xml:space="preserve"> Transition</w:t>
      </w:r>
      <w:proofErr w:type="gramEnd"/>
      <w:r w:rsidR="00904106">
        <w:t xml:space="preserve">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596F3962" w:rsidR="008A4D7B" w:rsidRPr="00E21988" w:rsidRDefault="0068188B" w:rsidP="00061060">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A192179"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6126211B"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01820A3A"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lastRenderedPageBreak/>
              <w:t xml:space="preserve">[1] </w:t>
            </w:r>
            <w:r w:rsidRPr="006E395C">
              <w:t>Minimum pension payments are</w:t>
            </w:r>
            <w:r>
              <w:t xml:space="preserve"> calculated annually at 1 July.</w:t>
            </w:r>
          </w:p>
          <w:p w14:paraId="6665E23F" w14:textId="74CF04AC"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44F31DC4" w:rsidR="008A4D7B" w:rsidRPr="008A4D7B" w:rsidRDefault="008A4D7B">
      <w:pPr>
        <w:pStyle w:val="Heading2"/>
      </w:pPr>
      <w:bookmarkStart w:id="13" w:name="_Toc46316010"/>
      <w:r>
        <w:t>Term Allocated Pension</w:t>
      </w:r>
      <w:r w:rsidRPr="008A4D7B">
        <w:t xml:space="preserve"> (</w:t>
      </w:r>
      <w:r>
        <w:t>TAP</w:t>
      </w:r>
      <w:r w:rsidRPr="008A4D7B">
        <w:t>)</w:t>
      </w:r>
      <w:r w:rsidR="0068188B">
        <w:t xml:space="preserve"> – new minimum payments</w:t>
      </w:r>
      <w:bookmarkEnd w:id="13"/>
    </w:p>
    <w:p w14:paraId="3187FCBA" w14:textId="1F680FD3"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3E741C13" w:rsidR="008A4D7B" w:rsidRPr="00061060" w:rsidRDefault="008A4D7B" w:rsidP="00061060">
      <w:pPr>
        <w:ind w:firstLine="1134"/>
        <w:rPr>
          <w:b/>
          <w:bCs/>
        </w:rPr>
      </w:pPr>
      <w:r w:rsidRPr="00061060">
        <w:rPr>
          <w:b/>
          <w:bCs/>
        </w:rPr>
        <w:t>The</w:t>
      </w:r>
      <w:r w:rsidR="009715EE" w:rsidRPr="00061060">
        <w:rPr>
          <w:b/>
          <w:bCs/>
        </w:rPr>
        <w:t>se</w:t>
      </w:r>
      <w:r w:rsidRPr="00061060">
        <w:rPr>
          <w:b/>
          <w:bCs/>
        </w:rPr>
        <w:t xml:space="preserve"> reduction</w:t>
      </w:r>
      <w:r w:rsidR="009715EE" w:rsidRPr="00061060">
        <w:rPr>
          <w:b/>
          <w:bCs/>
        </w:rPr>
        <w:t>s</w:t>
      </w:r>
      <w:r w:rsidRPr="00061060">
        <w:rPr>
          <w:b/>
          <w:bCs/>
        </w:rPr>
        <w:t xml:space="preserve"> will apply for the 2020/21 </w:t>
      </w:r>
      <w:r w:rsidR="00864681" w:rsidRPr="00061060">
        <w:rPr>
          <w:b/>
          <w:bCs/>
        </w:rPr>
        <w:t xml:space="preserve">financial </w:t>
      </w:r>
      <w:r w:rsidRPr="00061060">
        <w:rPr>
          <w:b/>
          <w:bCs/>
        </w:rPr>
        <w:t>year:</w:t>
      </w:r>
    </w:p>
    <w:p w14:paraId="6723EF7E" w14:textId="5862B730" w:rsidR="00CD05F8" w:rsidRDefault="00CD05F8" w:rsidP="00061060">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061060">
        <w:tc>
          <w:tcPr>
            <w:tcW w:w="1129" w:type="dxa"/>
          </w:tcPr>
          <w:p w14:paraId="2EF9494C" w14:textId="77777777" w:rsidR="00CD05F8" w:rsidRPr="00BF1A80" w:rsidRDefault="00CD05F8" w:rsidP="00061060">
            <w:pPr>
              <w:ind w:left="22"/>
              <w:jc w:val="center"/>
              <w:rPr>
                <w:b/>
                <w:bCs/>
                <w:color w:val="auto"/>
              </w:rPr>
            </w:pPr>
          </w:p>
        </w:tc>
        <w:tc>
          <w:tcPr>
            <w:tcW w:w="1843" w:type="dxa"/>
          </w:tcPr>
          <w:p w14:paraId="2C7DC36D" w14:textId="27D0E7C7" w:rsidR="00CD05F8" w:rsidRPr="00BF1A80" w:rsidRDefault="00CD05F8" w:rsidP="00061060">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061060">
            <w:pPr>
              <w:ind w:left="22"/>
              <w:jc w:val="center"/>
              <w:rPr>
                <w:b/>
                <w:bCs/>
                <w:color w:val="auto"/>
              </w:rPr>
            </w:pPr>
            <w:r w:rsidRPr="00BF1A80">
              <w:rPr>
                <w:b/>
                <w:bCs/>
                <w:color w:val="auto"/>
              </w:rPr>
              <w:t>Reduced minimum rules</w:t>
            </w:r>
          </w:p>
        </w:tc>
      </w:tr>
      <w:tr w:rsidR="00CD05F8" w14:paraId="227DD7E4" w14:textId="77777777" w:rsidTr="00061060">
        <w:tc>
          <w:tcPr>
            <w:tcW w:w="1129" w:type="dxa"/>
          </w:tcPr>
          <w:p w14:paraId="4834F2A2" w14:textId="431CF0D5" w:rsidR="00CD05F8" w:rsidRDefault="00CD05F8" w:rsidP="00061060">
            <w:pPr>
              <w:ind w:left="22"/>
              <w:jc w:val="center"/>
            </w:pPr>
            <w:r>
              <w:t>Minimum Payment</w:t>
            </w:r>
          </w:p>
        </w:tc>
        <w:tc>
          <w:tcPr>
            <w:tcW w:w="1843" w:type="dxa"/>
          </w:tcPr>
          <w:p w14:paraId="324D0320" w14:textId="77EFEFBD" w:rsidR="00CD05F8" w:rsidRDefault="00CD05F8" w:rsidP="00061060">
            <w:pPr>
              <w:ind w:left="22"/>
              <w:jc w:val="center"/>
            </w:pPr>
            <w:r>
              <w:t>90% of standard payment</w:t>
            </w:r>
          </w:p>
        </w:tc>
        <w:tc>
          <w:tcPr>
            <w:tcW w:w="1843" w:type="dxa"/>
          </w:tcPr>
          <w:p w14:paraId="4F7DA709" w14:textId="08ECC276" w:rsidR="00CD05F8" w:rsidRDefault="00CD05F8" w:rsidP="00061060">
            <w:pPr>
              <w:ind w:left="22"/>
              <w:jc w:val="center"/>
            </w:pPr>
            <w:r>
              <w:t>45% of standard payment</w:t>
            </w:r>
          </w:p>
        </w:tc>
      </w:tr>
      <w:tr w:rsidR="00CD05F8" w14:paraId="38CE13EE" w14:textId="77777777" w:rsidTr="00061060">
        <w:tc>
          <w:tcPr>
            <w:tcW w:w="1129" w:type="dxa"/>
          </w:tcPr>
          <w:p w14:paraId="50D01494" w14:textId="321A873A" w:rsidR="00CD05F8" w:rsidRDefault="00CD05F8" w:rsidP="00061060">
            <w:pPr>
              <w:ind w:left="22"/>
              <w:jc w:val="center"/>
            </w:pPr>
            <w:commentRangeStart w:id="14"/>
            <w:r>
              <w:t>Maximum Payment</w:t>
            </w:r>
          </w:p>
        </w:tc>
        <w:tc>
          <w:tcPr>
            <w:tcW w:w="1843" w:type="dxa"/>
          </w:tcPr>
          <w:p w14:paraId="59B247EF" w14:textId="31F0D887" w:rsidR="00CD05F8" w:rsidRDefault="00CD05F8" w:rsidP="00061060">
            <w:pPr>
              <w:ind w:left="22"/>
              <w:jc w:val="center"/>
            </w:pPr>
            <w:r>
              <w:t>110% of standard payment</w:t>
            </w:r>
          </w:p>
        </w:tc>
        <w:tc>
          <w:tcPr>
            <w:tcW w:w="1843" w:type="dxa"/>
          </w:tcPr>
          <w:p w14:paraId="277E7152" w14:textId="3AFBD14E" w:rsidR="00CD05F8" w:rsidRDefault="00CD05F8" w:rsidP="00061060">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061060"/>
    <w:p w14:paraId="3CA831B0" w14:textId="53D396BB" w:rsidR="00C8543D" w:rsidRDefault="00C8543D">
      <w:pPr>
        <w:pStyle w:val="Heading2"/>
      </w:pPr>
      <w:bookmarkStart w:id="15" w:name="_Toc46316011"/>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7947AA43" w:rsidR="00C8543D" w:rsidRPr="00061060" w:rsidRDefault="00C8543D" w:rsidP="00061060">
      <w:pPr>
        <w:ind w:firstLine="1276"/>
        <w:rPr>
          <w:b/>
          <w:bCs/>
        </w:rPr>
      </w:pPr>
      <w:r w:rsidRPr="00061060">
        <w:rPr>
          <w:b/>
          <w:bCs/>
        </w:rPr>
        <w:t>As of 1 May 2020, the</w:t>
      </w:r>
      <w:r w:rsidR="001432FD" w:rsidRPr="00061060">
        <w:rPr>
          <w:b/>
          <w:bCs/>
        </w:rPr>
        <w:t>se</w:t>
      </w:r>
      <w:r w:rsidRPr="00061060">
        <w:rPr>
          <w:b/>
          <w:bCs/>
        </w:rPr>
        <w:t xml:space="preserve"> deeming rates </w:t>
      </w:r>
      <w:r w:rsidR="00CD05F8" w:rsidRPr="00061060">
        <w:rPr>
          <w:b/>
          <w:bCs/>
        </w:rPr>
        <w:t xml:space="preserve">now </w:t>
      </w:r>
      <w:r w:rsidRPr="00061060">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4D5BC43A" w:rsidR="009F6E1E" w:rsidRPr="00061060" w:rsidRDefault="009F6E1E" w:rsidP="00C8543D">
            <w:pPr>
              <w:rPr>
                <w:b/>
                <w:bCs/>
              </w:rPr>
            </w:pPr>
            <w:r>
              <w:rPr>
                <w:b/>
                <w:bCs/>
              </w:rPr>
              <w:t xml:space="preserve">Deeming </w:t>
            </w:r>
            <w:r w:rsidRPr="00061060">
              <w:rPr>
                <w:b/>
                <w:bCs/>
              </w:rPr>
              <w:t xml:space="preserve">Rate </w:t>
            </w:r>
          </w:p>
        </w:tc>
        <w:tc>
          <w:tcPr>
            <w:tcW w:w="1559" w:type="dxa"/>
          </w:tcPr>
          <w:p w14:paraId="4E470A76" w14:textId="7DFFBBE4" w:rsidR="009F6E1E" w:rsidRPr="00061060" w:rsidRDefault="009F6E1E" w:rsidP="00C8543D">
            <w:pPr>
              <w:rPr>
                <w:b/>
                <w:bCs/>
              </w:rPr>
            </w:pPr>
            <w:r w:rsidRPr="00061060">
              <w:rPr>
                <w:b/>
                <w:bCs/>
              </w:rPr>
              <w:t>Single</w:t>
            </w:r>
          </w:p>
        </w:tc>
        <w:tc>
          <w:tcPr>
            <w:tcW w:w="1560" w:type="dxa"/>
          </w:tcPr>
          <w:p w14:paraId="166928E9" w14:textId="5F71E1B6" w:rsidR="009F6E1E" w:rsidRPr="00061060" w:rsidRDefault="009F6E1E" w:rsidP="00C8543D">
            <w:pPr>
              <w:rPr>
                <w:b/>
                <w:bCs/>
              </w:rPr>
            </w:pPr>
            <w:r w:rsidRPr="00061060">
              <w:rPr>
                <w:b/>
                <w:bCs/>
              </w:rPr>
              <w:t>Pension couple (combined)*</w:t>
            </w:r>
          </w:p>
        </w:tc>
        <w:tc>
          <w:tcPr>
            <w:tcW w:w="1559" w:type="dxa"/>
          </w:tcPr>
          <w:p w14:paraId="5B533687" w14:textId="3A42CDD1" w:rsidR="009F6E1E" w:rsidRPr="00061060" w:rsidRDefault="009F6E1E" w:rsidP="00C8543D">
            <w:pPr>
              <w:rPr>
                <w:b/>
                <w:bCs/>
              </w:rPr>
            </w:pPr>
            <w:r w:rsidRPr="00061060">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5483B086" w:rsidR="009F6E1E" w:rsidRDefault="009F6E1E" w:rsidP="00C8543D">
            <w:r>
              <w:t>Above $51,800</w:t>
            </w:r>
          </w:p>
        </w:tc>
        <w:tc>
          <w:tcPr>
            <w:tcW w:w="1560" w:type="dxa"/>
          </w:tcPr>
          <w:p w14:paraId="7C575396" w14:textId="5B17DB25" w:rsidR="009F6E1E" w:rsidRDefault="009F6E1E" w:rsidP="00C8543D">
            <w:r>
              <w:t>Above $86,200</w:t>
            </w:r>
          </w:p>
        </w:tc>
        <w:tc>
          <w:tcPr>
            <w:tcW w:w="1559" w:type="dxa"/>
          </w:tcPr>
          <w:p w14:paraId="3D2EA944" w14:textId="3D3F0BCF"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52B16313" w:rsidR="00C8543D" w:rsidRPr="00C8543D" w:rsidRDefault="004B0CD3" w:rsidP="00C8543D">
      <w:r>
        <w:t>^Neither receives a pension.</w:t>
      </w:r>
    </w:p>
    <w:p w14:paraId="4328CC95" w14:textId="5189FE13" w:rsidR="008D648E" w:rsidRDefault="008D648E" w:rsidP="00C32A42">
      <w:pPr>
        <w:spacing w:after="120"/>
      </w:pPr>
    </w:p>
    <w:p w14:paraId="2040D746" w14:textId="034ADF59" w:rsidR="00C8543D" w:rsidRDefault="00C8543D">
      <w:pPr>
        <w:pStyle w:val="Heading2"/>
      </w:pPr>
      <w:bookmarkStart w:id="16" w:name="_Toc46316012"/>
      <w:commentRangeStart w:id="17"/>
      <w:r>
        <w:t xml:space="preserve">Early access </w:t>
      </w:r>
      <w:r w:rsidR="00F72183">
        <w:t>to</w:t>
      </w:r>
      <w:r>
        <w:t xml:space="preserve"> </w:t>
      </w:r>
      <w:r w:rsidR="00F72183">
        <w:t>S</w:t>
      </w:r>
      <w:r>
        <w:t>uper</w:t>
      </w:r>
      <w:commentRangeEnd w:id="17"/>
      <w:r w:rsidR="00F72183">
        <w:t>annuation</w:t>
      </w:r>
      <w:r w:rsidR="002741B4">
        <w:rPr>
          <w:rStyle w:val="CommentReference"/>
          <w:rFonts w:eastAsia="MS Mincho" w:cs="Times New Roman"/>
          <w:color w:val="auto"/>
          <w:lang w:eastAsia="ja-JP"/>
        </w:rPr>
        <w:commentReference w:id="17"/>
      </w:r>
      <w:bookmarkEnd w:id="16"/>
    </w:p>
    <w:p w14:paraId="6B839916" w14:textId="6482A7B4" w:rsidR="00C8543D" w:rsidRDefault="00C8543D" w:rsidP="00C8543D">
      <w:r>
        <w:t xml:space="preserve">The Government has amended superannuation laws to allow members who </w:t>
      </w:r>
      <w:r w:rsidR="00F72E1F">
        <w:t>cannot meet their living expenses</w:t>
      </w:r>
      <w:r w:rsidR="00F72183">
        <w:t>,</w:t>
      </w:r>
      <w:r>
        <w:t xml:space="preserve"> and who satisfy </w:t>
      </w:r>
      <w:r w:rsidRPr="0064212E">
        <w:t xml:space="preserve">certain eligibility </w:t>
      </w:r>
      <w:r>
        <w:t>requirements</w:t>
      </w:r>
      <w:r w:rsidR="00F72183">
        <w:t>,</w:t>
      </w:r>
      <w:r>
        <w:t xml:space="preserve"> to access up to $10,000 of their (preserved and restricted non-preserved) </w:t>
      </w:r>
      <w:r w:rsidRPr="00061060">
        <w:t xml:space="preserve">superannuation benefits </w:t>
      </w:r>
      <w:r w:rsidR="00850267" w:rsidRPr="00061060">
        <w:t>before 1</w:t>
      </w:r>
      <w:r w:rsidRPr="00061060">
        <w:t xml:space="preserve"> July 2020,</w:t>
      </w:r>
      <w:r>
        <w:t xml:space="preserve"> plus a further $10,000 in the period between 1 July and 24 September 2020. </w:t>
      </w:r>
    </w:p>
    <w:p w14:paraId="7346B891" w14:textId="7B23883C" w:rsidR="00850267" w:rsidRDefault="00850267" w:rsidP="00C8543D"/>
    <w:p w14:paraId="1D2E65DA" w14:textId="6C3A399A" w:rsidR="00850267" w:rsidRDefault="00850267" w:rsidP="00C8543D">
      <w:r>
        <w:t>Eligibility criteria includes:</w:t>
      </w:r>
    </w:p>
    <w:p w14:paraId="7259A8DE" w14:textId="03689A55" w:rsidR="00F72E1F" w:rsidRDefault="00850267" w:rsidP="00850267">
      <w:pPr>
        <w:pStyle w:val="ListParagraph"/>
        <w:numPr>
          <w:ilvl w:val="0"/>
          <w:numId w:val="52"/>
        </w:numPr>
      </w:pPr>
      <w:r>
        <w:t xml:space="preserve">Citizens and permanent residents of Australia and New Zealand where they are unemployed </w:t>
      </w:r>
    </w:p>
    <w:p w14:paraId="2ECD943D" w14:textId="5EF55E9B" w:rsidR="00F72E1F" w:rsidRDefault="00F72E1F" w:rsidP="00850267">
      <w:pPr>
        <w:pStyle w:val="ListParagraph"/>
        <w:numPr>
          <w:ilvl w:val="0"/>
          <w:numId w:val="52"/>
        </w:numPr>
      </w:pPr>
      <w:r>
        <w:t xml:space="preserve">Or </w:t>
      </w:r>
      <w:r w:rsidR="00850267">
        <w:t xml:space="preserve">are eligible to receive </w:t>
      </w:r>
      <w:proofErr w:type="spellStart"/>
      <w:r w:rsidR="00850267">
        <w:t>JobSeeker</w:t>
      </w:r>
      <w:proofErr w:type="spellEnd"/>
      <w:r w:rsidR="00850267">
        <w:t xml:space="preserve"> Payment, Youth Allowance, Parenting Payment, Special Benefit or Farm Household Allowance </w:t>
      </w:r>
    </w:p>
    <w:p w14:paraId="31FDF22C" w14:textId="2D4046CB" w:rsidR="00F72E1F" w:rsidRDefault="00F72E1F" w:rsidP="00850267">
      <w:pPr>
        <w:pStyle w:val="ListParagraph"/>
        <w:numPr>
          <w:ilvl w:val="0"/>
          <w:numId w:val="52"/>
        </w:numPr>
      </w:pPr>
      <w:r>
        <w:t>Or from</w:t>
      </w:r>
      <w:r w:rsidR="00850267">
        <w:t xml:space="preserve"> 1 January 2020 </w:t>
      </w:r>
    </w:p>
    <w:p w14:paraId="23D1FDFF" w14:textId="4BA3C5EE" w:rsidR="00F72E1F" w:rsidRDefault="00F72E1F" w:rsidP="00F72E1F">
      <w:pPr>
        <w:pStyle w:val="ListParagraph"/>
        <w:numPr>
          <w:ilvl w:val="0"/>
          <w:numId w:val="64"/>
        </w:numPr>
      </w:pPr>
      <w:r>
        <w:t>became</w:t>
      </w:r>
      <w:r w:rsidR="00850267">
        <w:t xml:space="preserve"> redundant, </w:t>
      </w:r>
    </w:p>
    <w:p w14:paraId="328486A4" w14:textId="64ED0B68" w:rsidR="00F72E1F" w:rsidRDefault="00F72E1F" w:rsidP="00F72E1F">
      <w:pPr>
        <w:pStyle w:val="ListParagraph"/>
        <w:numPr>
          <w:ilvl w:val="0"/>
          <w:numId w:val="64"/>
        </w:numPr>
      </w:pPr>
      <w:r>
        <w:t xml:space="preserve">suffered a 20% or more reduction in </w:t>
      </w:r>
      <w:r w:rsidR="00850267">
        <w:t xml:space="preserve">their working hours </w:t>
      </w:r>
    </w:p>
    <w:p w14:paraId="04710E5D" w14:textId="19015D3F" w:rsidR="00F72E1F" w:rsidRDefault="00F72E1F" w:rsidP="00061060">
      <w:pPr>
        <w:pStyle w:val="ListParagraph"/>
        <w:numPr>
          <w:ilvl w:val="0"/>
          <w:numId w:val="64"/>
        </w:numPr>
      </w:pPr>
      <w:r>
        <w:t>if a sole trader</w:t>
      </w:r>
      <w:r w:rsidR="00850267">
        <w:t xml:space="preserve"> – their business was suspended or </w:t>
      </w:r>
      <w:r w:rsidR="00D85D70">
        <w:t>incurred</w:t>
      </w:r>
      <w:r>
        <w:t xml:space="preserve"> </w:t>
      </w:r>
      <w:r w:rsidR="00850267">
        <w:t xml:space="preserve">a reduction </w:t>
      </w:r>
      <w:r>
        <w:t xml:space="preserve">of 20% or more </w:t>
      </w:r>
      <w:r w:rsidR="00850267">
        <w:t>in their turnover</w:t>
      </w:r>
      <w:r>
        <w:t>.</w:t>
      </w:r>
    </w:p>
    <w:p w14:paraId="35A84CE9" w14:textId="77777777" w:rsidR="00F72E1F" w:rsidRDefault="00F72E1F" w:rsidP="00061060">
      <w:pPr>
        <w:pStyle w:val="ListParagraph"/>
      </w:pPr>
    </w:p>
    <w:p w14:paraId="602D1AAE" w14:textId="4C3299E2" w:rsidR="00F72E1F" w:rsidRDefault="00850267" w:rsidP="00F72E1F">
      <w:pPr>
        <w:pStyle w:val="ListParagraph"/>
        <w:numPr>
          <w:ilvl w:val="0"/>
          <w:numId w:val="52"/>
        </w:numPr>
      </w:pPr>
      <w:r>
        <w:t xml:space="preserve">Temporary residents </w:t>
      </w:r>
      <w:r w:rsidR="00F72E1F">
        <w:t xml:space="preserve">_ </w:t>
      </w:r>
      <w:r>
        <w:t>hold</w:t>
      </w:r>
      <w:r w:rsidR="00F72E1F">
        <w:t>ing</w:t>
      </w:r>
      <w:r>
        <w:t xml:space="preserve"> a student visa </w:t>
      </w:r>
      <w:r w:rsidR="00F72E1F">
        <w:t>for longer than</w:t>
      </w:r>
      <w:r>
        <w:t xml:space="preserve"> 12 months, hold</w:t>
      </w:r>
      <w:r w:rsidR="00F72E1F">
        <w:t>ing</w:t>
      </w:r>
      <w:r>
        <w:t xml:space="preserve"> a skilled work visa or hold</w:t>
      </w:r>
      <w:r w:rsidR="00F72E1F">
        <w:t>ing</w:t>
      </w:r>
      <w:r>
        <w:t xml:space="preserve"> a</w:t>
      </w:r>
      <w:r w:rsidR="00B7387A">
        <w:t>nother</w:t>
      </w:r>
      <w:r>
        <w:t xml:space="preserve"> temporary resident visa. </w:t>
      </w:r>
    </w:p>
    <w:p w14:paraId="4EAC1E71" w14:textId="77777777" w:rsidR="00F72E1F" w:rsidRDefault="00F72E1F" w:rsidP="00F72E1F"/>
    <w:p w14:paraId="4F7E4B45" w14:textId="2060A660" w:rsidR="00850267" w:rsidRDefault="00850267" w:rsidP="00850267">
      <w:r>
        <w:t xml:space="preserve">Members will be required to self-assess and certify their eligibility as part of the application. </w:t>
      </w:r>
      <w:r w:rsidR="009F626B">
        <w:t>While the ATO has confirmed evidence is not required as part of the application process, people should retain evidence to support their application.</w:t>
      </w:r>
    </w:p>
    <w:p w14:paraId="38A3ECB3" w14:textId="03BC59A9" w:rsidR="00C8543D" w:rsidRDefault="00C8543D" w:rsidP="00C8543D"/>
    <w:p w14:paraId="443DED20" w14:textId="77777777" w:rsidR="009F626B" w:rsidRPr="006F05A1" w:rsidRDefault="009F626B" w:rsidP="00061060"/>
    <w:p w14:paraId="0F6EF7CD" w14:textId="00759D0D" w:rsidR="00D91721" w:rsidRDefault="00D91721">
      <w:pPr>
        <w:pStyle w:val="Heading2"/>
      </w:pPr>
      <w:bookmarkStart w:id="18" w:name="_Toc46316013"/>
      <w:proofErr w:type="spellStart"/>
      <w:r>
        <w:lastRenderedPageBreak/>
        <w:t>JobKeeper</w:t>
      </w:r>
      <w:proofErr w:type="spellEnd"/>
      <w:r>
        <w:t xml:space="preserve"> Payment</w:t>
      </w:r>
      <w:bookmarkEnd w:id="18"/>
    </w:p>
    <w:p w14:paraId="01FE4229" w14:textId="36DB6C72" w:rsidR="00D91721" w:rsidRDefault="00D91721" w:rsidP="00D91721">
      <w:r>
        <w:t xml:space="preserve">The </w:t>
      </w:r>
      <w:proofErr w:type="spellStart"/>
      <w:r>
        <w:t>JobKeeper</w:t>
      </w:r>
      <w:proofErr w:type="spellEnd"/>
      <w:r>
        <w:t xml:space="preserve"> Payment scheme is a temporary subsidy for businesses significantly affected by coronavirus</w:t>
      </w:r>
      <w:r w:rsidRPr="00A04719">
        <w:t xml:space="preserve">. </w:t>
      </w:r>
      <w:r w:rsidRPr="00061060">
        <w:t>Eligible employers</w:t>
      </w:r>
      <w:r w:rsidRPr="00A04719">
        <w:t>, sole</w:t>
      </w:r>
      <w:r>
        <w:t xml:space="preserve"> traders and other entities can apply to receive $1,500 per eligible employee per fortnight.</w:t>
      </w:r>
    </w:p>
    <w:p w14:paraId="34866298" w14:textId="228122C8" w:rsidR="009F626B" w:rsidRDefault="009F626B" w:rsidP="00D91721"/>
    <w:p w14:paraId="059E9BCB" w14:textId="4F84227C" w:rsidR="009F626B" w:rsidRDefault="009F626B" w:rsidP="00D91721">
      <w:r w:rsidRPr="00061060">
        <w:rPr>
          <w:b/>
          <w:bCs/>
        </w:rPr>
        <w:t>Employers</w:t>
      </w:r>
      <w:r>
        <w:t xml:space="preserve"> – If a business is affected by the coronavirus, they may be eligible to </w:t>
      </w:r>
      <w:r w:rsidR="00757BAE">
        <w:t>if</w:t>
      </w:r>
      <w:r>
        <w:t>:</w:t>
      </w:r>
    </w:p>
    <w:p w14:paraId="0D609D1A" w14:textId="2D1DAFCA" w:rsidR="00155867" w:rsidRDefault="009F626B" w:rsidP="00061060">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78EC07F6" w:rsidR="009F626B" w:rsidRPr="00061060" w:rsidRDefault="009F626B" w:rsidP="00061060">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carried on a business in Australia</w:t>
      </w:r>
    </w:p>
    <w:p w14:paraId="4C8E7C6D" w14:textId="4F6AB0B3" w:rsidR="009F626B" w:rsidRPr="00061060"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061060">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061060">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21FF363E" w:rsidR="009F626B" w:rsidRPr="00061060"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061060">
        <w:rPr>
          <w:rFonts w:asciiTheme="minorHAnsi" w:eastAsia="Times New Roman" w:hAnsiTheme="minorHAnsi" w:cstheme="minorHAnsi"/>
          <w:color w:val="auto"/>
          <w:szCs w:val="20"/>
          <w:lang w:val="en-AU" w:eastAsia="en-AU"/>
        </w:rPr>
        <w:t>mployed at least one eligible employee on 1 March 2020.</w:t>
      </w:r>
    </w:p>
    <w:p w14:paraId="62AFD4A4" w14:textId="77CBAFAC" w:rsidR="009F626B" w:rsidRPr="00061060" w:rsidRDefault="005D07A4" w:rsidP="00061060">
      <w:pPr>
        <w:shd w:val="clear" w:color="auto" w:fill="FFFFFF"/>
        <w:suppressAutoHyphens w:val="0"/>
        <w:spacing w:before="72" w:after="72"/>
        <w:ind w:left="7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These</w:t>
      </w:r>
      <w:r w:rsidR="009F626B" w:rsidRPr="00061060">
        <w:rPr>
          <w:rFonts w:asciiTheme="minorHAnsi" w:eastAsia="Times New Roman" w:hAnsiTheme="minorHAnsi" w:cstheme="minorHAnsi"/>
          <w:color w:val="auto"/>
          <w:szCs w:val="20"/>
          <w:lang w:val="en-AU" w:eastAsia="en-AU"/>
        </w:rPr>
        <w:t xml:space="preserve"> eligible employees </w:t>
      </w:r>
      <w:r>
        <w:rPr>
          <w:rFonts w:asciiTheme="minorHAnsi" w:eastAsia="Times New Roman" w:hAnsiTheme="minorHAnsi" w:cstheme="minorHAnsi"/>
          <w:color w:val="auto"/>
          <w:szCs w:val="20"/>
          <w:lang w:val="en-AU" w:eastAsia="en-AU"/>
        </w:rPr>
        <w:t xml:space="preserve">were </w:t>
      </w:r>
      <w:r w:rsidR="009F626B" w:rsidRPr="00061060">
        <w:rPr>
          <w:rFonts w:asciiTheme="minorHAnsi" w:eastAsia="Times New Roman" w:hAnsiTheme="minorHAnsi" w:cstheme="minorHAnsi"/>
          <w:color w:val="auto"/>
          <w:szCs w:val="20"/>
          <w:lang w:val="en-AU" w:eastAsia="en-AU"/>
        </w:rPr>
        <w:t>employed the fortnights claim</w:t>
      </w:r>
      <w:r>
        <w:rPr>
          <w:rFonts w:asciiTheme="minorHAnsi" w:eastAsia="Times New Roman" w:hAnsiTheme="minorHAnsi" w:cstheme="minorHAnsi"/>
          <w:color w:val="auto"/>
          <w:szCs w:val="20"/>
          <w:lang w:val="en-AU" w:eastAsia="en-AU"/>
        </w:rPr>
        <w:t>ed</w:t>
      </w:r>
      <w:r w:rsidR="009F626B" w:rsidRPr="00061060">
        <w:rPr>
          <w:rFonts w:asciiTheme="minorHAnsi" w:eastAsia="Times New Roman" w:hAnsiTheme="minorHAnsi" w:cstheme="minorHAnsi"/>
          <w:color w:val="auto"/>
          <w:szCs w:val="20"/>
          <w:lang w:val="en-AU" w:eastAsia="en-AU"/>
        </w:rPr>
        <w:t xml:space="preserve"> for (including those stood down or re-hired).</w:t>
      </w:r>
    </w:p>
    <w:p w14:paraId="0E7D7039" w14:textId="5C1F4634" w:rsidR="009F626B" w:rsidRPr="00061060"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36D5284F" w:rsidR="009F626B" w:rsidRPr="00061060"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061060"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50% fall in turnover (for an aggregated turnover of more than $1 billion)</w:t>
      </w:r>
    </w:p>
    <w:p w14:paraId="69A80785" w14:textId="61B07135"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50A420A3"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w:t>
      </w:r>
      <w:r w:rsidR="006E4E99">
        <w:rPr>
          <w:rFonts w:asciiTheme="minorHAnsi" w:eastAsia="Times New Roman" w:hAnsiTheme="minorHAnsi" w:cstheme="minorHAnsi"/>
          <w:color w:val="auto"/>
          <w:szCs w:val="20"/>
          <w:lang w:val="en-AU" w:eastAsia="en-AU"/>
        </w:rPr>
        <w:t xml:space="preserve">$1,500 </w:t>
      </w:r>
      <w:r w:rsidR="006F05A1">
        <w:rPr>
          <w:rFonts w:asciiTheme="minorHAnsi" w:eastAsia="Times New Roman" w:hAnsiTheme="minorHAnsi" w:cstheme="minorHAnsi"/>
          <w:color w:val="auto"/>
          <w:szCs w:val="20"/>
          <w:lang w:val="en-AU" w:eastAsia="en-AU"/>
        </w:rPr>
        <w:t xml:space="preserve">Job Keeper </w:t>
      </w:r>
      <w:r w:rsidR="006E4E99">
        <w:rPr>
          <w:rFonts w:asciiTheme="minorHAnsi" w:eastAsia="Times New Roman" w:hAnsiTheme="minorHAnsi" w:cstheme="minorHAnsi"/>
          <w:color w:val="auto"/>
          <w:szCs w:val="20"/>
          <w:lang w:val="en-AU" w:eastAsia="en-AU"/>
        </w:rPr>
        <w:t xml:space="preserve">payment: </w:t>
      </w:r>
    </w:p>
    <w:p w14:paraId="0D6D98BA" w14:textId="6CC834C0" w:rsidR="006E4E99" w:rsidRDefault="006E4E99"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they </w:t>
      </w:r>
      <w:r>
        <w:rPr>
          <w:rFonts w:asciiTheme="minorHAnsi" w:eastAsia="Times New Roman" w:hAnsiTheme="minorHAnsi" w:cstheme="minorHAnsi"/>
          <w:color w:val="auto"/>
          <w:szCs w:val="20"/>
          <w:lang w:val="en-AU" w:eastAsia="en-AU"/>
        </w:rPr>
        <w:t>act in the business</w:t>
      </w:r>
      <w:r w:rsidRPr="006E4E99">
        <w:rPr>
          <w:rFonts w:asciiTheme="minorHAnsi" w:eastAsia="Times New Roman" w:hAnsiTheme="minorHAnsi" w:cstheme="minorHAnsi"/>
          <w:color w:val="auto"/>
          <w:szCs w:val="20"/>
          <w:lang w:val="en-AU" w:eastAsia="en-AU"/>
        </w:rPr>
        <w:t xml:space="preserve"> </w:t>
      </w:r>
    </w:p>
    <w:p w14:paraId="5078DF69" w14:textId="049B1F1B" w:rsidR="006E4E99" w:rsidRDefault="006E4E9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actual/projected turnover declines; as determined by comparison with their GST returns from a previous period</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14595B7F" w:rsidR="00792AF1" w:rsidRDefault="00792AF1" w:rsidP="00061060">
      <w:pPr>
        <w:pStyle w:val="Heading2"/>
        <w:rPr>
          <w:rFonts w:eastAsia="Times New Roman"/>
          <w:lang w:eastAsia="en-AU"/>
        </w:rPr>
      </w:pPr>
      <w:bookmarkStart w:id="19" w:name="_Toc46316014"/>
      <w:commentRangeStart w:id="20"/>
      <w:r w:rsidRPr="00792AF1">
        <w:rPr>
          <w:rFonts w:eastAsia="Times New Roman"/>
          <w:lang w:eastAsia="en-AU"/>
        </w:rPr>
        <w:t xml:space="preserve">Planned Changes to </w:t>
      </w:r>
      <w:proofErr w:type="spellStart"/>
      <w:r w:rsidRPr="00792AF1">
        <w:rPr>
          <w:rFonts w:eastAsia="Times New Roman"/>
          <w:lang w:eastAsia="en-AU"/>
        </w:rPr>
        <w:t>JobKeeper</w:t>
      </w:r>
      <w:proofErr w:type="spellEnd"/>
      <w:r>
        <w:rPr>
          <w:rFonts w:eastAsia="Times New Roman"/>
          <w:lang w:eastAsia="en-AU"/>
        </w:rPr>
        <w:t xml:space="preserve"> Payment</w:t>
      </w:r>
      <w:commentRangeEnd w:id="20"/>
      <w:r>
        <w:rPr>
          <w:rStyle w:val="CommentReference"/>
          <w:color w:val="auto"/>
          <w:lang w:eastAsia="ja-JP"/>
        </w:rPr>
        <w:commentReference w:id="20"/>
      </w:r>
      <w:bookmarkEnd w:id="19"/>
    </w:p>
    <w:p w14:paraId="4317D5DA" w14:textId="03B52A4B"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roofErr w:type="spellStart"/>
      <w:r w:rsidRPr="00792AF1">
        <w:rPr>
          <w:rFonts w:asciiTheme="minorHAnsi" w:eastAsia="Times New Roman" w:hAnsiTheme="minorHAnsi" w:cstheme="minorHAnsi"/>
          <w:color w:val="auto"/>
          <w:szCs w:val="20"/>
          <w:lang w:val="en-AU" w:eastAsia="en-AU"/>
        </w:rPr>
        <w:t>JobKeeper</w:t>
      </w:r>
      <w:proofErr w:type="spellEnd"/>
      <w:r w:rsidRPr="00792AF1">
        <w:rPr>
          <w:rFonts w:asciiTheme="minorHAnsi" w:eastAsia="Times New Roman" w:hAnsiTheme="minorHAnsi" w:cstheme="minorHAnsi"/>
          <w:color w:val="auto"/>
          <w:szCs w:val="20"/>
          <w:lang w:val="en-AU" w:eastAsia="en-AU"/>
        </w:rPr>
        <w:t xml:space="preserve"> will be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current rate of $1,500 per fortnight.</w:t>
      </w:r>
    </w:p>
    <w:p w14:paraId="68DDF4C5" w14:textId="77777777" w:rsidR="00792AF1" w:rsidRP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w:t>
      </w:r>
      <w:proofErr w:type="spellStart"/>
      <w:r>
        <w:t>JobKeeper</w:t>
      </w:r>
      <w:proofErr w:type="spellEnd"/>
      <w:r>
        <w:t xml:space="preserve"> Payment extension are proposed to be: </w:t>
      </w:r>
    </w:p>
    <w:p w14:paraId="26661137" w14:textId="77777777" w:rsidR="00792AF1" w:rsidRDefault="00792AF1" w:rsidP="00792AF1">
      <w:pPr>
        <w:shd w:val="clear" w:color="auto" w:fill="FFFFFF"/>
        <w:suppressAutoHyphens w:val="0"/>
        <w:spacing w:before="72" w:after="120"/>
        <w:jc w:val="left"/>
      </w:pPr>
      <w:r>
        <w:sym w:font="Symbol" w:char="F0B7"/>
      </w:r>
      <w:r>
        <w:t xml:space="preserve"> $1,200 per fortnight per eligible employee - employed 20 or more hours per week on average in the 4 weeks prior to 1 March 20201 </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w:t>
      </w:r>
      <w:proofErr w:type="spellStart"/>
      <w:r>
        <w:t>JobKeeper</w:t>
      </w:r>
      <w:proofErr w:type="spellEnd"/>
      <w:r>
        <w:t xml:space="preserve"> Payment for an eligible business participant during phase 1 of the extension, the payment rate will be: </w:t>
      </w:r>
    </w:p>
    <w:p w14:paraId="39CC0E3F" w14:textId="77777777" w:rsidR="00792AF1" w:rsidRDefault="00792AF1" w:rsidP="00792AF1">
      <w:pPr>
        <w:shd w:val="clear" w:color="auto" w:fill="FFFFFF"/>
        <w:suppressAutoHyphens w:val="0"/>
        <w:spacing w:before="72" w:after="120"/>
        <w:jc w:val="left"/>
      </w:pPr>
      <w:r>
        <w:sym w:font="Symbol" w:char="F0B7"/>
      </w:r>
      <w:r>
        <w:t xml:space="preserve"> $1,200 per fortnight where the eligible business participant was actively engaged in the business for 20 or more hours per week on average in the month of February 20202; and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579C907A" w:rsidR="006F05A1" w:rsidRDefault="006F05A1" w:rsidP="00D91721">
      <w:pPr>
        <w:rPr>
          <w:rFonts w:asciiTheme="minorHAnsi" w:eastAsia="Times New Roman" w:hAnsiTheme="minorHAnsi" w:cstheme="minorHAnsi"/>
          <w:color w:val="002060"/>
          <w:sz w:val="24"/>
          <w:lang w:val="en-AU" w:eastAsia="en-AU"/>
        </w:rPr>
      </w:pPr>
    </w:p>
    <w:p w14:paraId="3F8E9B19" w14:textId="7477EA67" w:rsidR="00792AF1" w:rsidRPr="00792AF1" w:rsidRDefault="00792AF1" w:rsidP="00D91721">
      <w:pPr>
        <w:rPr>
          <w:b/>
          <w:bCs/>
        </w:rPr>
      </w:pPr>
      <w:r w:rsidRPr="00792AF1">
        <w:rPr>
          <w:b/>
          <w:bCs/>
        </w:rPr>
        <w:t xml:space="preserve">Phase 2: 4 January 2021 to 28 March 2021 </w:t>
      </w:r>
    </w:p>
    <w:p w14:paraId="38CCB5D3" w14:textId="77777777" w:rsidR="00792AF1" w:rsidRDefault="00792AF1" w:rsidP="00D91721"/>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1F995EF9" w:rsidR="00792AF1" w:rsidRDefault="00792AF1" w:rsidP="00D91721">
      <w:r>
        <w:t xml:space="preserve">The payment rates for phase 2 of the </w:t>
      </w:r>
      <w:proofErr w:type="spellStart"/>
      <w:r>
        <w:t>JobKeeper</w:t>
      </w:r>
      <w:proofErr w:type="spellEnd"/>
      <w:r>
        <w:t xml:space="preserve"> Payment extension are proposed to be: </w:t>
      </w:r>
    </w:p>
    <w:p w14:paraId="59DD3339" w14:textId="77777777" w:rsidR="00792AF1" w:rsidRDefault="00792AF1" w:rsidP="00D91721"/>
    <w:p w14:paraId="30863CCF" w14:textId="1602F776" w:rsidR="00792AF1" w:rsidRDefault="00792AF1" w:rsidP="00D91721">
      <w:r>
        <w:sym w:font="Symbol" w:char="F0B7"/>
      </w:r>
      <w:r>
        <w:t xml:space="preserve"> $1,000 per fortnight per eligible employee - employed for 20 or more hours per week on average in in the 4 weeks prior to 1 March 20203) </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w:t>
      </w:r>
      <w:proofErr w:type="spellStart"/>
      <w:r>
        <w:t>JobKeeper</w:t>
      </w:r>
      <w:proofErr w:type="spellEnd"/>
      <w:r>
        <w:t xml:space="preserve"> Payment for an eligible business participant during phase 2 of the extension, the payment rate will be: </w:t>
      </w:r>
    </w:p>
    <w:p w14:paraId="53C25E32" w14:textId="77777777" w:rsidR="00792AF1" w:rsidRDefault="00792AF1" w:rsidP="00D91721"/>
    <w:p w14:paraId="50ACC59D" w14:textId="62A49933" w:rsidR="00792AF1" w:rsidRDefault="00792AF1" w:rsidP="00D91721">
      <w:r>
        <w:sym w:font="Symbol" w:char="F0B7"/>
      </w:r>
      <w:r>
        <w:t xml:space="preserve"> $1,000 per fortnight where the eligible business participant was actively engaged in the business for 20 or more hours per week on average in the month of February 20204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3AE1B3AA" w:rsidR="00792AF1" w:rsidRDefault="00792AF1" w:rsidP="00D91721"/>
    <w:p w14:paraId="02C58E0C" w14:textId="77777777" w:rsidR="00D91721" w:rsidRPr="00D91721" w:rsidRDefault="00D91721" w:rsidP="00D91721"/>
    <w:p w14:paraId="11AD485B" w14:textId="36A2120B" w:rsidR="00D91721" w:rsidRDefault="00D91721">
      <w:pPr>
        <w:pStyle w:val="Heading2"/>
      </w:pPr>
      <w:bookmarkStart w:id="21" w:name="_Toc46316015"/>
      <w:r w:rsidRPr="00061060">
        <w:t>Job Seeker Payment (</w:t>
      </w:r>
      <w:r w:rsidR="00F47ABD">
        <w:t>replaces</w:t>
      </w:r>
      <w:r w:rsidR="006F05A1" w:rsidRPr="00061060">
        <w:t xml:space="preserve"> </w:t>
      </w:r>
      <w:proofErr w:type="spellStart"/>
      <w:r w:rsidR="006F05A1" w:rsidRPr="00061060">
        <w:t>NewStart</w:t>
      </w:r>
      <w:proofErr w:type="spellEnd"/>
      <w:r w:rsidR="006F05A1" w:rsidRPr="00061060">
        <w:t xml:space="preserve"> Allowance</w:t>
      </w:r>
      <w:r w:rsidRPr="00061060">
        <w:t>)</w:t>
      </w:r>
      <w:bookmarkEnd w:id="21"/>
    </w:p>
    <w:p w14:paraId="0E268E83" w14:textId="77777777" w:rsidR="00A832DE" w:rsidRPr="00A04719" w:rsidRDefault="00A832DE" w:rsidP="00061060">
      <w:pPr>
        <w:ind w:firstLine="426"/>
        <w:rPr>
          <w:i/>
          <w:iCs/>
        </w:rPr>
      </w:pPr>
      <w:r w:rsidRPr="00A04719">
        <w:rPr>
          <w:i/>
          <w:iCs/>
        </w:rPr>
        <w:t xml:space="preserve">Newstart Allowance stopped in March 2020; existing and new </w:t>
      </w:r>
      <w:proofErr w:type="spellStart"/>
      <w:r w:rsidRPr="00A04719">
        <w:rPr>
          <w:i/>
          <w:iCs/>
        </w:rPr>
        <w:t>Allowees</w:t>
      </w:r>
      <w:proofErr w:type="spellEnd"/>
      <w:r w:rsidRPr="00A04719">
        <w:rPr>
          <w:i/>
          <w:iCs/>
        </w:rPr>
        <w:t xml:space="preserve"> moved to </w:t>
      </w:r>
      <w:proofErr w:type="spellStart"/>
      <w:r w:rsidRPr="00A04719">
        <w:rPr>
          <w:i/>
          <w:iCs/>
        </w:rPr>
        <w:t>JobSeeker</w:t>
      </w:r>
      <w:proofErr w:type="spellEnd"/>
      <w:r w:rsidRPr="00A04719">
        <w:rPr>
          <w:i/>
          <w:iCs/>
        </w:rPr>
        <w:t xml:space="preserve"> Payment.</w:t>
      </w:r>
    </w:p>
    <w:p w14:paraId="494BE48A" w14:textId="10FD669B" w:rsidR="00A97E18" w:rsidRPr="00A04719" w:rsidRDefault="00947916" w:rsidP="00061060">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123BB318" w:rsidR="00A832DE" w:rsidRPr="00A04719" w:rsidRDefault="002214CD" w:rsidP="00061060">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commentRangeStart w:id="22"/>
      <w:commentRangeEnd w:id="22"/>
      <w:r w:rsidR="00B920CE" w:rsidRPr="005564A1">
        <w:rPr>
          <w:i/>
          <w:iCs/>
        </w:rPr>
        <w:commentReference w:id="22"/>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w:t>
      </w:r>
      <w:proofErr w:type="spellStart"/>
      <w:r w:rsidRPr="00A832DE">
        <w:t>JobSeeker</w:t>
      </w:r>
      <w:proofErr w:type="spellEnd"/>
      <w:r w:rsidRPr="00A832DE">
        <w:t xml:space="preserve">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0A15AC5B" w:rsidR="00A832DE" w:rsidRPr="00A832DE" w:rsidRDefault="00A832DE" w:rsidP="00A832DE">
      <w:pPr>
        <w:spacing w:before="120" w:after="120"/>
      </w:pPr>
      <w:r w:rsidRPr="00A832DE">
        <w:t xml:space="preserve">To qualify for the </w:t>
      </w:r>
      <w:proofErr w:type="spellStart"/>
      <w:r w:rsidRPr="00A832DE">
        <w:t>JobSeeker</w:t>
      </w:r>
      <w:proofErr w:type="spellEnd"/>
      <w:r w:rsidRPr="00A832DE">
        <w:t xml:space="preserve">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061060" w:rsidRDefault="00A832DE" w:rsidP="00A832DE">
      <w:pPr>
        <w:spacing w:after="120"/>
        <w:rPr>
          <w:i/>
          <w:iCs/>
        </w:rPr>
      </w:pPr>
      <w:r w:rsidRPr="00061060">
        <w:rPr>
          <w:i/>
          <w:iCs/>
        </w:rPr>
        <w:t xml:space="preserve">https://www.humanservices.gov.au/customer/enablers/income-reporting </w:t>
      </w:r>
    </w:p>
    <w:p w14:paraId="403FE366" w14:textId="77777777" w:rsidR="00A832DE" w:rsidRPr="00A832DE" w:rsidRDefault="00A832DE" w:rsidP="00A832DE">
      <w:pPr>
        <w:spacing w:after="120"/>
        <w:rPr>
          <w:b/>
        </w:rPr>
      </w:pPr>
      <w:bookmarkStart w:id="23"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4"/>
      <w:r>
        <w:rPr>
          <w:rFonts w:ascii="Arial Narrow" w:hAnsi="Arial Narrow" w:cs="Calibri"/>
          <w:b/>
        </w:rPr>
        <w:t>T</w:t>
      </w:r>
      <w:r w:rsidRPr="00A832DE">
        <w:rPr>
          <w:rFonts w:ascii="Arial Narrow" w:hAnsi="Arial Narrow" w:cs="Calibri"/>
          <w:b/>
        </w:rPr>
        <w:t xml:space="preserve">he basic rates of payment for the </w:t>
      </w:r>
      <w:proofErr w:type="spellStart"/>
      <w:r w:rsidRPr="00A832DE">
        <w:rPr>
          <w:rFonts w:ascii="Arial Narrow" w:hAnsi="Arial Narrow" w:cs="Calibri"/>
          <w:b/>
        </w:rPr>
        <w:t>JobSeeker</w:t>
      </w:r>
      <w:proofErr w:type="spellEnd"/>
      <w:r w:rsidRPr="00A832DE">
        <w:rPr>
          <w:rFonts w:ascii="Arial Narrow" w:hAnsi="Arial Narrow" w:cs="Calibri"/>
          <w:b/>
        </w:rPr>
        <w:t xml:space="preserve"> Payment are:</w:t>
      </w:r>
      <w:commentRangeEnd w:id="24"/>
      <w:r w:rsidR="004B632C">
        <w:rPr>
          <w:rStyle w:val="CommentReference"/>
          <w:color w:val="auto"/>
          <w:lang w:val="en-AU" w:eastAsia="ja-JP"/>
        </w:rPr>
        <w:commentReference w:id="24"/>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77777777"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1,115.70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1873D1C6" w14:textId="0584BD59" w:rsidR="00A832DE" w:rsidRPr="00061060"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$550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7503EF4F"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1,162.00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16B5CE8" w14:textId="7E6CA6BD" w:rsidR="00A832DE" w:rsidRPr="00061060"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$550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53C2462E"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4B632C">
              <w:rPr>
                <w:rFonts w:ascii="Arial Narrow" w:eastAsia="SimSun" w:hAnsi="Arial Narrow"/>
                <w:color w:val="auto"/>
                <w:szCs w:val="20"/>
                <w:lang w:val="en-AU" w:eastAsia="en-AU"/>
              </w:rPr>
              <w:t>1,162</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BD858F5" w14:textId="6CB17FBC" w:rsidR="004B632C" w:rsidRPr="00061060"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$550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30A59E2C" w:rsidR="004B632C" w:rsidRDefault="004B632C"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1,340.10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FC6219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$6790.10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6FC7BB29" w14:textId="3BDFBD1A" w:rsidR="00A832DE" w:rsidRPr="00061060"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w:t>
            </w:r>
            <w:r>
              <w:rPr>
                <w:rFonts w:ascii="Arial Narrow" w:eastAsia="SimSun" w:hAnsi="Arial Narrow"/>
                <w:color w:val="auto"/>
                <w:szCs w:val="20"/>
                <w:lang w:val="en-AU" w:eastAsia="en-AU"/>
              </w:rPr>
              <w:t>50</w:t>
            </w:r>
            <w:r w:rsidRPr="00061060">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t>Member of a couple</w:t>
            </w:r>
          </w:p>
        </w:tc>
        <w:tc>
          <w:tcPr>
            <w:tcW w:w="1500" w:type="pct"/>
            <w:tcBorders>
              <w:left w:val="single" w:sz="24" w:space="0" w:color="FFFFFF"/>
            </w:tcBorders>
            <w:shd w:val="clear" w:color="auto" w:fill="auto"/>
          </w:tcPr>
          <w:p w14:paraId="7EF0E3D4" w14:textId="6C79D3D0" w:rsidR="004B632C" w:rsidRDefault="004B632C"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1,060.80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$510.80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6C273D8" w14:textId="7DD1B35D" w:rsidR="00A832DE" w:rsidRPr="00A832DE" w:rsidRDefault="004B632C" w:rsidP="00061060">
            <w:pPr>
              <w:suppressAutoHyphens w:val="0"/>
              <w:spacing w:before="40" w:after="40"/>
              <w:rPr>
                <w:rFonts w:ascii="Arial Narrow" w:eastAsia="SimSun" w:hAnsi="Arial Narrow"/>
                <w:color w:val="auto"/>
                <w:szCs w:val="20"/>
                <w:lang w:val="en-AU" w:eastAsia="en-AU"/>
              </w:rPr>
            </w:pPr>
            <w:r w:rsidRPr="007002B1">
              <w:rPr>
                <w:rFonts w:ascii="Arial Narrow" w:eastAsia="SimSun" w:hAnsi="Arial Narrow"/>
                <w:color w:val="auto"/>
                <w:szCs w:val="20"/>
                <w:lang w:val="en-AU" w:eastAsia="en-AU"/>
              </w:rPr>
              <w:t>$550 Coronavirus Supplement</w:t>
            </w:r>
          </w:p>
        </w:tc>
      </w:tr>
    </w:tbl>
    <w:bookmarkEnd w:id="23"/>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1A2372B4"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 xml:space="preserve">The </w:t>
      </w:r>
      <w:proofErr w:type="spellStart"/>
      <w:r w:rsidRPr="00A832DE">
        <w:t>JobSeeker</w:t>
      </w:r>
      <w:proofErr w:type="spellEnd"/>
      <w:r w:rsidRPr="00A832DE">
        <w:t xml:space="preserve">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5" w:name="_Hlk526340309"/>
    </w:p>
    <w:p w14:paraId="1F67FA5D" w14:textId="77777777" w:rsidR="004B632C" w:rsidRDefault="004B632C" w:rsidP="00A832DE">
      <w:pPr>
        <w:jc w:val="center"/>
        <w:rPr>
          <w:rFonts w:ascii="Arial Narrow" w:hAnsi="Arial Narrow" w:cs="Calibri"/>
          <w:b/>
        </w:rPr>
      </w:pPr>
    </w:p>
    <w:p w14:paraId="5595B419" w14:textId="5CF43057" w:rsidR="00A832DE" w:rsidRPr="00A832DE" w:rsidRDefault="00A832DE" w:rsidP="00A832DE">
      <w:pPr>
        <w:jc w:val="center"/>
        <w:rPr>
          <w:rFonts w:ascii="Arial Narrow" w:hAnsi="Arial Narrow" w:cs="Calibri"/>
          <w:b/>
        </w:rPr>
      </w:pPr>
      <w:commentRangeStart w:id="26"/>
      <w:r w:rsidRPr="00A832DE">
        <w:rPr>
          <w:rFonts w:ascii="Arial Narrow" w:hAnsi="Arial Narrow" w:cs="Calibri"/>
          <w:b/>
        </w:rPr>
        <w:t>Effective 2</w:t>
      </w:r>
      <w:r w:rsidR="006417CA">
        <w:rPr>
          <w:rFonts w:ascii="Arial Narrow" w:hAnsi="Arial Narrow" w:cs="Calibri"/>
          <w:b/>
        </w:rPr>
        <w:t>3</w:t>
      </w:r>
      <w:r w:rsidRPr="00A832DE">
        <w:rPr>
          <w:rFonts w:ascii="Arial Narrow" w:hAnsi="Arial Narrow" w:cs="Calibri"/>
          <w:b/>
        </w:rPr>
        <w:t xml:space="preserve"> March 2020, the Income test thresholds are:</w:t>
      </w:r>
      <w:commentRangeEnd w:id="26"/>
      <w:r>
        <w:rPr>
          <w:rStyle w:val="CommentReference"/>
          <w:color w:val="auto"/>
          <w:lang w:val="en-AU" w:eastAsia="ja-JP"/>
        </w:rPr>
        <w:commentReference w:id="26"/>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77777777" w:rsidR="00A832DE" w:rsidRPr="00A832DE" w:rsidRDefault="00A832DE" w:rsidP="00A832DE">
            <w:pPr>
              <w:spacing w:after="120"/>
            </w:pPr>
            <w:r w:rsidRPr="00A832DE">
              <w:rPr>
                <w:rFonts w:ascii="Arial Narrow" w:hAnsi="Arial Narrow"/>
              </w:rPr>
              <w:t>Single, no children</w:t>
            </w:r>
          </w:p>
        </w:tc>
        <w:tc>
          <w:tcPr>
            <w:tcW w:w="1000" w:type="pct"/>
            <w:shd w:val="clear" w:color="auto" w:fill="auto"/>
            <w:hideMark/>
          </w:tcPr>
          <w:p w14:paraId="100118BD"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151ED3DE" w14:textId="6B6286A2"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w:t>
            </w:r>
            <w:r>
              <w:rPr>
                <w:rFonts w:ascii="Arial Narrow" w:eastAsia="SimSun" w:hAnsi="Arial Narrow"/>
                <w:color w:val="auto"/>
                <w:szCs w:val="20"/>
                <w:lang w:val="en-AU" w:eastAsia="en-AU"/>
              </w:rPr>
              <w:t>088.50</w:t>
            </w:r>
          </w:p>
        </w:tc>
      </w:tr>
      <w:tr w:rsidR="00A832DE" w:rsidRPr="00A832DE" w14:paraId="21157A47" w14:textId="77777777" w:rsidTr="00CC3345">
        <w:tc>
          <w:tcPr>
            <w:tcW w:w="3000" w:type="pct"/>
            <w:shd w:val="clear" w:color="auto" w:fill="auto"/>
            <w:hideMark/>
          </w:tcPr>
          <w:p w14:paraId="1438A1A6" w14:textId="77777777" w:rsidR="00A832DE" w:rsidRPr="00A832DE" w:rsidRDefault="00A832DE" w:rsidP="00A832DE">
            <w:pPr>
              <w:spacing w:after="120"/>
            </w:pPr>
            <w:r w:rsidRPr="00A832DE">
              <w:rPr>
                <w:rFonts w:ascii="Arial Narrow" w:hAnsi="Arial Narrow"/>
              </w:rPr>
              <w:t>Single, with dependent children</w:t>
            </w:r>
          </w:p>
        </w:tc>
        <w:tc>
          <w:tcPr>
            <w:tcW w:w="1000" w:type="pct"/>
            <w:shd w:val="clear" w:color="auto" w:fill="auto"/>
            <w:hideMark/>
          </w:tcPr>
          <w:p w14:paraId="5B9E2516"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5D019748" w14:textId="64D443DA"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1,166.84</w:t>
            </w:r>
          </w:p>
        </w:tc>
      </w:tr>
      <w:tr w:rsidR="00A832DE" w:rsidRPr="00A832DE" w14:paraId="6EC495A2" w14:textId="77777777" w:rsidTr="00CC3345">
        <w:tc>
          <w:tcPr>
            <w:tcW w:w="3000" w:type="pct"/>
            <w:shd w:val="clear" w:color="auto" w:fill="auto"/>
          </w:tcPr>
          <w:p w14:paraId="5000B675" w14:textId="77777777" w:rsidR="00A832DE" w:rsidRPr="00A832DE" w:rsidRDefault="00A832DE" w:rsidP="00A832DE">
            <w:pPr>
              <w:spacing w:after="120"/>
            </w:pPr>
            <w:r w:rsidRPr="00A832DE">
              <w:rPr>
                <w:rFonts w:ascii="Arial Narrow" w:hAnsi="Arial Narrow"/>
              </w:rPr>
              <w:t>Single, principal carer, with dependent children [2]</w:t>
            </w:r>
          </w:p>
        </w:tc>
        <w:tc>
          <w:tcPr>
            <w:tcW w:w="1000" w:type="pct"/>
            <w:shd w:val="clear" w:color="auto" w:fill="auto"/>
          </w:tcPr>
          <w:p w14:paraId="466476FA" w14:textId="777777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tcPr>
          <w:p w14:paraId="173531CF" w14:textId="08075458"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$1,67</w:t>
            </w:r>
            <w:r>
              <w:rPr>
                <w:rFonts w:ascii="Arial Narrow" w:eastAsia="SimSun" w:hAnsi="Arial Narrow"/>
                <w:color w:val="auto"/>
                <w:szCs w:val="20"/>
                <w:lang w:val="en-AU" w:eastAsia="en-AU"/>
              </w:rPr>
              <w:t>5.25</w:t>
            </w:r>
          </w:p>
        </w:tc>
      </w:tr>
      <w:tr w:rsidR="00A832DE" w:rsidRPr="00A832DE" w14:paraId="56C7A76C" w14:textId="77777777" w:rsidTr="00CC3345">
        <w:tc>
          <w:tcPr>
            <w:tcW w:w="3000" w:type="pct"/>
            <w:shd w:val="clear" w:color="auto" w:fill="auto"/>
          </w:tcPr>
          <w:p w14:paraId="06AD53FA" w14:textId="77777777" w:rsidR="00A832DE" w:rsidRPr="00A832DE" w:rsidRDefault="00A832DE" w:rsidP="00A832DE">
            <w:pPr>
              <w:spacing w:after="120"/>
            </w:pPr>
            <w:r w:rsidRPr="00A832DE">
              <w:rPr>
                <w:rFonts w:ascii="Arial Narrow" w:hAnsi="Arial Narrow"/>
              </w:rPr>
              <w:t>Single, principal carer of a dependent child (exempt for foster caring/home schooling/distance education/large family) [2]</w:t>
            </w:r>
          </w:p>
        </w:tc>
        <w:tc>
          <w:tcPr>
            <w:tcW w:w="1000" w:type="pct"/>
            <w:shd w:val="clear" w:color="auto" w:fill="auto"/>
          </w:tcPr>
          <w:p w14:paraId="427B557E" w14:textId="777777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tcPr>
          <w:p w14:paraId="108B9B0B" w14:textId="7C50912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$2,12</w:t>
            </w:r>
            <w:r>
              <w:rPr>
                <w:rFonts w:ascii="Arial Narrow" w:eastAsia="SimSun" w:hAnsi="Arial Narrow"/>
                <w:color w:val="auto"/>
                <w:szCs w:val="20"/>
                <w:lang w:val="en-AU" w:eastAsia="en-AU"/>
              </w:rPr>
              <w:t>6.75</w:t>
            </w:r>
          </w:p>
        </w:tc>
      </w:tr>
      <w:tr w:rsidR="00A832DE" w:rsidRPr="00A832DE" w14:paraId="14F1C152" w14:textId="77777777" w:rsidTr="00CC3345">
        <w:tc>
          <w:tcPr>
            <w:tcW w:w="3000" w:type="pct"/>
            <w:shd w:val="clear" w:color="auto" w:fill="auto"/>
            <w:hideMark/>
          </w:tcPr>
          <w:p w14:paraId="446EBD71" w14:textId="77777777" w:rsidR="00A832DE" w:rsidRPr="00A832DE" w:rsidRDefault="00A832DE" w:rsidP="00A832DE">
            <w:pPr>
              <w:spacing w:after="120"/>
            </w:pPr>
            <w:r w:rsidRPr="00A832DE">
              <w:rPr>
                <w:rFonts w:ascii="Arial Narrow" w:hAnsi="Arial Narrow"/>
              </w:rPr>
              <w:t>Single, aged 60 or over, after 9 months</w:t>
            </w:r>
          </w:p>
        </w:tc>
        <w:tc>
          <w:tcPr>
            <w:tcW w:w="1000" w:type="pct"/>
            <w:shd w:val="clear" w:color="auto" w:fill="auto"/>
            <w:hideMark/>
          </w:tcPr>
          <w:p w14:paraId="67665E68"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5D40AB20" w14:textId="1EEF685A"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w:t>
            </w:r>
            <w:r w:rsidR="00A04719">
              <w:rPr>
                <w:rFonts w:ascii="Arial Narrow" w:eastAsia="SimSun" w:hAnsi="Arial Narrow"/>
                <w:color w:val="auto"/>
                <w:szCs w:val="20"/>
                <w:lang w:val="en-AU" w:eastAsia="en-AU"/>
              </w:rPr>
              <w:t>177.17</w:t>
            </w:r>
          </w:p>
        </w:tc>
      </w:tr>
      <w:tr w:rsidR="00A832DE" w:rsidRPr="00A832DE" w14:paraId="5BBE3F5A" w14:textId="77777777" w:rsidTr="00CC3345">
        <w:tc>
          <w:tcPr>
            <w:tcW w:w="3000" w:type="pct"/>
            <w:shd w:val="clear" w:color="auto" w:fill="auto"/>
            <w:hideMark/>
          </w:tcPr>
          <w:p w14:paraId="19922056" w14:textId="77777777" w:rsidR="00A832DE" w:rsidRPr="00A832DE" w:rsidRDefault="00A832DE" w:rsidP="00A832DE">
            <w:pPr>
              <w:spacing w:after="120"/>
            </w:pPr>
            <w:r w:rsidRPr="00A832DE">
              <w:rPr>
                <w:rFonts w:ascii="Arial Narrow" w:hAnsi="Arial Narrow"/>
              </w:rPr>
              <w:t>Member of a couple</w:t>
            </w:r>
          </w:p>
        </w:tc>
        <w:tc>
          <w:tcPr>
            <w:tcW w:w="1000" w:type="pct"/>
            <w:shd w:val="clear" w:color="auto" w:fill="auto"/>
            <w:hideMark/>
          </w:tcPr>
          <w:p w14:paraId="15EF49E7"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17F2E169" w14:textId="7A6137DF"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995.50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p>
        </w:tc>
      </w:tr>
      <w:tr w:rsidR="00A832DE" w:rsidRPr="00A832DE" w14:paraId="241DC63A" w14:textId="77777777" w:rsidTr="00CC3345">
        <w:tc>
          <w:tcPr>
            <w:tcW w:w="250" w:type="pct"/>
          </w:tcPr>
          <w:p w14:paraId="5C1F5ED0"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For maximum payment, the recipient's income must be no more than $104 per fortnight. Income over this amount reduces the rate of payment by 40 cents in the dollar.</w:t>
            </w:r>
          </w:p>
        </w:tc>
      </w:tr>
      <w:bookmarkEnd w:id="25"/>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212C5567" w:rsidR="002D5FDA" w:rsidRPr="00061060" w:rsidRDefault="00A04719" w:rsidP="00A832DE">
      <w:pPr>
        <w:spacing w:after="120"/>
        <w:rPr>
          <w:b/>
          <w:bCs/>
        </w:rPr>
      </w:pPr>
      <w:r w:rsidRPr="00061060">
        <w:rPr>
          <w:b/>
          <w:bCs/>
        </w:rPr>
        <w:t>Assets Test</w:t>
      </w:r>
    </w:p>
    <w:p w14:paraId="16FAA7E9" w14:textId="039D0A57" w:rsidR="00A04719" w:rsidRDefault="00A04719" w:rsidP="00A832DE">
      <w:pPr>
        <w:spacing w:after="120"/>
      </w:pPr>
      <w:r>
        <w:t>Waived.</w:t>
      </w:r>
    </w:p>
    <w:p w14:paraId="5ED11458" w14:textId="5325B84F"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3577B815" w:rsidR="00A832DE" w:rsidRPr="00A832DE" w:rsidRDefault="00A832DE" w:rsidP="00A832DE">
      <w:pPr>
        <w:jc w:val="center"/>
        <w:rPr>
          <w:rFonts w:ascii="Arial Narrow" w:hAnsi="Arial Narrow" w:cs="Calibri"/>
          <w:b/>
        </w:rPr>
      </w:pPr>
      <w:bookmarkStart w:id="27" w:name="_Hlk526340524"/>
      <w:commentRangeStart w:id="28"/>
      <w:r w:rsidRPr="00A832DE">
        <w:rPr>
          <w:rFonts w:ascii="Arial Narrow" w:hAnsi="Arial Narrow" w:cs="Calibri"/>
          <w:b/>
        </w:rPr>
        <w:t xml:space="preserve">Effective </w:t>
      </w:r>
      <w:r w:rsidR="00630ED6">
        <w:rPr>
          <w:rFonts w:ascii="Arial Narrow" w:hAnsi="Arial Narrow" w:cs="Calibri"/>
          <w:b/>
        </w:rPr>
        <w:t>date has not been advised;</w:t>
      </w:r>
      <w:r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Pr="00A832DE">
        <w:rPr>
          <w:rFonts w:ascii="Arial Narrow" w:hAnsi="Arial Narrow" w:cs="Calibri"/>
          <w:b/>
        </w:rPr>
        <w:t>:</w:t>
      </w:r>
      <w:commentRangeEnd w:id="28"/>
      <w:r>
        <w:rPr>
          <w:rStyle w:val="CommentReference"/>
          <w:color w:val="auto"/>
          <w:lang w:val="en-AU" w:eastAsia="ja-JP"/>
        </w:rPr>
        <w:commentReference w:id="28"/>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4CDDDEE3"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7"/>
    </w:tbl>
    <w:p w14:paraId="31356ED8" w14:textId="69EA1C3F" w:rsidR="00D91721" w:rsidRDefault="00D91721" w:rsidP="00D91721"/>
    <w:p w14:paraId="71C82BD1" w14:textId="4A3A9FA0" w:rsidR="00792AF1" w:rsidRDefault="00792AF1" w:rsidP="00061060">
      <w:pPr>
        <w:pStyle w:val="Heading2"/>
        <w:rPr>
          <w:rFonts w:eastAsia="Times New Roman"/>
          <w:lang w:eastAsia="en-AU"/>
        </w:rPr>
      </w:pPr>
      <w:bookmarkStart w:id="29" w:name="_Toc46316016"/>
      <w:r w:rsidRPr="00792AF1">
        <w:rPr>
          <w:rFonts w:eastAsia="Times New Roman"/>
          <w:lang w:eastAsia="en-AU"/>
        </w:rPr>
        <w:t xml:space="preserve">Planned Changes to </w:t>
      </w:r>
      <w:proofErr w:type="spellStart"/>
      <w:r w:rsidRPr="00792AF1">
        <w:rPr>
          <w:rFonts w:eastAsia="Times New Roman"/>
          <w:lang w:eastAsia="en-AU"/>
        </w:rPr>
        <w:t>Job</w:t>
      </w:r>
      <w:r w:rsidR="0026390C">
        <w:rPr>
          <w:rFonts w:eastAsia="Times New Roman"/>
          <w:lang w:eastAsia="en-AU"/>
        </w:rPr>
        <w:t>S</w:t>
      </w:r>
      <w:r w:rsidRPr="00792AF1">
        <w:rPr>
          <w:rFonts w:eastAsia="Times New Roman"/>
          <w:lang w:eastAsia="en-AU"/>
        </w:rPr>
        <w:t>ee</w:t>
      </w:r>
      <w:r w:rsidR="0026390C">
        <w:rPr>
          <w:rFonts w:eastAsia="Times New Roman"/>
          <w:lang w:eastAsia="en-AU"/>
        </w:rPr>
        <w:t>k</w:t>
      </w:r>
      <w:r w:rsidRPr="00792AF1">
        <w:rPr>
          <w:rFonts w:eastAsia="Times New Roman"/>
          <w:lang w:eastAsia="en-AU"/>
        </w:rPr>
        <w:t>er</w:t>
      </w:r>
      <w:proofErr w:type="spellEnd"/>
      <w:r>
        <w:rPr>
          <w:rFonts w:eastAsia="Times New Roman"/>
          <w:lang w:eastAsia="en-AU"/>
        </w:rPr>
        <w:t xml:space="preserve"> Payment</w:t>
      </w:r>
      <w:bookmarkEnd w:id="29"/>
    </w:p>
    <w:p w14:paraId="02E000C1" w14:textId="254374B3" w:rsidR="00A30A18" w:rsidRDefault="00792AF1" w:rsidP="00792AF1">
      <w:pPr>
        <w:rPr>
          <w:rFonts w:asciiTheme="minorHAnsi" w:hAnsiTheme="minorHAnsi" w:cstheme="minorHAnsi"/>
          <w:szCs w:val="20"/>
        </w:rPr>
      </w:pPr>
      <w:proofErr w:type="spellStart"/>
      <w:r w:rsidRPr="00792AF1">
        <w:rPr>
          <w:rFonts w:asciiTheme="minorHAnsi" w:hAnsiTheme="minorHAnsi" w:cstheme="minorHAnsi"/>
          <w:szCs w:val="20"/>
          <w:u w:val="single"/>
        </w:rPr>
        <w:t>JobSeeker</w:t>
      </w:r>
      <w:proofErr w:type="spellEnd"/>
      <w:r w:rsidRPr="00792AF1">
        <w:rPr>
          <w:rFonts w:asciiTheme="minorHAnsi" w:hAnsiTheme="minorHAnsi" w:cstheme="minorHAnsi"/>
          <w:szCs w:val="20"/>
          <w:u w:val="single"/>
        </w:rPr>
        <w:t xml:space="preserve">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measures including the Coronavirus Supplement will be extended until 31 Decemb</w:t>
      </w:r>
      <w:r w:rsidR="00A30A18">
        <w:rPr>
          <w:rFonts w:asciiTheme="minorHAnsi" w:hAnsiTheme="minorHAnsi" w:cstheme="minorHAnsi"/>
          <w:szCs w:val="20"/>
        </w:rPr>
        <w:t>er.</w:t>
      </w:r>
      <w:r w:rsidRPr="00792AF1">
        <w:rPr>
          <w:rFonts w:asciiTheme="minorHAnsi" w:hAnsiTheme="minorHAnsi" w:cstheme="minorHAnsi"/>
          <w:szCs w:val="20"/>
        </w:rPr>
        <w:br/>
      </w:r>
    </w:p>
    <w:p w14:paraId="57F3A421" w14:textId="271244A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The following applies from 25 September to 31 December 2020:</w:t>
      </w:r>
      <w:r w:rsidRPr="00792AF1">
        <w:rPr>
          <w:rFonts w:asciiTheme="minorHAnsi" w:hAnsiTheme="minorHAnsi" w:cstheme="minorHAnsi"/>
          <w:color w:val="5C5C5C"/>
          <w:szCs w:val="20"/>
        </w:rPr>
        <w:t xml:space="preserve"> </w:t>
      </w:r>
    </w:p>
    <w:p w14:paraId="38EC5A82" w14:textId="6A06BEFF"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 $250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Expanded access to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Personal income test - Income free area for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increase to $300 per fortnight and a single taper rate of 60 cents will apply</w:t>
      </w:r>
    </w:p>
    <w:p w14:paraId="21C11B94"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Partner income test - partner income test cut-off will increase to $3,086.11 per fortnight, or $80,238.89 per annum, for individuals with no personal income</w:t>
      </w:r>
    </w:p>
    <w:p w14:paraId="6776B9F1" w14:textId="084BCDEB" w:rsidR="00AA74BD" w:rsidRPr="00792AF1" w:rsidRDefault="00792AF1" w:rsidP="00061060">
      <w:pPr>
        <w:rPr>
          <w:szCs w:val="20"/>
        </w:rPr>
      </w:pPr>
      <w:r w:rsidRPr="00792AF1">
        <w:rPr>
          <w:rFonts w:asciiTheme="minorHAnsi" w:hAnsiTheme="minorHAnsi" w:cstheme="minorHAnsi"/>
          <w:szCs w:val="20"/>
        </w:rPr>
        <w:t xml:space="preserve">However not all </w:t>
      </w:r>
      <w:proofErr w:type="spellStart"/>
      <w:r w:rsidRPr="00792AF1">
        <w:rPr>
          <w:rFonts w:asciiTheme="minorHAnsi" w:hAnsiTheme="minorHAnsi" w:cstheme="minorHAnsi"/>
          <w:szCs w:val="20"/>
        </w:rPr>
        <w:t>JobSeeker</w:t>
      </w:r>
      <w:proofErr w:type="spellEnd"/>
      <w:r w:rsidRPr="00792AF1">
        <w:rPr>
          <w:rFonts w:asciiTheme="minorHAnsi" w:hAnsiTheme="minorHAnsi" w:cstheme="minorHAnsi"/>
          <w:szCs w:val="20"/>
        </w:rPr>
        <w:t xml:space="preserve"> Payment measures were extended.  Importantly, the assets test and the Liquid Assets Waiting Period will be reinstated from 25 September 2020.</w:t>
      </w:r>
    </w:p>
    <w:p w14:paraId="27DC3A8B" w14:textId="77777777" w:rsidR="00C8527C" w:rsidRPr="00061060" w:rsidRDefault="00C8527C" w:rsidP="00061060"/>
    <w:p w14:paraId="20335A47" w14:textId="4A8D890F" w:rsidR="00D91721" w:rsidRDefault="00D91721">
      <w:pPr>
        <w:pStyle w:val="Heading2"/>
      </w:pPr>
      <w:bookmarkStart w:id="30" w:name="_Toc46316017"/>
      <w:commentRangeStart w:id="31"/>
      <w:r>
        <w:t>Economic Support Payments</w:t>
      </w:r>
      <w:bookmarkEnd w:id="30"/>
    </w:p>
    <w:p w14:paraId="547CFC1B" w14:textId="334EC46C" w:rsidR="00D91721" w:rsidRDefault="00D91721" w:rsidP="00D91721">
      <w:r>
        <w:t>The Government is providing two separate $750 economic support payments to social security, veteran and other income support recipients and eligible concession card holders.</w:t>
      </w:r>
      <w:commentRangeEnd w:id="31"/>
      <w:r w:rsidR="00E267BA">
        <w:rPr>
          <w:rStyle w:val="CommentReference"/>
          <w:color w:val="auto"/>
          <w:lang w:val="en-AU" w:eastAsia="ja-JP"/>
        </w:rPr>
        <w:commentReference w:id="31"/>
      </w:r>
    </w:p>
    <w:p w14:paraId="6FD234FB" w14:textId="6E47618A" w:rsidR="00B07762" w:rsidRDefault="00B07762" w:rsidP="00D91721"/>
    <w:p w14:paraId="4375DBC0" w14:textId="0D0F402E" w:rsidR="00B07762" w:rsidRDefault="00B07762" w:rsidP="00B07762">
      <w:pPr>
        <w:pStyle w:val="ListParagraph"/>
        <w:numPr>
          <w:ilvl w:val="0"/>
          <w:numId w:val="55"/>
        </w:numPr>
      </w:pPr>
      <w:r>
        <w:t>The first payment was paid automatically from 31 March 2020.</w:t>
      </w:r>
    </w:p>
    <w:p w14:paraId="1D1DE7C6" w14:textId="5D364216" w:rsidR="00B07762" w:rsidRDefault="00B07762" w:rsidP="00B07762">
      <w:pPr>
        <w:pStyle w:val="ListParagraph"/>
        <w:numPr>
          <w:ilvl w:val="0"/>
          <w:numId w:val="55"/>
        </w:numPr>
      </w:pPr>
      <w:r>
        <w:t>The second payment will be paid automatically from 13 July 2020</w:t>
      </w:r>
      <w:r w:rsidR="00AA74BD">
        <w:t>.</w:t>
      </w:r>
    </w:p>
    <w:p w14:paraId="2DAA0F54" w14:textId="59E44D85" w:rsidR="00B07762" w:rsidRDefault="00B07762" w:rsidP="00B07762"/>
    <w:p w14:paraId="5B6637AC" w14:textId="77777777" w:rsidR="00AA74BD" w:rsidRDefault="00B07762" w:rsidP="00B07762">
      <w:r>
        <w:t>To qualify for the first payment, an individual:</w:t>
      </w:r>
    </w:p>
    <w:p w14:paraId="79279504" w14:textId="5C146ED6" w:rsidR="00AA74BD" w:rsidRDefault="00B07762" w:rsidP="00B07762">
      <w:r>
        <w:t xml:space="preserve"> </w:t>
      </w:r>
      <w:r w:rsidR="00F87751">
        <w:tab/>
      </w:r>
      <w:r>
        <w:sym w:font="Symbol" w:char="F0B7"/>
      </w:r>
      <w:r>
        <w:t xml:space="preserve"> must</w:t>
      </w:r>
      <w:r w:rsidR="002448BE">
        <w:t xml:space="preserve"> have</w:t>
      </w:r>
      <w:r>
        <w:t xml:space="preserve"> be</w:t>
      </w:r>
      <w:r w:rsidR="002448BE">
        <w:t>en</w:t>
      </w:r>
      <w:r>
        <w:t xml:space="preserve"> res</w:t>
      </w:r>
      <w:r w:rsidR="002448BE">
        <w:t>ident</w:t>
      </w:r>
      <w:r>
        <w:t xml:space="preserve"> in Australi</w:t>
      </w:r>
      <w:r w:rsidR="002448BE">
        <w:t>a</w:t>
      </w:r>
    </w:p>
    <w:p w14:paraId="774657C2" w14:textId="6087DD55" w:rsidR="00AA74BD" w:rsidRDefault="00B07762" w:rsidP="00061060">
      <w:pPr>
        <w:ind w:left="720"/>
      </w:pPr>
      <w:r>
        <w:sym w:font="Symbol" w:char="F0B7"/>
      </w:r>
      <w:r>
        <w:t xml:space="preserve"> must have </w:t>
      </w:r>
      <w:r w:rsidR="002448BE">
        <w:t>been</w:t>
      </w:r>
      <w:r>
        <w:t xml:space="preserve"> </w:t>
      </w:r>
      <w:r w:rsidR="002448BE">
        <w:t>a</w:t>
      </w:r>
      <w:r>
        <w:t xml:space="preserve"> </w:t>
      </w:r>
      <w:r w:rsidR="002448BE">
        <w:t xml:space="preserve">Centrelink or DVA pensioner or </w:t>
      </w:r>
      <w:proofErr w:type="spellStart"/>
      <w:r w:rsidR="002448BE">
        <w:t>allowee</w:t>
      </w:r>
      <w:proofErr w:type="spellEnd"/>
      <w:r w:rsidR="002448BE">
        <w:t xml:space="preserve"> or held a Commonwealth concession card.</w:t>
      </w:r>
    </w:p>
    <w:p w14:paraId="5FBE9A96" w14:textId="33213014" w:rsidR="00AA74BD" w:rsidRDefault="00AA74BD" w:rsidP="00B07762"/>
    <w:p w14:paraId="1B3E3DB8" w14:textId="0D513E84" w:rsidR="002448BE" w:rsidRDefault="002448BE" w:rsidP="00B07762">
      <w:r>
        <w:t>To qualify for the second payment, an individual must have been receiving from 10 July 2020:</w:t>
      </w:r>
    </w:p>
    <w:p w14:paraId="3797A2A9" w14:textId="77777777" w:rsidR="002448BE" w:rsidRPr="00061060" w:rsidRDefault="002448BE" w:rsidP="00061060">
      <w:pPr>
        <w:pStyle w:val="ListParagraph"/>
        <w:numPr>
          <w:ilvl w:val="0"/>
          <w:numId w:val="55"/>
        </w:numPr>
      </w:pPr>
      <w:r w:rsidRPr="00061060">
        <w:t>Age Pension</w:t>
      </w:r>
    </w:p>
    <w:p w14:paraId="4F47F16E" w14:textId="77777777" w:rsidR="002448BE" w:rsidRPr="00061060" w:rsidRDefault="002448BE" w:rsidP="00061060">
      <w:pPr>
        <w:pStyle w:val="ListParagraph"/>
        <w:numPr>
          <w:ilvl w:val="0"/>
          <w:numId w:val="55"/>
        </w:numPr>
      </w:pPr>
      <w:r w:rsidRPr="00061060">
        <w:t>Bereavement Allowance</w:t>
      </w:r>
    </w:p>
    <w:p w14:paraId="1605E01B" w14:textId="77777777" w:rsidR="002448BE" w:rsidRPr="00061060" w:rsidRDefault="002448BE" w:rsidP="00061060">
      <w:pPr>
        <w:pStyle w:val="ListParagraph"/>
        <w:numPr>
          <w:ilvl w:val="0"/>
          <w:numId w:val="55"/>
        </w:numPr>
      </w:pPr>
      <w:r w:rsidRPr="00061060">
        <w:t>Carer Allowance</w:t>
      </w:r>
    </w:p>
    <w:p w14:paraId="7A7328CC" w14:textId="77777777" w:rsidR="002448BE" w:rsidRPr="00061060" w:rsidRDefault="002448BE" w:rsidP="00061060">
      <w:pPr>
        <w:pStyle w:val="ListParagraph"/>
        <w:numPr>
          <w:ilvl w:val="0"/>
          <w:numId w:val="55"/>
        </w:numPr>
      </w:pPr>
      <w:r w:rsidRPr="00061060">
        <w:t>Carer Payment</w:t>
      </w:r>
    </w:p>
    <w:p w14:paraId="2EF114C5" w14:textId="77777777" w:rsidR="002448BE" w:rsidRPr="00061060" w:rsidRDefault="002448BE" w:rsidP="00061060">
      <w:pPr>
        <w:pStyle w:val="ListParagraph"/>
        <w:numPr>
          <w:ilvl w:val="0"/>
          <w:numId w:val="55"/>
        </w:numPr>
      </w:pPr>
      <w:r w:rsidRPr="00061060">
        <w:t>Commonwealth Seniors Health Card</w:t>
      </w:r>
    </w:p>
    <w:p w14:paraId="71B68A60" w14:textId="77777777" w:rsidR="002448BE" w:rsidRPr="00061060" w:rsidRDefault="002448BE" w:rsidP="00061060">
      <w:pPr>
        <w:pStyle w:val="ListParagraph"/>
        <w:numPr>
          <w:ilvl w:val="0"/>
          <w:numId w:val="55"/>
        </w:numPr>
      </w:pPr>
      <w:r w:rsidRPr="00061060">
        <w:t>Disability Support Pension</w:t>
      </w:r>
    </w:p>
    <w:p w14:paraId="02E789A7" w14:textId="77777777" w:rsidR="002448BE" w:rsidRPr="00061060" w:rsidRDefault="002448BE" w:rsidP="00061060">
      <w:pPr>
        <w:pStyle w:val="ListParagraph"/>
        <w:numPr>
          <w:ilvl w:val="0"/>
          <w:numId w:val="55"/>
        </w:numPr>
      </w:pPr>
      <w:r w:rsidRPr="00061060">
        <w:t>Double Orphan Pension</w:t>
      </w:r>
    </w:p>
    <w:p w14:paraId="07987A0D" w14:textId="77777777" w:rsidR="002448BE" w:rsidRPr="00061060" w:rsidRDefault="002448BE" w:rsidP="00061060">
      <w:pPr>
        <w:pStyle w:val="ListParagraph"/>
        <w:numPr>
          <w:ilvl w:val="0"/>
          <w:numId w:val="55"/>
        </w:numPr>
      </w:pPr>
      <w:r w:rsidRPr="00061060">
        <w:t>Family Tax Benefit A</w:t>
      </w:r>
    </w:p>
    <w:p w14:paraId="7F8F08E8" w14:textId="77777777" w:rsidR="002448BE" w:rsidRPr="00061060" w:rsidRDefault="002448BE" w:rsidP="00061060">
      <w:pPr>
        <w:pStyle w:val="ListParagraph"/>
        <w:numPr>
          <w:ilvl w:val="0"/>
          <w:numId w:val="55"/>
        </w:numPr>
      </w:pPr>
      <w:r w:rsidRPr="00061060">
        <w:t>Family Tax Benefit B</w:t>
      </w:r>
    </w:p>
    <w:p w14:paraId="2D55A85B" w14:textId="77777777" w:rsidR="002448BE" w:rsidRPr="00061060" w:rsidRDefault="002448BE" w:rsidP="00061060">
      <w:pPr>
        <w:pStyle w:val="ListParagraph"/>
        <w:numPr>
          <w:ilvl w:val="0"/>
          <w:numId w:val="55"/>
        </w:numPr>
      </w:pPr>
      <w:r w:rsidRPr="00061060">
        <w:t>Pensioner Concession Card.</w:t>
      </w:r>
    </w:p>
    <w:p w14:paraId="7E9FA7E1" w14:textId="77777777" w:rsidR="00AA74BD" w:rsidRDefault="00AA74BD" w:rsidP="00061060"/>
    <w:p w14:paraId="2DD3BB71" w14:textId="7B4250B4" w:rsidR="00D91721" w:rsidRDefault="00D91721">
      <w:pPr>
        <w:pStyle w:val="Heading2"/>
      </w:pPr>
      <w:bookmarkStart w:id="32" w:name="_Toc46316018"/>
      <w:r>
        <w:t>Coronavirus Supplement</w:t>
      </w:r>
      <w:bookmarkEnd w:id="32"/>
    </w:p>
    <w:p w14:paraId="006F677F" w14:textId="35E045B5" w:rsidR="00D91721" w:rsidRDefault="00615AAC" w:rsidP="00D91721">
      <w:r>
        <w:t>Between</w:t>
      </w:r>
      <w:r w:rsidR="00657E19">
        <w:t xml:space="preserve"> 27 April 2020 and 24 September 2020, a Coronavirus supplement of $550 per fortnight applied to increase the rate of certain social security payments. This supplement will be paid to both existing and new recipients.</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w:t>
      </w:r>
      <w:proofErr w:type="spellStart"/>
      <w:r>
        <w:t>Austudy</w:t>
      </w:r>
      <w:proofErr w:type="spellEnd"/>
      <w:r>
        <w:t xml:space="preserve">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62089CCA" w:rsidR="00AA74BD" w:rsidRDefault="00AA74BD" w:rsidP="00D91721">
      <w:r>
        <w:t>Anyone who is eligible for the Coronavirus supplement will receive the full rate of the supplement of $550 per fortnight. For example, a person who qualifies for only $10 per fortnight of Jobseeker Payment will have their rate of payment increased by $550 per fortnight during the period from 27 April to 24 September. Note - people that qualify for the Coronavirus supplement will not be eligible for the second $750 stimulus payment. The Coronavirus supplement is assessable income for tax purposes; however, the recipient may be entitled to the beneficiary tax offset to reduce the amount of tax payable</w:t>
      </w:r>
      <w:r w:rsidR="0080342D">
        <w:t>.</w:t>
      </w:r>
    </w:p>
    <w:p w14:paraId="08AC85B1" w14:textId="77777777" w:rsidR="00AA74BD" w:rsidRDefault="00AA74BD" w:rsidP="00D91721"/>
    <w:p w14:paraId="248FCDE1" w14:textId="55790656" w:rsidR="00657E19" w:rsidRDefault="00657E19">
      <w:pPr>
        <w:pStyle w:val="Heading2"/>
      </w:pPr>
      <w:bookmarkStart w:id="33" w:name="_Toc46316019"/>
      <w:r>
        <w:t>Electronic Identification and Witnessing of documents</w:t>
      </w:r>
      <w:bookmarkEnd w:id="33"/>
    </w:p>
    <w:p w14:paraId="1EF4E52A" w14:textId="4227C095" w:rsidR="00657E19" w:rsidRDefault="00657E19" w:rsidP="00657E19">
      <w:commentRangeStart w:id="34"/>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4"/>
      <w:r w:rsidR="00114635">
        <w:rPr>
          <w:rStyle w:val="CommentReference"/>
          <w:color w:val="auto"/>
          <w:lang w:val="en-AU" w:eastAsia="ja-JP"/>
        </w:rPr>
        <w:commentReference w:id="34"/>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061060">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061060"/>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 xml:space="preserve">Be reasonably satisfied the document the witness signs </w:t>
      </w:r>
      <w:proofErr w:type="gramStart"/>
      <w:r>
        <w:t>is</w:t>
      </w:r>
      <w:proofErr w:type="gramEnd"/>
      <w:r>
        <w:t xml:space="preserve">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061060">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061060"/>
    <w:p w14:paraId="2AE1F3E0" w14:textId="0D2EF50E" w:rsidR="00EE5E39" w:rsidRDefault="00EE5E39">
      <w:pPr>
        <w:pStyle w:val="Heading2"/>
      </w:pPr>
      <w:bookmarkStart w:id="35" w:name="_Toc46316020"/>
      <w:r>
        <w:t>Limited Recourse Borrowing Arrangement (LRBA) relief</w:t>
      </w:r>
      <w:bookmarkEnd w:id="35"/>
    </w:p>
    <w:p w14:paraId="34164B3A" w14:textId="02F58440" w:rsidR="00EE5E39" w:rsidRDefault="00EE5E39" w:rsidP="00EE5E39">
      <w:commentRangeStart w:id="36"/>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6"/>
      <w:r w:rsidR="004A2200">
        <w:rPr>
          <w:rStyle w:val="CommentReference"/>
          <w:color w:val="auto"/>
          <w:lang w:val="en-AU" w:eastAsia="ja-JP"/>
        </w:rPr>
        <w:commentReference w:id="36"/>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1FDF3909"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1"/>
    <w:bookmarkEnd w:id="1"/>
    <w:bookmarkEnd w:id="2"/>
    <w:bookmarkEnd w:id="3"/>
    <w:bookmarkEnd w:id="4"/>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061060">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7"/>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7"/>
      <w:r>
        <w:rPr>
          <w:rStyle w:val="CommentReference"/>
          <w:color w:val="auto"/>
          <w:lang w:val="en-AU" w:eastAsia="ja-JP"/>
        </w:rPr>
        <w:commentReference w:id="37"/>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061060" w:rsidRDefault="00B9645B" w:rsidP="00061060">
      <w:pPr>
        <w:pStyle w:val="Heading2"/>
      </w:pPr>
      <w:bookmarkStart w:id="38" w:name="_Toc46316021"/>
      <w:r w:rsidRPr="00061060">
        <w:t>Maintaining</w:t>
      </w:r>
      <w:r w:rsidR="006D7E43" w:rsidRPr="00061060">
        <w:t xml:space="preserve"> a Cash Reserve</w:t>
      </w:r>
      <w:bookmarkEnd w:id="38"/>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w:t>
            </w:r>
            <w:proofErr w:type="gramStart"/>
            <w:r w:rsidRPr="005A2A69">
              <w:rPr>
                <w:rFonts w:cs="Calibri"/>
                <w:bCs/>
                <w:color w:val="FF0000"/>
                <w:w w:val="120"/>
                <w:szCs w:val="20"/>
                <w:lang w:val="en-AU"/>
              </w:rPr>
              <w:t>_,_</w:t>
            </w:r>
            <w:proofErr w:type="gramEnd"/>
            <w:r w:rsidRPr="005A2A69">
              <w:rPr>
                <w:rFonts w:cs="Calibri"/>
                <w:bCs/>
                <w:color w:val="FF0000"/>
                <w:w w:val="120"/>
                <w:szCs w:val="20"/>
                <w:lang w:val="en-AU"/>
              </w:rPr>
              <w:t>]</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w:t>
            </w:r>
            <w:proofErr w:type="gramStart"/>
            <w:r w:rsidR="00A91FB6" w:rsidRPr="005A2A69">
              <w:rPr>
                <w:rFonts w:cs="Calibri"/>
                <w:bCs/>
                <w:color w:val="FF0000"/>
                <w:w w:val="120"/>
                <w:szCs w:val="20"/>
                <w:lang w:val="en-AU"/>
              </w:rPr>
              <w:t>_]</w:t>
            </w:r>
            <w:r w:rsidR="00A91FB6" w:rsidRPr="005A2A69">
              <w:rPr>
                <w:rFonts w:cs="Calibri"/>
                <w:bCs/>
                <w:color w:val="auto"/>
                <w:w w:val="120"/>
                <w:szCs w:val="20"/>
                <w:lang w:val="en-AU"/>
              </w:rPr>
              <w:t>%</w:t>
            </w:r>
            <w:proofErr w:type="gramEnd"/>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200D6D92" w:rsidR="008C4A23" w:rsidRPr="00061060" w:rsidRDefault="008C4A23" w:rsidP="00061060">
      <w:pPr>
        <w:pStyle w:val="Heading2"/>
      </w:pPr>
      <w:bookmarkStart w:id="39" w:name="_Toc46316022"/>
      <w:r w:rsidRPr="00061060">
        <w:t>Implement a Reversionary Beneficiary</w:t>
      </w:r>
      <w:bookmarkEnd w:id="39"/>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29D12E18"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061060">
      <w:pPr>
        <w:pStyle w:val="Heading2"/>
      </w:pPr>
      <w:bookmarkStart w:id="40" w:name="_Toc46316023"/>
      <w:commentRangeStart w:id="41"/>
      <w:r w:rsidRPr="00DE4930">
        <w:t>Private Health Insurance</w:t>
      </w:r>
      <w:commentRangeEnd w:id="41"/>
      <w:r w:rsidR="00C83E03">
        <w:rPr>
          <w:rStyle w:val="CommentReference"/>
          <w:color w:val="auto"/>
          <w:lang w:eastAsia="ja-JP"/>
        </w:rPr>
        <w:commentReference w:id="41"/>
      </w:r>
      <w:bookmarkEnd w:id="40"/>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2"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3"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Lifetime Health Cover is an Australian Government initiative that lets you avoid paying higher premiums for private hospital cover. To be eligible for this you 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4"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5"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42" w:name=""/>
            <w:bookmarkEnd w:id="42"/>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6"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7"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18"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7777777" w:rsidR="00DE4930" w:rsidRPr="00061060" w:rsidRDefault="00DE4930" w:rsidP="00E24B15">
      <w:pPr>
        <w:pStyle w:val="Coding"/>
        <w:rPr>
          <w:color w:val="auto"/>
          <w:szCs w:val="20"/>
        </w:rPr>
      </w:pPr>
    </w:p>
    <w:sectPr w:rsidR="00DE4930" w:rsidRPr="00061060"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552882" w:rsidRDefault="00552882"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552882" w:rsidRDefault="00552882">
      <w:pPr>
        <w:pStyle w:val="CommentText"/>
      </w:pPr>
    </w:p>
  </w:comment>
  <w:comment w:id="17" w:author="Steven Kallona" w:date="2020-07-06T11:36:00Z" w:initials="SK">
    <w:p w14:paraId="0CFB133A" w14:textId="15B6D0C5" w:rsidR="00552882" w:rsidRDefault="00552882">
      <w:pPr>
        <w:pStyle w:val="CommentText"/>
      </w:pPr>
      <w:r>
        <w:rPr>
          <w:rStyle w:val="CommentReference"/>
        </w:rPr>
        <w:annotationRef/>
      </w:r>
      <w:hyperlink r:id="rId1" w:history="1">
        <w:r w:rsidRPr="002741B4">
          <w:rPr>
            <w:color w:val="0000FF"/>
            <w:szCs w:val="24"/>
            <w:u w:val="single"/>
            <w:lang w:val="en-NZ" w:eastAsia="ar-SA"/>
          </w:rPr>
          <w:t>https://www.ato.gov.au/individuals/super/withdrawing-and-using-your-super/early-access-to-your-super/</w:t>
        </w:r>
      </w:hyperlink>
    </w:p>
  </w:comment>
  <w:comment w:id="20" w:author="Steven Kallona" w:date="2020-07-22T09:55:00Z" w:initials="SK">
    <w:p w14:paraId="131D217B" w14:textId="7A5E4E3B" w:rsidR="00552882" w:rsidRDefault="00552882">
      <w:pPr>
        <w:pStyle w:val="CommentText"/>
      </w:pPr>
      <w:r>
        <w:rPr>
          <w:rStyle w:val="CommentReference"/>
        </w:rPr>
        <w:annotationRef/>
      </w:r>
      <w:hyperlink r:id="rId2" w:history="1">
        <w:r w:rsidRPr="00792AF1">
          <w:rPr>
            <w:color w:val="0000FF"/>
            <w:szCs w:val="24"/>
            <w:u w:val="single"/>
            <w:lang w:val="en-NZ" w:eastAsia="ar-SA"/>
          </w:rPr>
          <w:t>https://www.ato.gov.au/General/JobKeeper-Payment/JobKeeper-key-dates/</w:t>
        </w:r>
      </w:hyperlink>
    </w:p>
  </w:comment>
  <w:comment w:id="22" w:author="Steven Kallona" w:date="2020-07-13T11:15:00Z" w:initials="SK">
    <w:p w14:paraId="7D50065F" w14:textId="77777777" w:rsidR="00552882" w:rsidRDefault="00552882" w:rsidP="00B920CE">
      <w:pPr>
        <w:pStyle w:val="CommentText"/>
      </w:pPr>
      <w:r>
        <w:rPr>
          <w:rStyle w:val="CommentReference"/>
        </w:rPr>
        <w:annotationRef/>
      </w:r>
      <w:hyperlink r:id="rId3" w:history="1">
        <w:r w:rsidRPr="004B632C">
          <w:rPr>
            <w:color w:val="0000FF"/>
            <w:szCs w:val="24"/>
            <w:u w:val="single"/>
            <w:lang w:val="en-NZ" w:eastAsia="ar-SA"/>
          </w:rPr>
          <w:t>https://www.servicesaustralia.gov.au/individuals/services/centrelink/jobseeker-payment/what-your-commitments-are</w:t>
        </w:r>
      </w:hyperlink>
    </w:p>
  </w:comment>
  <w:comment w:id="24" w:author="Steven Kallona" w:date="2020-07-13T11:12:00Z" w:initials="SK">
    <w:p w14:paraId="72FC88F7" w14:textId="57EDC666" w:rsidR="00552882" w:rsidRDefault="00552882">
      <w:pPr>
        <w:pStyle w:val="CommentText"/>
      </w:pPr>
      <w:r>
        <w:rPr>
          <w:rStyle w:val="CommentReference"/>
        </w:rPr>
        <w:annotationRef/>
      </w:r>
      <w:hyperlink r:id="rId4" w:history="1">
        <w:r w:rsidRPr="004B632C">
          <w:rPr>
            <w:color w:val="0000FF"/>
            <w:szCs w:val="24"/>
            <w:u w:val="single"/>
            <w:lang w:val="en-NZ" w:eastAsia="ar-SA"/>
          </w:rPr>
          <w:t>https://www.servicesaustralia.gov.au/individuals/services/centrelink/jobseeker-payment/how-much-you-can-get</w:t>
        </w:r>
      </w:hyperlink>
    </w:p>
  </w:comment>
  <w:comment w:id="26" w:author="Steven Kallona" w:date="2020-07-13T11:01:00Z" w:initials="SK">
    <w:p w14:paraId="48CFEA42" w14:textId="66AC0894" w:rsidR="00552882" w:rsidRDefault="00552882">
      <w:pPr>
        <w:pStyle w:val="CommentText"/>
      </w:pPr>
      <w:r>
        <w:rPr>
          <w:rStyle w:val="CommentReference"/>
        </w:rPr>
        <w:annotationRef/>
      </w:r>
      <w:hyperlink r:id="rId5" w:history="1">
        <w:r w:rsidRPr="00A832DE">
          <w:rPr>
            <w:color w:val="0000FF"/>
            <w:szCs w:val="24"/>
            <w:u w:val="single"/>
            <w:lang w:val="en-NZ" w:eastAsia="ar-SA"/>
          </w:rPr>
          <w:t>https://www.servicesaustralia.gov.au/individuals/services/centrelink/jobseeker-payment/how-much-you-can-get/income-and-asset-limits</w:t>
        </w:r>
      </w:hyperlink>
    </w:p>
  </w:comment>
  <w:comment w:id="28" w:author="Steven Kallona" w:date="2020-07-13T11:05:00Z" w:initials="SK">
    <w:p w14:paraId="4C7B7656" w14:textId="3D55D708" w:rsidR="00552882" w:rsidRDefault="00552882">
      <w:pPr>
        <w:pStyle w:val="CommentText"/>
      </w:pPr>
      <w:r>
        <w:rPr>
          <w:rStyle w:val="CommentReference"/>
        </w:rPr>
        <w:annotationRef/>
      </w:r>
      <w:hyperlink r:id="rId6" w:history="1">
        <w:r w:rsidRPr="00A832DE">
          <w:rPr>
            <w:color w:val="0000FF"/>
            <w:szCs w:val="24"/>
            <w:u w:val="single"/>
            <w:lang w:val="en-NZ" w:eastAsia="ar-SA"/>
          </w:rPr>
          <w:t>https://www.servicesaustralia.gov.au/individuals/services/centrelink/jobseeker-payment/how-much-you-can-get/income-and-asset-limits</w:t>
        </w:r>
      </w:hyperlink>
    </w:p>
  </w:comment>
  <w:comment w:id="31" w:author="Shane Miller" w:date="2020-07-08T10:20:00Z" w:initials="SM">
    <w:p w14:paraId="5AAB85A7" w14:textId="2DD9304E" w:rsidR="00552882" w:rsidRDefault="00552882">
      <w:pPr>
        <w:pStyle w:val="CommentText"/>
      </w:pPr>
      <w:r>
        <w:rPr>
          <w:rStyle w:val="CommentReference"/>
        </w:rPr>
        <w:annotationRef/>
      </w:r>
      <w:hyperlink r:id="rId7" w:history="1">
        <w:r>
          <w:rPr>
            <w:rStyle w:val="Hyperlink"/>
          </w:rPr>
          <w:t>https://www.servicesaustralia.gov.au/individuals/services/centrelink/economic-support-payment/who-can-get-it</w:t>
        </w:r>
      </w:hyperlink>
    </w:p>
  </w:comment>
  <w:comment w:id="34" w:author="Steven Kallona" w:date="2020-07-13T14:32:00Z" w:initials="SK">
    <w:p w14:paraId="23B1F0A0" w14:textId="15937DA4" w:rsidR="00552882" w:rsidRDefault="00552882">
      <w:pPr>
        <w:pStyle w:val="CommentText"/>
      </w:pPr>
      <w:r>
        <w:rPr>
          <w:rStyle w:val="CommentReference"/>
        </w:rPr>
        <w:annotationRef/>
      </w:r>
      <w:hyperlink r:id="rId8"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6" w:author="Steven Kallona" w:date="2020-07-13T14:51:00Z" w:initials="SK">
    <w:p w14:paraId="67FD919C" w14:textId="45DBE75B" w:rsidR="00552882" w:rsidRDefault="00552882">
      <w:pPr>
        <w:pStyle w:val="CommentText"/>
      </w:pPr>
      <w:r>
        <w:rPr>
          <w:rStyle w:val="CommentReference"/>
        </w:rPr>
        <w:annotationRef/>
      </w:r>
      <w:hyperlink r:id="rId9"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7" w:author="Steven Kallona" w:date="2020-07-13T14:50:00Z" w:initials="SK">
    <w:p w14:paraId="09A6FA78" w14:textId="19598CF7" w:rsidR="00552882" w:rsidRDefault="00552882">
      <w:pPr>
        <w:pStyle w:val="CommentText"/>
      </w:pPr>
      <w:r>
        <w:rPr>
          <w:rStyle w:val="CommentReference"/>
        </w:rPr>
        <w:annotationRef/>
      </w:r>
      <w:hyperlink r:id="rId10"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1" w:author="Steven Kallona" w:date="2020-07-17T11:22:00Z" w:initials="SK">
    <w:p w14:paraId="202506EF" w14:textId="56084259" w:rsidR="00552882" w:rsidRDefault="00552882">
      <w:pPr>
        <w:pStyle w:val="CommentText"/>
      </w:pPr>
      <w:r>
        <w:rPr>
          <w:rStyle w:val="CommentReference"/>
        </w:rPr>
        <w:annotationRef/>
      </w:r>
      <w:r>
        <w:t xml:space="preserve"> </w:t>
      </w:r>
      <w:hyperlink r:id="rId11"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0CFB133A" w15:done="0"/>
  <w15:commentEx w15:paraId="131D217B" w15:done="0"/>
  <w15:commentEx w15:paraId="7D50065F" w15:done="0"/>
  <w15:commentEx w15:paraId="72FC88F7" w15:done="0"/>
  <w15:commentEx w15:paraId="48CFEA42" w15:done="0"/>
  <w15:commentEx w15:paraId="4C7B7656" w15:done="0"/>
  <w15:commentEx w15:paraId="5AAB85A7"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AD8B20" w16cex:dateUtc="2020-07-06T01:36:00Z"/>
  <w16cex:commentExtensible w16cex:durableId="22C28BA7" w16cex:dateUtc="2020-07-21T23:55:00Z"/>
  <w16cex:commentExtensible w16cex:durableId="22B99D96" w16cex:dateUtc="2020-07-13T01:15:00Z"/>
  <w16cex:commentExtensible w16cex:durableId="22B6C00E" w16cex:dateUtc="2020-07-13T01:12:00Z"/>
  <w16cex:commentExtensible w16cex:durableId="22B6BD79" w16cex:dateUtc="2020-07-13T01:01:00Z"/>
  <w16cex:commentExtensible w16cex:durableId="22B6BE71" w16cex:dateUtc="2020-07-13T01:05:00Z"/>
  <w16cex:commentExtensible w16cex:durableId="22B01C50" w16cex:dateUtc="2020-07-08T00:20: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0CFB133A" w16cid:durableId="22AD8B20"/>
  <w16cid:commentId w16cid:paraId="131D217B" w16cid:durableId="22C28BA7"/>
  <w16cid:commentId w16cid:paraId="7D50065F" w16cid:durableId="22B99D96"/>
  <w16cid:commentId w16cid:paraId="72FC88F7" w16cid:durableId="22B6C00E"/>
  <w16cid:commentId w16cid:paraId="48CFEA42" w16cid:durableId="22B6BD79"/>
  <w16cid:commentId w16cid:paraId="4C7B7656" w16cid:durableId="22B6BE71"/>
  <w16cid:commentId w16cid:paraId="5AAB85A7" w16cid:durableId="22B01C50"/>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552882" w:rsidRDefault="00552882">
      <w:r>
        <w:separator/>
      </w:r>
    </w:p>
  </w:endnote>
  <w:endnote w:type="continuationSeparator" w:id="0">
    <w:p w14:paraId="02D4A1D1" w14:textId="77777777" w:rsidR="00552882" w:rsidRDefault="005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552882" w:rsidRDefault="00552882">
      <w:r>
        <w:separator/>
      </w:r>
    </w:p>
  </w:footnote>
  <w:footnote w:type="continuationSeparator" w:id="0">
    <w:p w14:paraId="73F4E245" w14:textId="77777777" w:rsidR="00552882" w:rsidRDefault="0055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6"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4"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48"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3"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1"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6" w15:restartNumberingAfterBreak="0">
    <w:nsid w:val="6F4F6D2B"/>
    <w:multiLevelType w:val="hybridMultilevel"/>
    <w:tmpl w:val="0922A280"/>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7"/>
  </w:num>
  <w:num w:numId="4">
    <w:abstractNumId w:val="45"/>
  </w:num>
  <w:num w:numId="5">
    <w:abstractNumId w:val="4"/>
  </w:num>
  <w:num w:numId="6">
    <w:abstractNumId w:val="15"/>
  </w:num>
  <w:num w:numId="7">
    <w:abstractNumId w:val="38"/>
  </w:num>
  <w:num w:numId="8">
    <w:abstractNumId w:val="51"/>
  </w:num>
  <w:num w:numId="9">
    <w:abstractNumId w:val="1"/>
  </w:num>
  <w:num w:numId="10">
    <w:abstractNumId w:val="52"/>
  </w:num>
  <w:num w:numId="11">
    <w:abstractNumId w:val="33"/>
  </w:num>
  <w:num w:numId="12">
    <w:abstractNumId w:val="47"/>
  </w:num>
  <w:num w:numId="13">
    <w:abstractNumId w:val="71"/>
  </w:num>
  <w:num w:numId="14">
    <w:abstractNumId w:val="39"/>
  </w:num>
  <w:num w:numId="15">
    <w:abstractNumId w:val="34"/>
  </w:num>
  <w:num w:numId="16">
    <w:abstractNumId w:val="72"/>
  </w:num>
  <w:num w:numId="17">
    <w:abstractNumId w:val="16"/>
  </w:num>
  <w:num w:numId="18">
    <w:abstractNumId w:val="20"/>
  </w:num>
  <w:num w:numId="19">
    <w:abstractNumId w:val="53"/>
  </w:num>
  <w:num w:numId="20">
    <w:abstractNumId w:val="75"/>
  </w:num>
  <w:num w:numId="21">
    <w:abstractNumId w:val="5"/>
  </w:num>
  <w:num w:numId="22">
    <w:abstractNumId w:val="10"/>
  </w:num>
  <w:num w:numId="23">
    <w:abstractNumId w:val="49"/>
  </w:num>
  <w:num w:numId="24">
    <w:abstractNumId w:val="35"/>
  </w:num>
  <w:num w:numId="25">
    <w:abstractNumId w:val="59"/>
  </w:num>
  <w:num w:numId="26">
    <w:abstractNumId w:val="65"/>
  </w:num>
  <w:num w:numId="27">
    <w:abstractNumId w:val="62"/>
  </w:num>
  <w:num w:numId="28">
    <w:abstractNumId w:val="46"/>
  </w:num>
  <w:num w:numId="29">
    <w:abstractNumId w:val="12"/>
  </w:num>
  <w:num w:numId="30">
    <w:abstractNumId w:val="8"/>
  </w:num>
  <w:num w:numId="31">
    <w:abstractNumId w:val="14"/>
  </w:num>
  <w:num w:numId="32">
    <w:abstractNumId w:val="73"/>
  </w:num>
  <w:num w:numId="33">
    <w:abstractNumId w:val="28"/>
  </w:num>
  <w:num w:numId="34">
    <w:abstractNumId w:val="55"/>
  </w:num>
  <w:num w:numId="35">
    <w:abstractNumId w:val="22"/>
  </w:num>
  <w:num w:numId="36">
    <w:abstractNumId w:val="3"/>
  </w:num>
  <w:num w:numId="37">
    <w:abstractNumId w:val="56"/>
  </w:num>
  <w:num w:numId="38">
    <w:abstractNumId w:val="2"/>
  </w:num>
  <w:num w:numId="39">
    <w:abstractNumId w:val="25"/>
  </w:num>
  <w:num w:numId="40">
    <w:abstractNumId w:val="26"/>
  </w:num>
  <w:num w:numId="41">
    <w:abstractNumId w:val="67"/>
  </w:num>
  <w:num w:numId="42">
    <w:abstractNumId w:val="64"/>
  </w:num>
  <w:num w:numId="43">
    <w:abstractNumId w:val="32"/>
  </w:num>
  <w:num w:numId="44">
    <w:abstractNumId w:val="63"/>
  </w:num>
  <w:num w:numId="45">
    <w:abstractNumId w:val="30"/>
  </w:num>
  <w:num w:numId="46">
    <w:abstractNumId w:val="18"/>
  </w:num>
  <w:num w:numId="47">
    <w:abstractNumId w:val="36"/>
  </w:num>
  <w:num w:numId="48">
    <w:abstractNumId w:val="29"/>
  </w:num>
  <w:num w:numId="49">
    <w:abstractNumId w:val="54"/>
  </w:num>
  <w:num w:numId="50">
    <w:abstractNumId w:val="24"/>
  </w:num>
  <w:num w:numId="51">
    <w:abstractNumId w:val="7"/>
  </w:num>
  <w:num w:numId="52">
    <w:abstractNumId w:val="9"/>
  </w:num>
  <w:num w:numId="53">
    <w:abstractNumId w:val="23"/>
  </w:num>
  <w:num w:numId="54">
    <w:abstractNumId w:val="6"/>
  </w:num>
  <w:num w:numId="55">
    <w:abstractNumId w:val="66"/>
  </w:num>
  <w:num w:numId="56">
    <w:abstractNumId w:val="70"/>
  </w:num>
  <w:num w:numId="57">
    <w:abstractNumId w:val="19"/>
  </w:num>
  <w:num w:numId="58">
    <w:abstractNumId w:val="69"/>
  </w:num>
  <w:num w:numId="59">
    <w:abstractNumId w:val="48"/>
  </w:num>
  <w:num w:numId="60">
    <w:abstractNumId w:val="60"/>
  </w:num>
  <w:num w:numId="61">
    <w:abstractNumId w:val="40"/>
  </w:num>
  <w:num w:numId="62">
    <w:abstractNumId w:val="41"/>
  </w:num>
  <w:num w:numId="63">
    <w:abstractNumId w:val="58"/>
  </w:num>
  <w:num w:numId="64">
    <w:abstractNumId w:val="68"/>
  </w:num>
  <w:num w:numId="65">
    <w:abstractNumId w:val="61"/>
  </w:num>
  <w:num w:numId="66">
    <w:abstractNumId w:val="31"/>
  </w:num>
  <w:num w:numId="67">
    <w:abstractNumId w:val="13"/>
  </w:num>
  <w:num w:numId="68">
    <w:abstractNumId w:val="37"/>
  </w:num>
  <w:num w:numId="69">
    <w:abstractNumId w:val="27"/>
  </w:num>
  <w:num w:numId="70">
    <w:abstractNumId w:val="50"/>
  </w:num>
  <w:num w:numId="71">
    <w:abstractNumId w:val="42"/>
  </w:num>
  <w:num w:numId="72">
    <w:abstractNumId w:val="74"/>
  </w:num>
  <w:num w:numId="73">
    <w:abstractNumId w:val="21"/>
  </w:num>
  <w:num w:numId="74">
    <w:abstractNumId w:val="43"/>
  </w:num>
  <w:num w:numId="75">
    <w:abstractNumId w:val="17"/>
  </w:num>
  <w:num w:numId="76">
    <w:abstractNumId w:val="4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360B3"/>
    <w:rsid w:val="00036869"/>
    <w:rsid w:val="000455C6"/>
    <w:rsid w:val="00047696"/>
    <w:rsid w:val="000500B1"/>
    <w:rsid w:val="00050F3D"/>
    <w:rsid w:val="00056A49"/>
    <w:rsid w:val="00061060"/>
    <w:rsid w:val="00061D31"/>
    <w:rsid w:val="00084824"/>
    <w:rsid w:val="00087A98"/>
    <w:rsid w:val="00090A51"/>
    <w:rsid w:val="000924A2"/>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E1C94"/>
    <w:rsid w:val="001F0066"/>
    <w:rsid w:val="00205D33"/>
    <w:rsid w:val="0022071F"/>
    <w:rsid w:val="002214CD"/>
    <w:rsid w:val="00227E01"/>
    <w:rsid w:val="002316B8"/>
    <w:rsid w:val="00237873"/>
    <w:rsid w:val="002448BE"/>
    <w:rsid w:val="00247562"/>
    <w:rsid w:val="00252671"/>
    <w:rsid w:val="00256296"/>
    <w:rsid w:val="0026277C"/>
    <w:rsid w:val="0026390C"/>
    <w:rsid w:val="002741B4"/>
    <w:rsid w:val="00295413"/>
    <w:rsid w:val="00295D20"/>
    <w:rsid w:val="00296A1B"/>
    <w:rsid w:val="002A1294"/>
    <w:rsid w:val="002B1739"/>
    <w:rsid w:val="002B26FF"/>
    <w:rsid w:val="002C01AB"/>
    <w:rsid w:val="002C3570"/>
    <w:rsid w:val="002C6EA5"/>
    <w:rsid w:val="002D3F16"/>
    <w:rsid w:val="002D5AD9"/>
    <w:rsid w:val="002D5FDA"/>
    <w:rsid w:val="002D73AA"/>
    <w:rsid w:val="002E229B"/>
    <w:rsid w:val="002E4452"/>
    <w:rsid w:val="002E7814"/>
    <w:rsid w:val="002F407E"/>
    <w:rsid w:val="002F7665"/>
    <w:rsid w:val="00302703"/>
    <w:rsid w:val="00302D8A"/>
    <w:rsid w:val="003043F8"/>
    <w:rsid w:val="00304FFA"/>
    <w:rsid w:val="00306C2A"/>
    <w:rsid w:val="0031219E"/>
    <w:rsid w:val="00327761"/>
    <w:rsid w:val="00354DD6"/>
    <w:rsid w:val="003654BE"/>
    <w:rsid w:val="00367657"/>
    <w:rsid w:val="00377659"/>
    <w:rsid w:val="00387E22"/>
    <w:rsid w:val="00394F43"/>
    <w:rsid w:val="003A7677"/>
    <w:rsid w:val="003B135F"/>
    <w:rsid w:val="003B1F5F"/>
    <w:rsid w:val="003C4C68"/>
    <w:rsid w:val="003D450F"/>
    <w:rsid w:val="003D6E89"/>
    <w:rsid w:val="003F3ACE"/>
    <w:rsid w:val="004048F7"/>
    <w:rsid w:val="00406242"/>
    <w:rsid w:val="0041327E"/>
    <w:rsid w:val="00421555"/>
    <w:rsid w:val="004267C4"/>
    <w:rsid w:val="00437140"/>
    <w:rsid w:val="00446AD6"/>
    <w:rsid w:val="00451368"/>
    <w:rsid w:val="004643BA"/>
    <w:rsid w:val="004679C3"/>
    <w:rsid w:val="00482DB8"/>
    <w:rsid w:val="0048493D"/>
    <w:rsid w:val="00486F4F"/>
    <w:rsid w:val="004907BE"/>
    <w:rsid w:val="004958BF"/>
    <w:rsid w:val="004958DF"/>
    <w:rsid w:val="004969E9"/>
    <w:rsid w:val="004A2200"/>
    <w:rsid w:val="004B0CD3"/>
    <w:rsid w:val="004B632C"/>
    <w:rsid w:val="004B63DC"/>
    <w:rsid w:val="004B7D18"/>
    <w:rsid w:val="004B7FA3"/>
    <w:rsid w:val="004C0404"/>
    <w:rsid w:val="004D2F6F"/>
    <w:rsid w:val="004E0AA3"/>
    <w:rsid w:val="004F51AE"/>
    <w:rsid w:val="004F7D87"/>
    <w:rsid w:val="00500687"/>
    <w:rsid w:val="005132FF"/>
    <w:rsid w:val="00527FA4"/>
    <w:rsid w:val="00535397"/>
    <w:rsid w:val="00552882"/>
    <w:rsid w:val="005575FE"/>
    <w:rsid w:val="0056405C"/>
    <w:rsid w:val="00571749"/>
    <w:rsid w:val="00584E9B"/>
    <w:rsid w:val="005862E7"/>
    <w:rsid w:val="00595A4D"/>
    <w:rsid w:val="005A0C2A"/>
    <w:rsid w:val="005A2A69"/>
    <w:rsid w:val="005A4832"/>
    <w:rsid w:val="005A70E8"/>
    <w:rsid w:val="005B1192"/>
    <w:rsid w:val="005D07A4"/>
    <w:rsid w:val="005D3D2E"/>
    <w:rsid w:val="00602C7E"/>
    <w:rsid w:val="00603964"/>
    <w:rsid w:val="006075CB"/>
    <w:rsid w:val="00613434"/>
    <w:rsid w:val="00615AAC"/>
    <w:rsid w:val="00616D05"/>
    <w:rsid w:val="00627DA4"/>
    <w:rsid w:val="00630ED6"/>
    <w:rsid w:val="006374CE"/>
    <w:rsid w:val="006417CA"/>
    <w:rsid w:val="0064212E"/>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7E43"/>
    <w:rsid w:val="006E3394"/>
    <w:rsid w:val="006E4E99"/>
    <w:rsid w:val="006E6FC9"/>
    <w:rsid w:val="006F05A1"/>
    <w:rsid w:val="006F117A"/>
    <w:rsid w:val="00707BEA"/>
    <w:rsid w:val="007158CB"/>
    <w:rsid w:val="00716066"/>
    <w:rsid w:val="007252DC"/>
    <w:rsid w:val="00726594"/>
    <w:rsid w:val="00727884"/>
    <w:rsid w:val="00737139"/>
    <w:rsid w:val="0073749D"/>
    <w:rsid w:val="00740FDA"/>
    <w:rsid w:val="00742D99"/>
    <w:rsid w:val="00745606"/>
    <w:rsid w:val="00746C46"/>
    <w:rsid w:val="00752801"/>
    <w:rsid w:val="00757BAE"/>
    <w:rsid w:val="00764DCC"/>
    <w:rsid w:val="00775F8E"/>
    <w:rsid w:val="00781D06"/>
    <w:rsid w:val="00784366"/>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4681"/>
    <w:rsid w:val="0088297F"/>
    <w:rsid w:val="00885969"/>
    <w:rsid w:val="008907D7"/>
    <w:rsid w:val="008A4D7B"/>
    <w:rsid w:val="008A5A1F"/>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F6A"/>
    <w:rsid w:val="00925248"/>
    <w:rsid w:val="00925AE5"/>
    <w:rsid w:val="0093244A"/>
    <w:rsid w:val="00936E77"/>
    <w:rsid w:val="00943C14"/>
    <w:rsid w:val="00946662"/>
    <w:rsid w:val="009477FA"/>
    <w:rsid w:val="00947916"/>
    <w:rsid w:val="00950FAA"/>
    <w:rsid w:val="00951741"/>
    <w:rsid w:val="009576FE"/>
    <w:rsid w:val="00962EB2"/>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F626B"/>
    <w:rsid w:val="009F6E1E"/>
    <w:rsid w:val="009F7298"/>
    <w:rsid w:val="00A04719"/>
    <w:rsid w:val="00A14931"/>
    <w:rsid w:val="00A23609"/>
    <w:rsid w:val="00A30A18"/>
    <w:rsid w:val="00A34084"/>
    <w:rsid w:val="00A35463"/>
    <w:rsid w:val="00A365CA"/>
    <w:rsid w:val="00A42CFF"/>
    <w:rsid w:val="00A46FB3"/>
    <w:rsid w:val="00A66032"/>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E76DF"/>
    <w:rsid w:val="00AF7BA2"/>
    <w:rsid w:val="00B04E2B"/>
    <w:rsid w:val="00B07762"/>
    <w:rsid w:val="00B10C5F"/>
    <w:rsid w:val="00B16F40"/>
    <w:rsid w:val="00B23A7B"/>
    <w:rsid w:val="00B3255F"/>
    <w:rsid w:val="00B32E48"/>
    <w:rsid w:val="00B429AC"/>
    <w:rsid w:val="00B53E1D"/>
    <w:rsid w:val="00B552BD"/>
    <w:rsid w:val="00B65DE2"/>
    <w:rsid w:val="00B70E3C"/>
    <w:rsid w:val="00B72AFF"/>
    <w:rsid w:val="00B7387A"/>
    <w:rsid w:val="00B73918"/>
    <w:rsid w:val="00B766BB"/>
    <w:rsid w:val="00B81B2E"/>
    <w:rsid w:val="00B920CE"/>
    <w:rsid w:val="00B9645B"/>
    <w:rsid w:val="00BA5CBC"/>
    <w:rsid w:val="00BB0516"/>
    <w:rsid w:val="00BB128F"/>
    <w:rsid w:val="00BC0731"/>
    <w:rsid w:val="00BC4C3E"/>
    <w:rsid w:val="00BC6025"/>
    <w:rsid w:val="00BE6961"/>
    <w:rsid w:val="00BE724F"/>
    <w:rsid w:val="00BE79CE"/>
    <w:rsid w:val="00BF1A80"/>
    <w:rsid w:val="00C00F91"/>
    <w:rsid w:val="00C03AE7"/>
    <w:rsid w:val="00C047A8"/>
    <w:rsid w:val="00C06339"/>
    <w:rsid w:val="00C24392"/>
    <w:rsid w:val="00C24E22"/>
    <w:rsid w:val="00C31624"/>
    <w:rsid w:val="00C32A42"/>
    <w:rsid w:val="00C40FB8"/>
    <w:rsid w:val="00C41C56"/>
    <w:rsid w:val="00C54DBF"/>
    <w:rsid w:val="00C5633D"/>
    <w:rsid w:val="00C600F1"/>
    <w:rsid w:val="00C61A38"/>
    <w:rsid w:val="00C70C9B"/>
    <w:rsid w:val="00C727EC"/>
    <w:rsid w:val="00C82B65"/>
    <w:rsid w:val="00C83E03"/>
    <w:rsid w:val="00C8527C"/>
    <w:rsid w:val="00C8543D"/>
    <w:rsid w:val="00C869B1"/>
    <w:rsid w:val="00C91A9C"/>
    <w:rsid w:val="00CB75E1"/>
    <w:rsid w:val="00CC3345"/>
    <w:rsid w:val="00CC725F"/>
    <w:rsid w:val="00CD05F8"/>
    <w:rsid w:val="00CD61A4"/>
    <w:rsid w:val="00CE29CA"/>
    <w:rsid w:val="00CE5554"/>
    <w:rsid w:val="00CF08FF"/>
    <w:rsid w:val="00CF129A"/>
    <w:rsid w:val="00CF761E"/>
    <w:rsid w:val="00D02C83"/>
    <w:rsid w:val="00D203DE"/>
    <w:rsid w:val="00D26FFA"/>
    <w:rsid w:val="00D33342"/>
    <w:rsid w:val="00D34A4D"/>
    <w:rsid w:val="00D379D3"/>
    <w:rsid w:val="00D43660"/>
    <w:rsid w:val="00D50707"/>
    <w:rsid w:val="00D73BE9"/>
    <w:rsid w:val="00D76DD5"/>
    <w:rsid w:val="00D81FB0"/>
    <w:rsid w:val="00D83105"/>
    <w:rsid w:val="00D85D70"/>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67BA"/>
    <w:rsid w:val="00E330E2"/>
    <w:rsid w:val="00E368F1"/>
    <w:rsid w:val="00E467B4"/>
    <w:rsid w:val="00E5533A"/>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7751"/>
    <w:rsid w:val="00F90E11"/>
    <w:rsid w:val="00F910CC"/>
    <w:rsid w:val="00F91A2E"/>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BB0516"/>
    <w:pPr>
      <w:keepNext/>
      <w:keepLines/>
      <w:spacing w:before="120" w:after="120"/>
      <w:outlineLvl w:val="1"/>
    </w:pPr>
    <w:rPr>
      <w:rFonts w:asciiTheme="minorHAnsi" w:eastAsiaTheme="majorEastAsia" w:hAnsiTheme="minorHAnsi" w:cstheme="minorHAnsi"/>
      <w:color w:val="002060"/>
      <w:sz w:val="24"/>
      <w:lang w:val="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BB0516"/>
    <w:rPr>
      <w:rFonts w:eastAsiaTheme="majorEastAsia" w:cstheme="minorHAnsi"/>
      <w:color w:val="002060"/>
      <w:sz w:val="24"/>
      <w:szCs w:val="24"/>
      <w:lang w:eastAsia="ar-SA"/>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ustrac.gov.au/business/how-comply-and-report-guidance-and-resources/customer-identification-and-verification/kyc-requirements-covid-19" TargetMode="External"/><Relationship Id="rId3" Type="http://schemas.openxmlformats.org/officeDocument/2006/relationships/hyperlink" Target="https://www.servicesaustralia.gov.au/individuals/services/centrelink/jobseeker-payment/what-your-commitments-are" TargetMode="External"/><Relationship Id="rId7" Type="http://schemas.openxmlformats.org/officeDocument/2006/relationships/hyperlink" Target="https://www.servicesaustralia.gov.au/individuals/services/centrelink/economic-support-payment/who-can-get-it" TargetMode="External"/><Relationship Id="rId2" Type="http://schemas.openxmlformats.org/officeDocument/2006/relationships/hyperlink" Target="https://www.ato.gov.au/General/JobKeeper-Payment/JobKeeper-key-dates/" TargetMode="External"/><Relationship Id="rId1" Type="http://schemas.openxmlformats.org/officeDocument/2006/relationships/hyperlink" Target="https://www.ato.gov.au/individuals/super/withdrawing-and-using-your-super/early-access-to-your-super/" TargetMode="External"/><Relationship Id="rId6" Type="http://schemas.openxmlformats.org/officeDocument/2006/relationships/hyperlink" Target="https://www.servicesaustralia.gov.au/individuals/services/centrelink/jobseeker-payment/how-much-you-can-get/income-and-asset-limits" TargetMode="External"/><Relationship Id="rId11" Type="http://schemas.openxmlformats.org/officeDocument/2006/relationships/hyperlink" Target="https://www.health.gov.au/health-topics/private-health-insurance/about-private-health-insurance" TargetMode="External"/><Relationship Id="rId5" Type="http://schemas.openxmlformats.org/officeDocument/2006/relationships/hyperlink" Target="https://www.servicesaustralia.gov.au/individuals/services/centrelink/jobseeker-payment/how-much-you-can-get/income-and-asset-limits" TargetMode="External"/><Relationship Id="rId10" Type="http://schemas.openxmlformats.org/officeDocument/2006/relationships/hyperlink" Target="https://www.ato.gov.au/general/covid-19/covid-19-frequently-asked-questions/self-managed-super-funds-frequently-asked-questions/" TargetMode="External"/><Relationship Id="rId4" Type="http://schemas.openxmlformats.org/officeDocument/2006/relationships/hyperlink" Target="https://www.servicesaustralia.gov.au/individuals/services/centrelink/jobseeker-payment/how-much-you-can-get" TargetMode="External"/><Relationship Id="rId9" Type="http://schemas.openxmlformats.org/officeDocument/2006/relationships/hyperlink" Target="https://www.ato.gov.au/general/covid-19/covid-19-frequently-asked-questions/self-managed-super-funds-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49</cp:revision>
  <dcterms:created xsi:type="dcterms:W3CDTF">2020-07-16T22:31:00Z</dcterms:created>
  <dcterms:modified xsi:type="dcterms:W3CDTF">2020-07-22T03:20:00Z</dcterms:modified>
</cp:coreProperties>
</file>