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6ECC4" w14:textId="77777777" w:rsidR="00654631" w:rsidRDefault="00654631" w:rsidP="00654631">
      <w:pPr>
        <w:pStyle w:val="Heading2"/>
        <w:spacing w:line="240" w:lineRule="auto"/>
        <w:rPr>
          <w:rFonts w:asciiTheme="minorHAnsi" w:eastAsiaTheme="minorEastAsia" w:hAnsiTheme="minorHAnsi" w:cstheme="minorBidi"/>
          <w:b/>
          <w:color w:val="01447B"/>
          <w:sz w:val="36"/>
          <w:szCs w:val="32"/>
        </w:rPr>
      </w:pPr>
      <w:r>
        <w:rPr>
          <w:rFonts w:asciiTheme="minorHAnsi" w:eastAsiaTheme="minorEastAsia" w:hAnsiTheme="minorHAnsi" w:cstheme="minorBidi"/>
          <w:b/>
          <w:color w:val="01447B"/>
          <w:sz w:val="36"/>
          <w:szCs w:val="32"/>
        </w:rPr>
        <w:t>Appendix</w:t>
      </w:r>
      <w:r w:rsidRPr="001C157D">
        <w:rPr>
          <w:rFonts w:asciiTheme="minorHAnsi" w:eastAsiaTheme="minorEastAsia" w:hAnsiTheme="minorHAnsi" w:cstheme="minorBidi"/>
          <w:b/>
          <w:color w:val="01447B"/>
          <w:sz w:val="36"/>
          <w:szCs w:val="32"/>
        </w:rPr>
        <w:t xml:space="preserve"> </w:t>
      </w:r>
      <w:commentRangeStart w:id="0"/>
      <w:r w:rsidRPr="001C157D">
        <w:rPr>
          <w:rFonts w:asciiTheme="minorHAnsi" w:eastAsiaTheme="minorEastAsia" w:hAnsiTheme="minorHAnsi" w:cstheme="minorBidi"/>
          <w:b/>
          <w:color w:val="01447B"/>
          <w:sz w:val="36"/>
          <w:szCs w:val="32"/>
        </w:rPr>
        <w:t>Text</w:t>
      </w:r>
      <w:commentRangeEnd w:id="0"/>
      <w:r w:rsidR="003F3672">
        <w:rPr>
          <w:rStyle w:val="CommentReference"/>
          <w:rFonts w:asciiTheme="minorHAnsi" w:eastAsiaTheme="minorEastAsia" w:hAnsiTheme="minorHAnsi" w:cstheme="minorBidi"/>
          <w:bCs w:val="0"/>
          <w:color w:val="auto"/>
        </w:rPr>
        <w:commentReference w:id="0"/>
      </w:r>
      <w:r w:rsidRPr="001C157D">
        <w:rPr>
          <w:rFonts w:asciiTheme="minorHAnsi" w:eastAsiaTheme="minorEastAsia" w:hAnsiTheme="minorHAnsi" w:cstheme="minorBidi"/>
          <w:b/>
          <w:color w:val="01447B"/>
          <w:sz w:val="36"/>
          <w:szCs w:val="32"/>
        </w:rPr>
        <w:t xml:space="preserve"> </w:t>
      </w:r>
    </w:p>
    <w:p w14:paraId="39D208B4" w14:textId="77777777" w:rsidR="00654631" w:rsidRDefault="00654631" w:rsidP="00072CC6">
      <w:pPr>
        <w:spacing w:before="120" w:after="120"/>
        <w:rPr>
          <w:color w:val="01447B"/>
          <w:sz w:val="36"/>
          <w:szCs w:val="32"/>
        </w:rPr>
      </w:pPr>
    </w:p>
    <w:p w14:paraId="29FEF531" w14:textId="00B9024D" w:rsidR="00072CC6" w:rsidRPr="00193DC3" w:rsidRDefault="00EB3150" w:rsidP="00072CC6">
      <w:pPr>
        <w:spacing w:before="120" w:after="120"/>
        <w:rPr>
          <w:color w:val="01447B"/>
          <w:sz w:val="36"/>
          <w:szCs w:val="32"/>
        </w:rPr>
      </w:pPr>
      <w:r>
        <w:rPr>
          <w:color w:val="01447B"/>
          <w:sz w:val="36"/>
          <w:szCs w:val="32"/>
        </w:rPr>
        <w:t xml:space="preserve">AusPrac </w:t>
      </w:r>
    </w:p>
    <w:p w14:paraId="55E9EF3D" w14:textId="49067811" w:rsidR="003F3672" w:rsidRDefault="003F3672" w:rsidP="00F915F0">
      <w:pPr>
        <w:autoSpaceDE w:val="0"/>
        <w:autoSpaceDN w:val="0"/>
        <w:adjustRightInd w:val="0"/>
        <w:spacing w:after="0" w:line="240" w:lineRule="auto"/>
        <w:rPr>
          <w:sz w:val="20"/>
          <w:szCs w:val="20"/>
        </w:rPr>
      </w:pPr>
      <w:r w:rsidRPr="003F3672">
        <w:rPr>
          <w:sz w:val="20"/>
          <w:szCs w:val="20"/>
        </w:rPr>
        <w:t>AusPrac stands for Australian Practical Superannuation.</w:t>
      </w:r>
    </w:p>
    <w:p w14:paraId="1838FF97" w14:textId="77777777" w:rsidR="00D967D1" w:rsidRDefault="00D967D1" w:rsidP="00F915F0">
      <w:pPr>
        <w:autoSpaceDE w:val="0"/>
        <w:autoSpaceDN w:val="0"/>
        <w:adjustRightInd w:val="0"/>
        <w:spacing w:after="0" w:line="240" w:lineRule="auto"/>
        <w:rPr>
          <w:sz w:val="20"/>
          <w:szCs w:val="20"/>
        </w:rPr>
      </w:pPr>
    </w:p>
    <w:p w14:paraId="1F06264A" w14:textId="5F295B0B" w:rsidR="00D967D1" w:rsidRPr="00D967D1" w:rsidRDefault="00D967D1" w:rsidP="00F915F0">
      <w:pPr>
        <w:autoSpaceDE w:val="0"/>
        <w:autoSpaceDN w:val="0"/>
        <w:adjustRightInd w:val="0"/>
        <w:spacing w:after="0" w:line="240" w:lineRule="auto"/>
        <w:rPr>
          <w:sz w:val="20"/>
          <w:szCs w:val="20"/>
        </w:rPr>
      </w:pPr>
      <w:r>
        <w:rPr>
          <w:sz w:val="20"/>
          <w:szCs w:val="20"/>
        </w:rPr>
        <w:t xml:space="preserve">It </w:t>
      </w:r>
      <w:r w:rsidRPr="00D967D1">
        <w:rPr>
          <w:sz w:val="20"/>
          <w:szCs w:val="20"/>
        </w:rPr>
        <w:t xml:space="preserve">is a sub-plan </w:t>
      </w:r>
      <w:r>
        <w:rPr>
          <w:sz w:val="20"/>
          <w:szCs w:val="20"/>
        </w:rPr>
        <w:t>(</w:t>
      </w:r>
      <w:r w:rsidRPr="00D967D1">
        <w:rPr>
          <w:sz w:val="20"/>
          <w:szCs w:val="20"/>
        </w:rPr>
        <w:t>Division II</w:t>
      </w:r>
      <w:r>
        <w:rPr>
          <w:sz w:val="20"/>
          <w:szCs w:val="20"/>
        </w:rPr>
        <w:t>)</w:t>
      </w:r>
      <w:r w:rsidRPr="00D967D1">
        <w:rPr>
          <w:sz w:val="20"/>
          <w:szCs w:val="20"/>
        </w:rPr>
        <w:t xml:space="preserve"> of The MAP Master Superannuation Plan. The Trustee of the Fund is Diversa Trustees Limited</w:t>
      </w:r>
      <w:r>
        <w:rPr>
          <w:sz w:val="20"/>
          <w:szCs w:val="20"/>
        </w:rPr>
        <w:t>; t</w:t>
      </w:r>
      <w:r w:rsidRPr="00D967D1">
        <w:rPr>
          <w:sz w:val="20"/>
          <w:szCs w:val="20"/>
        </w:rPr>
        <w:t>he Sponsor and Promoter is OneVue Wealth. Sequoia Asset Management Pty Ltd is the appointed Sub</w:t>
      </w:r>
      <w:r>
        <w:rPr>
          <w:sz w:val="20"/>
          <w:szCs w:val="20"/>
        </w:rPr>
        <w:t xml:space="preserve"> </w:t>
      </w:r>
      <w:r w:rsidRPr="00D967D1">
        <w:rPr>
          <w:sz w:val="20"/>
          <w:szCs w:val="20"/>
        </w:rPr>
        <w:t>Promoter of Australian Practical Superannuation.</w:t>
      </w:r>
    </w:p>
    <w:p w14:paraId="01F8950C" w14:textId="77777777" w:rsidR="003F3672" w:rsidRDefault="003F3672" w:rsidP="00F915F0">
      <w:pPr>
        <w:autoSpaceDE w:val="0"/>
        <w:autoSpaceDN w:val="0"/>
        <w:adjustRightInd w:val="0"/>
        <w:spacing w:after="0" w:line="240" w:lineRule="auto"/>
        <w:rPr>
          <w:b/>
          <w:bCs/>
          <w:color w:val="1F497D" w:themeColor="text2"/>
          <w:sz w:val="20"/>
          <w:szCs w:val="20"/>
        </w:rPr>
      </w:pPr>
    </w:p>
    <w:p w14:paraId="65200AC8" w14:textId="40B202DA" w:rsidR="00C57E75" w:rsidRPr="00024542" w:rsidRDefault="00F63FC1" w:rsidP="00F915F0">
      <w:pPr>
        <w:autoSpaceDE w:val="0"/>
        <w:autoSpaceDN w:val="0"/>
        <w:adjustRightInd w:val="0"/>
        <w:spacing w:after="0" w:line="240" w:lineRule="auto"/>
        <w:rPr>
          <w:b/>
          <w:bCs/>
          <w:color w:val="1F497D" w:themeColor="text2"/>
          <w:sz w:val="20"/>
          <w:szCs w:val="20"/>
        </w:rPr>
      </w:pPr>
      <w:r>
        <w:rPr>
          <w:b/>
          <w:bCs/>
          <w:color w:val="1F497D" w:themeColor="text2"/>
          <w:sz w:val="20"/>
          <w:szCs w:val="20"/>
        </w:rPr>
        <w:t>Account</w:t>
      </w:r>
      <w:r w:rsidR="00C57E75" w:rsidRPr="00024542">
        <w:rPr>
          <w:b/>
          <w:bCs/>
          <w:color w:val="1F497D" w:themeColor="text2"/>
          <w:sz w:val="20"/>
          <w:szCs w:val="20"/>
        </w:rPr>
        <w:t xml:space="preserve"> options </w:t>
      </w:r>
    </w:p>
    <w:p w14:paraId="59F66BB4" w14:textId="608450A0" w:rsidR="00C57E75" w:rsidRPr="00024542" w:rsidRDefault="00C57E75" w:rsidP="00F915F0">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Accumulation Account which applies during your working life, </w:t>
      </w:r>
    </w:p>
    <w:p w14:paraId="460D9678" w14:textId="24BAEFB2" w:rsidR="00C57E75" w:rsidRPr="00024542" w:rsidRDefault="00C57E75" w:rsidP="00F915F0">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Transition to Retirement Pension Account where in certain circumstances you can draw some of your super while you are </w:t>
      </w:r>
      <w:r w:rsidR="00994929" w:rsidRPr="00024542">
        <w:rPr>
          <w:sz w:val="20"/>
          <w:szCs w:val="20"/>
        </w:rPr>
        <w:t>still working</w:t>
      </w:r>
      <w:r w:rsidRPr="00024542">
        <w:rPr>
          <w:sz w:val="20"/>
          <w:szCs w:val="20"/>
        </w:rPr>
        <w:t xml:space="preserve">, and </w:t>
      </w:r>
    </w:p>
    <w:p w14:paraId="6529762B" w14:textId="07894E89" w:rsidR="00C57E75" w:rsidRPr="00024542" w:rsidRDefault="00C57E75" w:rsidP="00F915F0">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Pension Account where you can enjoy a pension income after you have reached your preservation age and have permanently retired.</w:t>
      </w:r>
    </w:p>
    <w:p w14:paraId="42DBC742" w14:textId="77777777" w:rsidR="00CE1C08" w:rsidRDefault="00CE1C08" w:rsidP="00F915F0">
      <w:pPr>
        <w:autoSpaceDE w:val="0"/>
        <w:autoSpaceDN w:val="0"/>
        <w:adjustRightInd w:val="0"/>
        <w:spacing w:after="0" w:line="240" w:lineRule="auto"/>
        <w:rPr>
          <w:sz w:val="20"/>
          <w:szCs w:val="20"/>
        </w:rPr>
      </w:pPr>
    </w:p>
    <w:p w14:paraId="39969DFC" w14:textId="1CD5D7F5" w:rsidR="0068091E" w:rsidRPr="00024542" w:rsidRDefault="00D84C07" w:rsidP="00F915F0">
      <w:pPr>
        <w:autoSpaceDE w:val="0"/>
        <w:autoSpaceDN w:val="0"/>
        <w:adjustRightInd w:val="0"/>
        <w:spacing w:after="0" w:line="240" w:lineRule="auto"/>
        <w:rPr>
          <w:sz w:val="20"/>
          <w:szCs w:val="20"/>
        </w:rPr>
      </w:pPr>
      <w:r>
        <w:rPr>
          <w:sz w:val="20"/>
          <w:szCs w:val="20"/>
        </w:rPr>
        <w:t>AusPrac can</w:t>
      </w:r>
      <w:r w:rsidR="00CE1C08" w:rsidRPr="00024542">
        <w:rPr>
          <w:sz w:val="20"/>
          <w:szCs w:val="20"/>
        </w:rPr>
        <w:t xml:space="preserve"> help you find lost super, rollover super from your existing super fund or consolidate multiple super accounts</w:t>
      </w:r>
    </w:p>
    <w:p w14:paraId="0B3F1F54" w14:textId="5E1F4DB3" w:rsidR="00CE1C08" w:rsidRDefault="00CE1C08" w:rsidP="00F915F0">
      <w:pPr>
        <w:autoSpaceDE w:val="0"/>
        <w:autoSpaceDN w:val="0"/>
        <w:adjustRightInd w:val="0"/>
        <w:spacing w:after="0" w:line="240" w:lineRule="auto"/>
        <w:rPr>
          <w:b/>
          <w:bCs/>
          <w:color w:val="1F497D" w:themeColor="text2"/>
          <w:sz w:val="20"/>
          <w:szCs w:val="20"/>
        </w:rPr>
      </w:pPr>
    </w:p>
    <w:p w14:paraId="71F4C1E3" w14:textId="77777777" w:rsidR="003C1F2B" w:rsidRDefault="003C1F2B" w:rsidP="00F915F0">
      <w:pPr>
        <w:autoSpaceDE w:val="0"/>
        <w:autoSpaceDN w:val="0"/>
        <w:adjustRightInd w:val="0"/>
        <w:spacing w:after="0" w:line="240" w:lineRule="auto"/>
        <w:rPr>
          <w:b/>
          <w:bCs/>
          <w:color w:val="1F497D" w:themeColor="text2"/>
          <w:sz w:val="20"/>
          <w:szCs w:val="20"/>
        </w:rPr>
      </w:pPr>
    </w:p>
    <w:p w14:paraId="37E85AF7" w14:textId="74DCFD6A" w:rsidR="0068091E" w:rsidRPr="00024542" w:rsidRDefault="00F54A25" w:rsidP="00F915F0">
      <w:pPr>
        <w:autoSpaceDE w:val="0"/>
        <w:autoSpaceDN w:val="0"/>
        <w:adjustRightInd w:val="0"/>
        <w:spacing w:after="0" w:line="240" w:lineRule="auto"/>
        <w:rPr>
          <w:b/>
          <w:bCs/>
          <w:color w:val="1F497D" w:themeColor="text2"/>
          <w:sz w:val="20"/>
          <w:szCs w:val="20"/>
        </w:rPr>
      </w:pPr>
      <w:r>
        <w:rPr>
          <w:b/>
          <w:bCs/>
          <w:color w:val="1F497D" w:themeColor="text2"/>
          <w:sz w:val="20"/>
          <w:szCs w:val="20"/>
        </w:rPr>
        <w:t>INVESTMENT</w:t>
      </w:r>
    </w:p>
    <w:p w14:paraId="4B16B904" w14:textId="77777777" w:rsidR="00A540F4" w:rsidRDefault="00A540F4" w:rsidP="00F915F0">
      <w:pPr>
        <w:autoSpaceDE w:val="0"/>
        <w:autoSpaceDN w:val="0"/>
        <w:adjustRightInd w:val="0"/>
        <w:spacing w:after="0" w:line="240" w:lineRule="auto"/>
        <w:rPr>
          <w:sz w:val="20"/>
          <w:szCs w:val="20"/>
        </w:rPr>
      </w:pPr>
    </w:p>
    <w:p w14:paraId="76B57F50" w14:textId="6F82C1C0" w:rsidR="0068091E" w:rsidRPr="00024542" w:rsidRDefault="00A540F4" w:rsidP="00F915F0">
      <w:pPr>
        <w:autoSpaceDE w:val="0"/>
        <w:autoSpaceDN w:val="0"/>
        <w:adjustRightInd w:val="0"/>
        <w:spacing w:after="0" w:line="240" w:lineRule="auto"/>
        <w:rPr>
          <w:sz w:val="20"/>
          <w:szCs w:val="20"/>
        </w:rPr>
      </w:pPr>
      <w:r>
        <w:rPr>
          <w:sz w:val="20"/>
          <w:szCs w:val="20"/>
        </w:rPr>
        <w:t>AusPrac</w:t>
      </w:r>
      <w:r w:rsidR="0068091E" w:rsidRPr="00024542">
        <w:rPr>
          <w:sz w:val="20"/>
          <w:szCs w:val="20"/>
        </w:rPr>
        <w:t xml:space="preserve"> offers a wide range of investments including pre-mixed Pooled Investments, and Super Wrap Investment Options including the Cash Hub, Managed Funds, Managed Account Model Portfolios and ASX Listed Securities, available through the OneVue Managed Account</w:t>
      </w:r>
      <w:r w:rsidR="009D581C">
        <w:rPr>
          <w:sz w:val="20"/>
          <w:szCs w:val="20"/>
        </w:rPr>
        <w:t xml:space="preserve"> </w:t>
      </w:r>
      <w:r w:rsidR="0068091E" w:rsidRPr="00024542">
        <w:rPr>
          <w:sz w:val="20"/>
          <w:szCs w:val="20"/>
        </w:rPr>
        <w:t xml:space="preserve">and Term Deposits. </w:t>
      </w:r>
    </w:p>
    <w:p w14:paraId="0B429C27" w14:textId="77777777" w:rsidR="00F54A25" w:rsidRDefault="00F54A25" w:rsidP="00F54A25">
      <w:pPr>
        <w:autoSpaceDE w:val="0"/>
        <w:autoSpaceDN w:val="0"/>
        <w:adjustRightInd w:val="0"/>
        <w:spacing w:after="0" w:line="240" w:lineRule="auto"/>
        <w:rPr>
          <w:b/>
          <w:bCs/>
          <w:color w:val="1F497D" w:themeColor="text2"/>
          <w:sz w:val="20"/>
          <w:szCs w:val="20"/>
        </w:rPr>
      </w:pPr>
    </w:p>
    <w:p w14:paraId="156D2A9C" w14:textId="77777777" w:rsidR="00F54A25" w:rsidRDefault="00F54A25" w:rsidP="00F54A25">
      <w:pPr>
        <w:autoSpaceDE w:val="0"/>
        <w:autoSpaceDN w:val="0"/>
        <w:adjustRightInd w:val="0"/>
        <w:spacing w:after="0" w:line="240" w:lineRule="auto"/>
        <w:rPr>
          <w:b/>
          <w:bCs/>
          <w:color w:val="1F497D" w:themeColor="text2"/>
          <w:sz w:val="20"/>
          <w:szCs w:val="20"/>
        </w:rPr>
      </w:pPr>
      <w:r w:rsidRPr="00D4154C">
        <w:rPr>
          <w:b/>
          <w:bCs/>
          <w:color w:val="1F497D" w:themeColor="text2"/>
          <w:sz w:val="20"/>
          <w:szCs w:val="20"/>
        </w:rPr>
        <w:t>Investment Menu</w:t>
      </w:r>
    </w:p>
    <w:p w14:paraId="18085D1E" w14:textId="77777777" w:rsidR="00F54A25" w:rsidRDefault="00F54A25" w:rsidP="00F54A25">
      <w:pPr>
        <w:autoSpaceDE w:val="0"/>
        <w:autoSpaceDN w:val="0"/>
        <w:adjustRightInd w:val="0"/>
        <w:spacing w:after="0" w:line="240" w:lineRule="auto"/>
        <w:rPr>
          <w:sz w:val="20"/>
          <w:szCs w:val="20"/>
        </w:rPr>
      </w:pPr>
      <w:r>
        <w:rPr>
          <w:sz w:val="20"/>
          <w:szCs w:val="20"/>
        </w:rPr>
        <w:t>AusPrac offers a Core Menu and a Full Menu which offer different investments and have different administration fees.</w:t>
      </w:r>
    </w:p>
    <w:p w14:paraId="13E91574" w14:textId="77777777" w:rsidR="00F54A25" w:rsidRDefault="00F54A25" w:rsidP="00F54A25">
      <w:pPr>
        <w:autoSpaceDE w:val="0"/>
        <w:autoSpaceDN w:val="0"/>
        <w:adjustRightInd w:val="0"/>
        <w:spacing w:after="0" w:line="240" w:lineRule="auto"/>
        <w:rPr>
          <w:sz w:val="20"/>
          <w:szCs w:val="20"/>
        </w:rPr>
      </w:pPr>
    </w:p>
    <w:p w14:paraId="6FE8B68A" w14:textId="77777777" w:rsidR="00F54A25" w:rsidRDefault="00F54A25" w:rsidP="00F54A25">
      <w:pPr>
        <w:autoSpaceDE w:val="0"/>
        <w:autoSpaceDN w:val="0"/>
        <w:adjustRightInd w:val="0"/>
        <w:spacing w:after="0" w:line="240" w:lineRule="auto"/>
        <w:ind w:firstLine="709"/>
        <w:rPr>
          <w:sz w:val="20"/>
          <w:szCs w:val="20"/>
        </w:rPr>
      </w:pPr>
      <w:r>
        <w:rPr>
          <w:noProof/>
        </w:rPr>
        <w:drawing>
          <wp:inline distT="0" distB="0" distL="0" distR="0" wp14:anchorId="07AD9BEF" wp14:editId="2A43DC4B">
            <wp:extent cx="478155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1550" cy="1628775"/>
                    </a:xfrm>
                    <a:prstGeom prst="rect">
                      <a:avLst/>
                    </a:prstGeom>
                  </pic:spPr>
                </pic:pic>
              </a:graphicData>
            </a:graphic>
          </wp:inline>
        </w:drawing>
      </w:r>
    </w:p>
    <w:p w14:paraId="4DAFBD33" w14:textId="77777777" w:rsidR="00F54A25" w:rsidRDefault="00F54A25" w:rsidP="00F54A25">
      <w:pPr>
        <w:autoSpaceDE w:val="0"/>
        <w:autoSpaceDN w:val="0"/>
        <w:adjustRightInd w:val="0"/>
        <w:spacing w:after="0" w:line="240" w:lineRule="auto"/>
        <w:rPr>
          <w:b/>
          <w:bCs/>
          <w:color w:val="1F497D" w:themeColor="text2"/>
          <w:sz w:val="20"/>
          <w:szCs w:val="20"/>
        </w:rPr>
      </w:pPr>
      <w:r w:rsidRPr="00986E08">
        <w:rPr>
          <w:sz w:val="20"/>
          <w:szCs w:val="20"/>
        </w:rPr>
        <w:t>You can choose one investment option or a combination of different investment options as part of the online application process.</w:t>
      </w:r>
    </w:p>
    <w:p w14:paraId="69FA2B1C" w14:textId="77777777" w:rsidR="00F54A25" w:rsidRDefault="00F54A25" w:rsidP="00F54A25">
      <w:pPr>
        <w:autoSpaceDE w:val="0"/>
        <w:autoSpaceDN w:val="0"/>
        <w:adjustRightInd w:val="0"/>
        <w:spacing w:after="0" w:line="240" w:lineRule="auto"/>
        <w:rPr>
          <w:b/>
          <w:bCs/>
          <w:color w:val="1F497D" w:themeColor="text2"/>
          <w:sz w:val="20"/>
          <w:szCs w:val="20"/>
        </w:rPr>
      </w:pPr>
    </w:p>
    <w:p w14:paraId="3D54CC5B" w14:textId="77777777" w:rsidR="00F54A25" w:rsidRPr="00D4154C" w:rsidRDefault="00F54A25" w:rsidP="00F54A25">
      <w:pPr>
        <w:autoSpaceDE w:val="0"/>
        <w:autoSpaceDN w:val="0"/>
        <w:adjustRightInd w:val="0"/>
        <w:spacing w:after="0" w:line="240" w:lineRule="auto"/>
        <w:rPr>
          <w:b/>
          <w:bCs/>
          <w:color w:val="1F497D" w:themeColor="text2"/>
          <w:sz w:val="20"/>
          <w:szCs w:val="20"/>
        </w:rPr>
      </w:pPr>
      <w:r w:rsidRPr="00D4154C">
        <w:rPr>
          <w:b/>
          <w:bCs/>
          <w:color w:val="1F497D" w:themeColor="text2"/>
          <w:sz w:val="20"/>
          <w:szCs w:val="20"/>
        </w:rPr>
        <w:t>Cash Hub</w:t>
      </w:r>
    </w:p>
    <w:p w14:paraId="79308A35" w14:textId="77777777" w:rsidR="00F54A25" w:rsidRDefault="00F54A25" w:rsidP="00F54A25">
      <w:pPr>
        <w:autoSpaceDE w:val="0"/>
        <w:autoSpaceDN w:val="0"/>
        <w:adjustRightInd w:val="0"/>
        <w:spacing w:after="0" w:line="240" w:lineRule="auto"/>
        <w:rPr>
          <w:sz w:val="20"/>
          <w:szCs w:val="20"/>
        </w:rPr>
      </w:pPr>
      <w:r>
        <w:rPr>
          <w:sz w:val="20"/>
          <w:szCs w:val="20"/>
        </w:rPr>
        <w:t>The Cash Hub, is available in both the Core Menu and the Full Menu for both Accumulation and Pension Accounts and is an interest-bearing transaction account which holds your available cash for investment. The Cash Hub is also used to receive income and distributions from the fund and pay fees, costs, tax and other deductions.</w:t>
      </w:r>
    </w:p>
    <w:p w14:paraId="56331A93" w14:textId="77777777" w:rsidR="00F54A25" w:rsidRPr="00D4154C" w:rsidRDefault="00F54A25" w:rsidP="00F54A25">
      <w:pPr>
        <w:autoSpaceDE w:val="0"/>
        <w:autoSpaceDN w:val="0"/>
        <w:adjustRightInd w:val="0"/>
        <w:spacing w:after="0" w:line="240" w:lineRule="auto"/>
        <w:rPr>
          <w:sz w:val="20"/>
          <w:szCs w:val="20"/>
        </w:rPr>
      </w:pPr>
      <w:r w:rsidRPr="00D4154C">
        <w:rPr>
          <w:sz w:val="20"/>
          <w:szCs w:val="20"/>
        </w:rPr>
        <w:t xml:space="preserve">If you choose to invest only in Pooled Investment Options, you are not required to have a Cash Hub, but you may choose to do so. If you invest in Super Wrap Investment Options, you must maintain at least $2,500 in your Cash Hub plus: </w:t>
      </w:r>
    </w:p>
    <w:p w14:paraId="018F550B" w14:textId="77777777" w:rsidR="00F54A25" w:rsidRPr="00D4154C" w:rsidRDefault="00F54A25" w:rsidP="00F54A25">
      <w:pPr>
        <w:autoSpaceDE w:val="0"/>
        <w:autoSpaceDN w:val="0"/>
        <w:adjustRightInd w:val="0"/>
        <w:spacing w:after="0" w:line="240" w:lineRule="auto"/>
        <w:ind w:firstLine="284"/>
        <w:rPr>
          <w:sz w:val="20"/>
          <w:szCs w:val="20"/>
        </w:rPr>
      </w:pPr>
      <w:r w:rsidRPr="00D4154C">
        <w:rPr>
          <w:sz w:val="20"/>
          <w:szCs w:val="20"/>
        </w:rPr>
        <w:sym w:font="Symbol" w:char="F0B7"/>
      </w:r>
      <w:r w:rsidRPr="00D4154C">
        <w:rPr>
          <w:sz w:val="20"/>
          <w:szCs w:val="20"/>
        </w:rPr>
        <w:t xml:space="preserve"> three-months’ pension payments if you have a Pension Account, or </w:t>
      </w:r>
    </w:p>
    <w:p w14:paraId="72BE4017" w14:textId="77777777" w:rsidR="00F54A25" w:rsidRDefault="00F54A25" w:rsidP="00F54A25">
      <w:pPr>
        <w:autoSpaceDE w:val="0"/>
        <w:autoSpaceDN w:val="0"/>
        <w:adjustRightInd w:val="0"/>
        <w:spacing w:after="0" w:line="240" w:lineRule="auto"/>
        <w:ind w:firstLine="284"/>
        <w:rPr>
          <w:sz w:val="20"/>
          <w:szCs w:val="20"/>
        </w:rPr>
      </w:pPr>
      <w:r w:rsidRPr="00D4154C">
        <w:rPr>
          <w:sz w:val="20"/>
          <w:szCs w:val="20"/>
        </w:rPr>
        <w:sym w:font="Symbol" w:char="F0B7"/>
      </w:r>
      <w:r w:rsidRPr="00D4154C">
        <w:rPr>
          <w:sz w:val="20"/>
          <w:szCs w:val="20"/>
        </w:rPr>
        <w:t xml:space="preserve"> three-months’ insurance premium payments if you have Group or Retail Insurance in place.</w:t>
      </w:r>
    </w:p>
    <w:p w14:paraId="5ED2404F" w14:textId="77777777" w:rsidR="00F54A25" w:rsidRDefault="00F54A25" w:rsidP="00F915F0">
      <w:pPr>
        <w:autoSpaceDE w:val="0"/>
        <w:autoSpaceDN w:val="0"/>
        <w:adjustRightInd w:val="0"/>
        <w:spacing w:after="0" w:line="240" w:lineRule="auto"/>
        <w:rPr>
          <w:sz w:val="20"/>
          <w:szCs w:val="20"/>
        </w:rPr>
      </w:pPr>
    </w:p>
    <w:p w14:paraId="4ED28238" w14:textId="55BF16F4" w:rsidR="0069720B" w:rsidRDefault="0069720B" w:rsidP="00F915F0">
      <w:pPr>
        <w:autoSpaceDE w:val="0"/>
        <w:autoSpaceDN w:val="0"/>
        <w:adjustRightInd w:val="0"/>
        <w:spacing w:after="0" w:line="240" w:lineRule="auto"/>
        <w:rPr>
          <w:sz w:val="20"/>
          <w:szCs w:val="20"/>
        </w:rPr>
      </w:pPr>
    </w:p>
    <w:p w14:paraId="1EE0614A" w14:textId="210114C6" w:rsidR="003C1F2B" w:rsidRDefault="003C1F2B" w:rsidP="00F915F0">
      <w:pPr>
        <w:autoSpaceDE w:val="0"/>
        <w:autoSpaceDN w:val="0"/>
        <w:adjustRightInd w:val="0"/>
        <w:spacing w:after="0" w:line="240" w:lineRule="auto"/>
        <w:rPr>
          <w:sz w:val="20"/>
          <w:szCs w:val="20"/>
        </w:rPr>
      </w:pPr>
    </w:p>
    <w:p w14:paraId="4186AEF2" w14:textId="66F24A89" w:rsidR="003C1F2B" w:rsidRDefault="003C1F2B" w:rsidP="00F915F0">
      <w:pPr>
        <w:autoSpaceDE w:val="0"/>
        <w:autoSpaceDN w:val="0"/>
        <w:adjustRightInd w:val="0"/>
        <w:spacing w:after="0" w:line="240" w:lineRule="auto"/>
        <w:rPr>
          <w:sz w:val="20"/>
          <w:szCs w:val="20"/>
        </w:rPr>
      </w:pPr>
    </w:p>
    <w:p w14:paraId="782254B0" w14:textId="5817EBDB" w:rsidR="003C1F2B" w:rsidRDefault="003C1F2B" w:rsidP="00F915F0">
      <w:pPr>
        <w:autoSpaceDE w:val="0"/>
        <w:autoSpaceDN w:val="0"/>
        <w:adjustRightInd w:val="0"/>
        <w:spacing w:after="0" w:line="240" w:lineRule="auto"/>
        <w:rPr>
          <w:sz w:val="20"/>
          <w:szCs w:val="20"/>
        </w:rPr>
      </w:pPr>
    </w:p>
    <w:p w14:paraId="28C01D95" w14:textId="6D3B9B9E" w:rsidR="003C1F2B" w:rsidRDefault="003C1F2B" w:rsidP="00F915F0">
      <w:pPr>
        <w:autoSpaceDE w:val="0"/>
        <w:autoSpaceDN w:val="0"/>
        <w:adjustRightInd w:val="0"/>
        <w:spacing w:after="0" w:line="240" w:lineRule="auto"/>
        <w:rPr>
          <w:sz w:val="20"/>
          <w:szCs w:val="20"/>
        </w:rPr>
      </w:pPr>
    </w:p>
    <w:p w14:paraId="4478C196" w14:textId="651A91F2" w:rsidR="0068091E" w:rsidRDefault="00F54A25" w:rsidP="00F915F0">
      <w:pPr>
        <w:autoSpaceDE w:val="0"/>
        <w:autoSpaceDN w:val="0"/>
        <w:adjustRightInd w:val="0"/>
        <w:spacing w:after="0" w:line="240" w:lineRule="auto"/>
        <w:rPr>
          <w:b/>
          <w:bCs/>
          <w:color w:val="1F497D" w:themeColor="text2"/>
          <w:sz w:val="20"/>
          <w:szCs w:val="20"/>
        </w:rPr>
      </w:pPr>
      <w:r>
        <w:rPr>
          <w:b/>
          <w:bCs/>
          <w:color w:val="1F497D" w:themeColor="text2"/>
          <w:sz w:val="20"/>
          <w:szCs w:val="20"/>
        </w:rPr>
        <w:lastRenderedPageBreak/>
        <w:t>INSURANCE</w:t>
      </w:r>
    </w:p>
    <w:p w14:paraId="7FAC50BE" w14:textId="77777777" w:rsidR="003C1F2B" w:rsidRDefault="003C1F2B" w:rsidP="00F915F0">
      <w:pPr>
        <w:autoSpaceDE w:val="0"/>
        <w:autoSpaceDN w:val="0"/>
        <w:adjustRightInd w:val="0"/>
        <w:spacing w:after="0" w:line="240" w:lineRule="auto"/>
        <w:rPr>
          <w:sz w:val="20"/>
          <w:szCs w:val="20"/>
        </w:rPr>
      </w:pPr>
    </w:p>
    <w:p w14:paraId="0A0B6BC1" w14:textId="357FB76B" w:rsidR="0068091E" w:rsidRPr="00024542" w:rsidRDefault="00D84C07" w:rsidP="00F915F0">
      <w:pPr>
        <w:autoSpaceDE w:val="0"/>
        <w:autoSpaceDN w:val="0"/>
        <w:adjustRightInd w:val="0"/>
        <w:spacing w:after="0" w:line="240" w:lineRule="auto"/>
        <w:rPr>
          <w:color w:val="01447B"/>
          <w:sz w:val="20"/>
          <w:szCs w:val="20"/>
        </w:rPr>
      </w:pPr>
      <w:r>
        <w:rPr>
          <w:sz w:val="20"/>
          <w:szCs w:val="20"/>
        </w:rPr>
        <w:t>AusPrac</w:t>
      </w:r>
      <w:r w:rsidR="0068091E" w:rsidRPr="00024542">
        <w:rPr>
          <w:sz w:val="20"/>
          <w:szCs w:val="20"/>
        </w:rPr>
        <w:t xml:space="preserve"> offers Group Insurance (including default cover and voluntary cover) and Retail Insurance covering Death, Total and Permanent Disability (TPD) and Income Protection. You can pay your insurance premiums out of your superannuation. </w:t>
      </w:r>
    </w:p>
    <w:p w14:paraId="488DEFC3" w14:textId="77777777" w:rsidR="003C1F2B" w:rsidRDefault="003C1F2B" w:rsidP="003C1F2B">
      <w:pPr>
        <w:autoSpaceDE w:val="0"/>
        <w:autoSpaceDN w:val="0"/>
        <w:adjustRightInd w:val="0"/>
        <w:spacing w:after="0" w:line="240" w:lineRule="auto"/>
        <w:rPr>
          <w:sz w:val="20"/>
          <w:szCs w:val="20"/>
        </w:rPr>
      </w:pPr>
    </w:p>
    <w:p w14:paraId="69CE96E5" w14:textId="10A2972A" w:rsidR="003C1F2B" w:rsidRDefault="003C1F2B" w:rsidP="003C1F2B">
      <w:pPr>
        <w:autoSpaceDE w:val="0"/>
        <w:autoSpaceDN w:val="0"/>
        <w:adjustRightInd w:val="0"/>
        <w:spacing w:after="0" w:line="240" w:lineRule="auto"/>
        <w:rPr>
          <w:sz w:val="20"/>
          <w:szCs w:val="20"/>
        </w:rPr>
      </w:pPr>
      <w:r w:rsidRPr="00024542">
        <w:rPr>
          <w:sz w:val="20"/>
          <w:szCs w:val="20"/>
        </w:rPr>
        <w:t xml:space="preserve">You’re able to opt out of cover, opt-in to cover, transfer existing cover, or vary your cover. Limited cover, exclusions and other conditions may apply. </w:t>
      </w:r>
    </w:p>
    <w:p w14:paraId="25A2093E" w14:textId="77777777" w:rsidR="00F54A25" w:rsidRDefault="00F54A25" w:rsidP="00F54A25">
      <w:pPr>
        <w:autoSpaceDE w:val="0"/>
        <w:autoSpaceDN w:val="0"/>
        <w:adjustRightInd w:val="0"/>
        <w:spacing w:after="0" w:line="240" w:lineRule="auto"/>
        <w:rPr>
          <w:b/>
          <w:bCs/>
          <w:color w:val="1F497D" w:themeColor="text2"/>
          <w:sz w:val="20"/>
          <w:szCs w:val="20"/>
        </w:rPr>
      </w:pPr>
    </w:p>
    <w:p w14:paraId="54494D6A" w14:textId="77777777" w:rsidR="00F54A25" w:rsidRPr="005673CA" w:rsidRDefault="00F54A25" w:rsidP="00F54A25">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t xml:space="preserve">Types of cover </w:t>
      </w:r>
    </w:p>
    <w:p w14:paraId="1B2BB6B3" w14:textId="7B820D50" w:rsidR="00F54A25" w:rsidRPr="005673CA" w:rsidRDefault="00F54A25" w:rsidP="00F54A25">
      <w:pPr>
        <w:autoSpaceDE w:val="0"/>
        <w:autoSpaceDN w:val="0"/>
        <w:adjustRightInd w:val="0"/>
        <w:spacing w:after="0" w:line="240" w:lineRule="auto"/>
        <w:rPr>
          <w:sz w:val="20"/>
          <w:szCs w:val="20"/>
        </w:rPr>
      </w:pPr>
      <w:r w:rsidRPr="005673CA">
        <w:rPr>
          <w:sz w:val="20"/>
          <w:szCs w:val="20"/>
        </w:rPr>
        <w:t xml:space="preserve">You can access insurance cover through </w:t>
      </w:r>
      <w:r w:rsidR="003C1F2B">
        <w:rPr>
          <w:sz w:val="20"/>
          <w:szCs w:val="20"/>
        </w:rPr>
        <w:t xml:space="preserve">AusPrac </w:t>
      </w:r>
      <w:r w:rsidRPr="005673CA">
        <w:rPr>
          <w:sz w:val="20"/>
          <w:szCs w:val="20"/>
        </w:rPr>
        <w:t xml:space="preserve">to help protect your family’s financial security against the unexpected. Both Group Life insurance (default cover and voluntary cover) and Retail Insurance cover are available in Australian Practical Superannuation. </w:t>
      </w:r>
    </w:p>
    <w:p w14:paraId="770CA6AC" w14:textId="77777777" w:rsidR="00F54A25" w:rsidRDefault="00F54A25" w:rsidP="00F54A25">
      <w:pPr>
        <w:autoSpaceDE w:val="0"/>
        <w:autoSpaceDN w:val="0"/>
        <w:adjustRightInd w:val="0"/>
        <w:spacing w:after="0" w:line="240" w:lineRule="auto"/>
        <w:rPr>
          <w:sz w:val="20"/>
          <w:szCs w:val="20"/>
        </w:rPr>
      </w:pPr>
      <w:r w:rsidRPr="005673CA">
        <w:rPr>
          <w:sz w:val="20"/>
          <w:szCs w:val="20"/>
        </w:rPr>
        <w:t xml:space="preserve">Retail Insurance terms are specific to the retail insurer’s product disclosure statement. Speak to your financial adviser to obtain a copy of an insurer’s product disclosure statement or to apply for Retail Insurance cover. </w:t>
      </w:r>
    </w:p>
    <w:p w14:paraId="3B6316C9" w14:textId="77777777" w:rsidR="00F54A25" w:rsidRPr="005673CA" w:rsidRDefault="00F54A25" w:rsidP="00F54A25">
      <w:pPr>
        <w:autoSpaceDE w:val="0"/>
        <w:autoSpaceDN w:val="0"/>
        <w:adjustRightInd w:val="0"/>
        <w:spacing w:after="0" w:line="240" w:lineRule="auto"/>
        <w:rPr>
          <w:sz w:val="20"/>
          <w:szCs w:val="20"/>
        </w:rPr>
      </w:pPr>
    </w:p>
    <w:p w14:paraId="636DF210" w14:textId="77777777" w:rsidR="00F54A25" w:rsidRPr="005673CA" w:rsidRDefault="00F54A25" w:rsidP="00F54A25">
      <w:pPr>
        <w:autoSpaceDE w:val="0"/>
        <w:autoSpaceDN w:val="0"/>
        <w:adjustRightInd w:val="0"/>
        <w:spacing w:after="0" w:line="240" w:lineRule="auto"/>
        <w:rPr>
          <w:sz w:val="20"/>
          <w:szCs w:val="20"/>
        </w:rPr>
      </w:pPr>
      <w:r w:rsidRPr="005673CA">
        <w:rPr>
          <w:sz w:val="20"/>
          <w:szCs w:val="20"/>
        </w:rPr>
        <w:t xml:space="preserve">Options available for Retail Insurance cover: </w:t>
      </w:r>
    </w:p>
    <w:p w14:paraId="0BEC2FE0" w14:textId="77777777" w:rsidR="00F54A25" w:rsidRPr="005673CA" w:rsidRDefault="00F54A25" w:rsidP="00981E97">
      <w:pPr>
        <w:autoSpaceDE w:val="0"/>
        <w:autoSpaceDN w:val="0"/>
        <w:adjustRightInd w:val="0"/>
        <w:spacing w:after="0" w:line="240" w:lineRule="auto"/>
        <w:ind w:left="284"/>
        <w:rPr>
          <w:sz w:val="20"/>
          <w:szCs w:val="20"/>
        </w:rPr>
      </w:pPr>
      <w:r w:rsidRPr="005673CA">
        <w:rPr>
          <w:sz w:val="20"/>
          <w:szCs w:val="20"/>
        </w:rPr>
        <w:sym w:font="Symbol" w:char="F0B7"/>
      </w:r>
      <w:r w:rsidRPr="005673CA">
        <w:rPr>
          <w:sz w:val="20"/>
          <w:szCs w:val="20"/>
        </w:rPr>
        <w:t xml:space="preserve"> Death insurance provides a lump sum benefit in the event of death, or if you are diagnosed with a Terminal Illness. TPD Insurance provides a lump sum benefit if you suffer a TPD, and </w:t>
      </w:r>
    </w:p>
    <w:p w14:paraId="7EF5529A" w14:textId="77777777" w:rsidR="00F54A25" w:rsidRDefault="00F54A25" w:rsidP="00981E97">
      <w:pPr>
        <w:autoSpaceDE w:val="0"/>
        <w:autoSpaceDN w:val="0"/>
        <w:adjustRightInd w:val="0"/>
        <w:spacing w:after="0" w:line="240" w:lineRule="auto"/>
        <w:ind w:left="284"/>
        <w:rPr>
          <w:sz w:val="20"/>
          <w:szCs w:val="20"/>
        </w:rPr>
      </w:pPr>
      <w:r w:rsidRPr="005673CA">
        <w:rPr>
          <w:sz w:val="20"/>
          <w:szCs w:val="20"/>
        </w:rPr>
        <w:sym w:font="Symbol" w:char="F0B7"/>
      </w:r>
      <w:r w:rsidRPr="005673CA">
        <w:rPr>
          <w:sz w:val="20"/>
          <w:szCs w:val="20"/>
        </w:rPr>
        <w:t xml:space="preserve"> Income Protection pays a set percentage of your monthly income for a pre-defined length of time in the event that you suffer total disability as a result of illness or injury. </w:t>
      </w:r>
    </w:p>
    <w:p w14:paraId="246EE0EC" w14:textId="77777777" w:rsidR="00F54A25" w:rsidRPr="005673CA" w:rsidRDefault="00F54A25" w:rsidP="00F54A25">
      <w:pPr>
        <w:autoSpaceDE w:val="0"/>
        <w:autoSpaceDN w:val="0"/>
        <w:adjustRightInd w:val="0"/>
        <w:spacing w:after="0" w:line="240" w:lineRule="auto"/>
        <w:rPr>
          <w:sz w:val="20"/>
          <w:szCs w:val="20"/>
        </w:rPr>
      </w:pPr>
    </w:p>
    <w:p w14:paraId="4CB784B1" w14:textId="77777777" w:rsidR="00F54A25" w:rsidRPr="005673CA" w:rsidRDefault="00F54A25" w:rsidP="00F54A25">
      <w:pPr>
        <w:autoSpaceDE w:val="0"/>
        <w:autoSpaceDN w:val="0"/>
        <w:adjustRightInd w:val="0"/>
        <w:spacing w:after="0" w:line="240" w:lineRule="auto"/>
        <w:rPr>
          <w:sz w:val="20"/>
          <w:szCs w:val="20"/>
        </w:rPr>
      </w:pPr>
      <w:r w:rsidRPr="005673CA">
        <w:rPr>
          <w:sz w:val="20"/>
          <w:szCs w:val="20"/>
        </w:rPr>
        <w:t xml:space="preserve">Group Insurance cover options are: </w:t>
      </w:r>
    </w:p>
    <w:p w14:paraId="376A54AA" w14:textId="77777777" w:rsidR="00F54A25" w:rsidRPr="005673CA" w:rsidRDefault="00F54A25" w:rsidP="00981E97">
      <w:pPr>
        <w:autoSpaceDE w:val="0"/>
        <w:autoSpaceDN w:val="0"/>
        <w:adjustRightInd w:val="0"/>
        <w:spacing w:after="0" w:line="240" w:lineRule="auto"/>
        <w:ind w:left="284"/>
        <w:rPr>
          <w:sz w:val="20"/>
          <w:szCs w:val="20"/>
        </w:rPr>
      </w:pPr>
      <w:r w:rsidRPr="005673CA">
        <w:rPr>
          <w:sz w:val="20"/>
          <w:szCs w:val="20"/>
        </w:rPr>
        <w:sym w:font="Symbol" w:char="F0B7"/>
      </w:r>
      <w:r w:rsidRPr="005673CA">
        <w:rPr>
          <w:sz w:val="20"/>
          <w:szCs w:val="20"/>
        </w:rPr>
        <w:t xml:space="preserve"> Death insurance provides a lump sum benefit in the event of death, or if you are diagnosed with a Terminal Illness, and </w:t>
      </w:r>
    </w:p>
    <w:p w14:paraId="053ED9D9" w14:textId="77777777" w:rsidR="00F54A25" w:rsidRDefault="00F54A25" w:rsidP="00981E97">
      <w:pPr>
        <w:autoSpaceDE w:val="0"/>
        <w:autoSpaceDN w:val="0"/>
        <w:adjustRightInd w:val="0"/>
        <w:spacing w:after="0" w:line="240" w:lineRule="auto"/>
        <w:ind w:left="284"/>
        <w:rPr>
          <w:sz w:val="20"/>
          <w:szCs w:val="20"/>
        </w:rPr>
      </w:pPr>
      <w:r w:rsidRPr="005673CA">
        <w:rPr>
          <w:sz w:val="20"/>
          <w:szCs w:val="20"/>
        </w:rPr>
        <w:sym w:font="Symbol" w:char="F0B7"/>
      </w:r>
      <w:r w:rsidRPr="005673CA">
        <w:rPr>
          <w:sz w:val="20"/>
          <w:szCs w:val="20"/>
        </w:rPr>
        <w:t xml:space="preserve"> TPD Insurance provides a lump sum benefit if you suffer a Total and Permanent Disablement. </w:t>
      </w:r>
    </w:p>
    <w:p w14:paraId="5738165F" w14:textId="77777777" w:rsidR="00F54A25" w:rsidRPr="005673CA" w:rsidRDefault="00F54A25" w:rsidP="00F54A25">
      <w:pPr>
        <w:autoSpaceDE w:val="0"/>
        <w:autoSpaceDN w:val="0"/>
        <w:adjustRightInd w:val="0"/>
        <w:spacing w:after="0" w:line="240" w:lineRule="auto"/>
        <w:rPr>
          <w:sz w:val="20"/>
          <w:szCs w:val="20"/>
        </w:rPr>
      </w:pPr>
    </w:p>
    <w:p w14:paraId="1DBF31BA" w14:textId="77777777" w:rsidR="00F54A25" w:rsidRPr="005673CA" w:rsidRDefault="00F54A25" w:rsidP="00F54A25">
      <w:pPr>
        <w:autoSpaceDE w:val="0"/>
        <w:autoSpaceDN w:val="0"/>
        <w:adjustRightInd w:val="0"/>
        <w:spacing w:after="0" w:line="240" w:lineRule="auto"/>
        <w:rPr>
          <w:sz w:val="20"/>
          <w:szCs w:val="20"/>
        </w:rPr>
      </w:pPr>
      <w:r w:rsidRPr="005673CA">
        <w:rPr>
          <w:sz w:val="20"/>
          <w:szCs w:val="20"/>
        </w:rPr>
        <w:t>Your insurance cover will not commence until your first contribution or rollover has been received, an insurance premium is paid out of your Accumulation Account, and confirmation of the insurance cover has been provided.</w:t>
      </w:r>
    </w:p>
    <w:p w14:paraId="4AE35FAC" w14:textId="77777777" w:rsidR="00F54A25" w:rsidRPr="005673CA" w:rsidRDefault="00F54A25" w:rsidP="00F54A25">
      <w:pPr>
        <w:autoSpaceDE w:val="0"/>
        <w:autoSpaceDN w:val="0"/>
        <w:adjustRightInd w:val="0"/>
        <w:spacing w:after="0" w:line="240" w:lineRule="auto"/>
        <w:rPr>
          <w:sz w:val="20"/>
          <w:szCs w:val="20"/>
        </w:rPr>
      </w:pPr>
      <w:r w:rsidRPr="005673CA">
        <w:rPr>
          <w:sz w:val="20"/>
          <w:szCs w:val="20"/>
        </w:rPr>
        <w:t xml:space="preserve">Default insurance cover is limited for the first twenty-four months of your membership. Any pre-existing illness or injuries are not covered during this time. Refer to the Australian Practical Superannuation Insurance Guide for further information on new events cover. </w:t>
      </w:r>
    </w:p>
    <w:p w14:paraId="0FDA1EAE" w14:textId="77777777" w:rsidR="00F54A25" w:rsidRDefault="00F54A25" w:rsidP="00F54A25">
      <w:pPr>
        <w:autoSpaceDE w:val="0"/>
        <w:autoSpaceDN w:val="0"/>
        <w:adjustRightInd w:val="0"/>
        <w:spacing w:after="0" w:line="240" w:lineRule="auto"/>
      </w:pPr>
    </w:p>
    <w:p w14:paraId="3DD7C0D8" w14:textId="77777777" w:rsidR="00F54A25" w:rsidRPr="005673CA" w:rsidRDefault="00F54A25" w:rsidP="00F54A25">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t xml:space="preserve">Types of Group Life Insurance </w:t>
      </w:r>
    </w:p>
    <w:p w14:paraId="190DEAD3" w14:textId="77777777" w:rsidR="00F54A25" w:rsidRDefault="00F54A25" w:rsidP="00F54A25">
      <w:pPr>
        <w:autoSpaceDE w:val="0"/>
        <w:autoSpaceDN w:val="0"/>
        <w:adjustRightInd w:val="0"/>
        <w:spacing w:after="0" w:line="240" w:lineRule="auto"/>
        <w:rPr>
          <w:sz w:val="20"/>
          <w:szCs w:val="20"/>
        </w:rPr>
      </w:pPr>
      <w:r w:rsidRPr="005673CA">
        <w:rPr>
          <w:sz w:val="20"/>
          <w:szCs w:val="20"/>
        </w:rPr>
        <w:t>Australian Practical Superannuation offers two types of default Group Insurance cover – personal and employee, and voluntary cover, which is subject to underwriting. The type of default insurance cover available to you is determined by your employment status.</w:t>
      </w:r>
    </w:p>
    <w:p w14:paraId="7FF18710" w14:textId="338878B8" w:rsidR="00AE4953" w:rsidRDefault="00AE4953" w:rsidP="001C157D">
      <w:pPr>
        <w:autoSpaceDE w:val="0"/>
        <w:autoSpaceDN w:val="0"/>
        <w:adjustRightInd w:val="0"/>
        <w:spacing w:after="0" w:line="240" w:lineRule="auto"/>
        <w:rPr>
          <w:color w:val="01447B"/>
          <w:sz w:val="20"/>
          <w:szCs w:val="20"/>
        </w:rPr>
      </w:pPr>
    </w:p>
    <w:p w14:paraId="48A4506C" w14:textId="16106E72" w:rsidR="00D84C07" w:rsidRPr="00D84C07" w:rsidRDefault="00D84C07" w:rsidP="001C157D">
      <w:pPr>
        <w:autoSpaceDE w:val="0"/>
        <w:autoSpaceDN w:val="0"/>
        <w:adjustRightInd w:val="0"/>
        <w:spacing w:after="0" w:line="240" w:lineRule="auto"/>
        <w:rPr>
          <w:b/>
          <w:bCs/>
          <w:color w:val="01447B"/>
          <w:sz w:val="20"/>
          <w:szCs w:val="20"/>
        </w:rPr>
      </w:pPr>
      <w:r w:rsidRPr="00D84C07">
        <w:rPr>
          <w:b/>
          <w:bCs/>
          <w:color w:val="01447B"/>
          <w:sz w:val="20"/>
          <w:szCs w:val="20"/>
        </w:rPr>
        <w:t>RISKS &amp; BENEFITS</w:t>
      </w:r>
    </w:p>
    <w:p w14:paraId="0977615A" w14:textId="77777777" w:rsidR="00D84C07" w:rsidRDefault="00D84C07" w:rsidP="001C157D">
      <w:pPr>
        <w:autoSpaceDE w:val="0"/>
        <w:autoSpaceDN w:val="0"/>
        <w:adjustRightInd w:val="0"/>
        <w:spacing w:after="0" w:line="240" w:lineRule="auto"/>
        <w:rPr>
          <w:b/>
          <w:bCs/>
          <w:color w:val="1F497D" w:themeColor="text2"/>
          <w:sz w:val="20"/>
          <w:szCs w:val="20"/>
        </w:rPr>
      </w:pPr>
    </w:p>
    <w:p w14:paraId="340F5B1E" w14:textId="0E9D2838" w:rsidR="00AE4953" w:rsidRPr="005673CA" w:rsidRDefault="0068091E" w:rsidP="001C157D">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t>Benefits</w:t>
      </w:r>
    </w:p>
    <w:p w14:paraId="49FCCFA3" w14:textId="77777777" w:rsidR="0068091E" w:rsidRPr="00024542" w:rsidRDefault="0068091E" w:rsidP="001C157D">
      <w:pPr>
        <w:autoSpaceDE w:val="0"/>
        <w:autoSpaceDN w:val="0"/>
        <w:adjustRightInd w:val="0"/>
        <w:spacing w:after="0" w:line="240" w:lineRule="auto"/>
        <w:rPr>
          <w:sz w:val="20"/>
          <w:szCs w:val="20"/>
        </w:rPr>
      </w:pPr>
      <w:r w:rsidRPr="00024542">
        <w:rPr>
          <w:sz w:val="20"/>
          <w:szCs w:val="20"/>
        </w:rPr>
        <w:t xml:space="preserve">The Secure Online Portal provides online access to: </w:t>
      </w:r>
    </w:p>
    <w:p w14:paraId="30215DFB" w14:textId="19A7D982" w:rsidR="0068091E" w:rsidRPr="00024542" w:rsidRDefault="0068091E"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check your balance, </w:t>
      </w:r>
    </w:p>
    <w:p w14:paraId="45953523" w14:textId="57501A2E" w:rsidR="0068091E" w:rsidRPr="00024542" w:rsidRDefault="0068091E"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obtain BPAY contribution information, </w:t>
      </w:r>
    </w:p>
    <w:p w14:paraId="72F46C21" w14:textId="37093B44" w:rsidR="0068091E" w:rsidRPr="00024542" w:rsidRDefault="0068091E"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view your contributions and Account transactions, </w:t>
      </w:r>
    </w:p>
    <w:p w14:paraId="63078CAF" w14:textId="78337066" w:rsidR="0068091E" w:rsidRPr="00024542" w:rsidRDefault="0068091E"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view and vary your pension payments, </w:t>
      </w:r>
    </w:p>
    <w:p w14:paraId="0D9199DD" w14:textId="7F482213" w:rsidR="0068091E" w:rsidRPr="00024542" w:rsidRDefault="0068091E"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vary your Group Life Insurance, and </w:t>
      </w:r>
    </w:p>
    <w:p w14:paraId="45454E2C" w14:textId="3D27656A" w:rsidR="0068091E" w:rsidRPr="00024542" w:rsidRDefault="0068091E"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view and download various reports</w:t>
      </w:r>
    </w:p>
    <w:p w14:paraId="480FBA01" w14:textId="77777777" w:rsidR="00024542" w:rsidRPr="00024542" w:rsidRDefault="00024542" w:rsidP="001C157D">
      <w:pPr>
        <w:autoSpaceDE w:val="0"/>
        <w:autoSpaceDN w:val="0"/>
        <w:adjustRightInd w:val="0"/>
        <w:spacing w:after="0" w:line="240" w:lineRule="auto"/>
        <w:rPr>
          <w:sz w:val="20"/>
          <w:szCs w:val="20"/>
        </w:rPr>
      </w:pPr>
    </w:p>
    <w:p w14:paraId="3AD25340" w14:textId="0F69D5F9" w:rsidR="00024542" w:rsidRPr="005673CA" w:rsidRDefault="00024542" w:rsidP="001C157D">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t xml:space="preserve">Risks </w:t>
      </w:r>
    </w:p>
    <w:p w14:paraId="21A4AB8C" w14:textId="77777777" w:rsidR="007109AB" w:rsidRDefault="00024542" w:rsidP="001C157D">
      <w:pPr>
        <w:autoSpaceDE w:val="0"/>
        <w:autoSpaceDN w:val="0"/>
        <w:adjustRightInd w:val="0"/>
        <w:spacing w:after="0" w:line="240" w:lineRule="auto"/>
        <w:rPr>
          <w:sz w:val="20"/>
          <w:szCs w:val="20"/>
        </w:rPr>
      </w:pPr>
      <w:r w:rsidRPr="00024542">
        <w:rPr>
          <w:sz w:val="20"/>
          <w:szCs w:val="20"/>
        </w:rPr>
        <w:t xml:space="preserve">All investments carry risk. Super funds may invest in a range of asset classes – for example, cash, fixed interest, property and shares – that have different levels of risks. The likely investment return, and the risk of losing money is different for each investment option depending on the assets that make up the investment strategy. </w:t>
      </w:r>
    </w:p>
    <w:p w14:paraId="273E0898" w14:textId="04613E6E" w:rsidR="00024542" w:rsidRPr="00024542" w:rsidRDefault="00024542" w:rsidP="001C157D">
      <w:pPr>
        <w:autoSpaceDE w:val="0"/>
        <w:autoSpaceDN w:val="0"/>
        <w:adjustRightInd w:val="0"/>
        <w:spacing w:after="0" w:line="240" w:lineRule="auto"/>
        <w:rPr>
          <w:sz w:val="20"/>
          <w:szCs w:val="20"/>
        </w:rPr>
      </w:pPr>
      <w:r w:rsidRPr="00024542">
        <w:rPr>
          <w:sz w:val="20"/>
          <w:szCs w:val="20"/>
        </w:rPr>
        <w:t xml:space="preserve">Generally, the highest </w:t>
      </w:r>
      <w:r w:rsidR="00C75672" w:rsidRPr="00024542">
        <w:rPr>
          <w:sz w:val="20"/>
          <w:szCs w:val="20"/>
        </w:rPr>
        <w:t>long-term</w:t>
      </w:r>
      <w:r w:rsidRPr="00024542">
        <w:rPr>
          <w:sz w:val="20"/>
          <w:szCs w:val="20"/>
        </w:rPr>
        <w:t xml:space="preserve"> returns may also carry the highest level of short-term risk.</w:t>
      </w:r>
    </w:p>
    <w:p w14:paraId="5007CB47" w14:textId="560E300B" w:rsidR="00024542" w:rsidRPr="00024542" w:rsidRDefault="00024542" w:rsidP="001C157D">
      <w:pPr>
        <w:autoSpaceDE w:val="0"/>
        <w:autoSpaceDN w:val="0"/>
        <w:adjustRightInd w:val="0"/>
        <w:spacing w:after="0" w:line="240" w:lineRule="auto"/>
        <w:rPr>
          <w:sz w:val="20"/>
          <w:szCs w:val="20"/>
        </w:rPr>
      </w:pPr>
    </w:p>
    <w:p w14:paraId="6A674A62"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t xml:space="preserve">It is important to understand and consider the investment risks in super before you invest: </w:t>
      </w:r>
    </w:p>
    <w:p w14:paraId="12C15F94" w14:textId="7EC5123A" w:rsidR="00024542" w:rsidRPr="00024542" w:rsidRDefault="00024542"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the value of the investment will go up and down, </w:t>
      </w:r>
    </w:p>
    <w:p w14:paraId="062F0162" w14:textId="69593B0C" w:rsidR="00024542" w:rsidRPr="00024542" w:rsidRDefault="00024542"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the level of returns will vary, and future returns may differ from past returns, </w:t>
      </w:r>
    </w:p>
    <w:p w14:paraId="52EF0A36" w14:textId="1F3B3592" w:rsidR="00024542" w:rsidRPr="00024542" w:rsidRDefault="00024542"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returns are not guaranteed and you may lose some of your money, </w:t>
      </w:r>
    </w:p>
    <w:p w14:paraId="1DE0E689" w14:textId="3D82DF55" w:rsidR="00024542" w:rsidRPr="00024542" w:rsidRDefault="00024542"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the amount of your future superannuation savings (including contributions and returns) may not be enough to provide adequately for your retirement, </w:t>
      </w:r>
    </w:p>
    <w:p w14:paraId="033E0EA9" w14:textId="60BE89AE" w:rsidR="00024542" w:rsidRPr="00024542" w:rsidRDefault="00024542" w:rsidP="000B7D03">
      <w:pPr>
        <w:autoSpaceDE w:val="0"/>
        <w:autoSpaceDN w:val="0"/>
        <w:adjustRightInd w:val="0"/>
        <w:spacing w:after="0" w:line="240" w:lineRule="auto"/>
        <w:ind w:left="284"/>
        <w:rPr>
          <w:sz w:val="20"/>
          <w:szCs w:val="20"/>
        </w:rPr>
      </w:pPr>
      <w:r w:rsidRPr="00024542">
        <w:rPr>
          <w:sz w:val="20"/>
          <w:szCs w:val="20"/>
        </w:rPr>
        <w:sym w:font="Symbol" w:char="F0B7"/>
      </w:r>
      <w:r w:rsidRPr="00024542">
        <w:rPr>
          <w:sz w:val="20"/>
          <w:szCs w:val="20"/>
        </w:rPr>
        <w:t xml:space="preserve">  laws affecting your super and pension may change in the future, and </w:t>
      </w:r>
    </w:p>
    <w:p w14:paraId="7955FA3F" w14:textId="2FE803F5" w:rsidR="00024542" w:rsidRPr="00024542" w:rsidRDefault="00024542" w:rsidP="000B7D03">
      <w:pPr>
        <w:autoSpaceDE w:val="0"/>
        <w:autoSpaceDN w:val="0"/>
        <w:adjustRightInd w:val="0"/>
        <w:spacing w:after="0" w:line="240" w:lineRule="auto"/>
        <w:ind w:left="284"/>
        <w:rPr>
          <w:sz w:val="20"/>
          <w:szCs w:val="20"/>
        </w:rPr>
      </w:pPr>
      <w:r w:rsidRPr="00024542">
        <w:rPr>
          <w:sz w:val="20"/>
          <w:szCs w:val="20"/>
        </w:rPr>
        <w:lastRenderedPageBreak/>
        <w:sym w:font="Symbol" w:char="F0B7"/>
      </w:r>
      <w:r w:rsidRPr="00024542">
        <w:rPr>
          <w:sz w:val="20"/>
          <w:szCs w:val="20"/>
        </w:rPr>
        <w:t xml:space="preserve">  the level of risk for you will vary depending on a range of factors including your age, your investment timeframes, where other parts of your wealth are invested and your risk tolerance.</w:t>
      </w:r>
    </w:p>
    <w:p w14:paraId="72EC9868" w14:textId="799FB5C7" w:rsidR="00024542" w:rsidRPr="00024542" w:rsidRDefault="00024542" w:rsidP="001C157D">
      <w:pPr>
        <w:autoSpaceDE w:val="0"/>
        <w:autoSpaceDN w:val="0"/>
        <w:adjustRightInd w:val="0"/>
        <w:spacing w:after="0" w:line="240" w:lineRule="auto"/>
        <w:rPr>
          <w:sz w:val="20"/>
          <w:szCs w:val="20"/>
        </w:rPr>
      </w:pPr>
    </w:p>
    <w:p w14:paraId="4ACCA167" w14:textId="77777777" w:rsidR="00024542" w:rsidRPr="00024542" w:rsidRDefault="00024542" w:rsidP="001C157D">
      <w:pPr>
        <w:autoSpaceDE w:val="0"/>
        <w:autoSpaceDN w:val="0"/>
        <w:adjustRightInd w:val="0"/>
        <w:spacing w:after="0" w:line="240" w:lineRule="auto"/>
        <w:rPr>
          <w:b/>
          <w:bCs/>
          <w:color w:val="1F497D" w:themeColor="text2"/>
          <w:sz w:val="20"/>
          <w:szCs w:val="20"/>
        </w:rPr>
      </w:pPr>
      <w:r w:rsidRPr="00024542">
        <w:rPr>
          <w:b/>
          <w:bCs/>
          <w:color w:val="1F497D" w:themeColor="text2"/>
          <w:sz w:val="20"/>
          <w:szCs w:val="20"/>
        </w:rPr>
        <w:t xml:space="preserve">Other risks </w:t>
      </w:r>
    </w:p>
    <w:p w14:paraId="14DA16B8"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t xml:space="preserve">Other risks associated with investing in Australian Practical Superannuation include: </w:t>
      </w:r>
    </w:p>
    <w:p w14:paraId="5F7FFCAD" w14:textId="77777777" w:rsidR="00756F56" w:rsidRDefault="00756F56" w:rsidP="001C157D">
      <w:pPr>
        <w:autoSpaceDE w:val="0"/>
        <w:autoSpaceDN w:val="0"/>
        <w:adjustRightInd w:val="0"/>
        <w:spacing w:after="0" w:line="240" w:lineRule="auto"/>
        <w:rPr>
          <w:sz w:val="20"/>
          <w:szCs w:val="20"/>
        </w:rPr>
        <w:sectPr w:rsidR="00756F56" w:rsidSect="00C62AE1">
          <w:headerReference w:type="default" r:id="rId13"/>
          <w:type w:val="continuous"/>
          <w:pgSz w:w="11906" w:h="16838"/>
          <w:pgMar w:top="720" w:right="720" w:bottom="720" w:left="720" w:header="709" w:footer="709" w:gutter="0"/>
          <w:cols w:space="708"/>
          <w:docGrid w:linePitch="360"/>
        </w:sectPr>
      </w:pPr>
    </w:p>
    <w:p w14:paraId="4001FF2B" w14:textId="5FEE996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Capital risk </w:t>
      </w:r>
      <w:r w:rsidRPr="00024542">
        <w:rPr>
          <w:sz w:val="20"/>
          <w:szCs w:val="20"/>
        </w:rPr>
        <w:tab/>
      </w:r>
      <w:r w:rsidRPr="00024542">
        <w:rPr>
          <w:sz w:val="20"/>
          <w:szCs w:val="20"/>
        </w:rPr>
        <w:tab/>
      </w:r>
      <w:r w:rsidRPr="00024542">
        <w:rPr>
          <w:sz w:val="20"/>
          <w:szCs w:val="20"/>
        </w:rPr>
        <w:tab/>
      </w:r>
    </w:p>
    <w:p w14:paraId="46F21AC0"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Market risk </w:t>
      </w:r>
    </w:p>
    <w:p w14:paraId="7E865B20"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Inflation risk </w:t>
      </w:r>
    </w:p>
    <w:p w14:paraId="04603286"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Settlement risk </w:t>
      </w:r>
    </w:p>
    <w:p w14:paraId="14596E83"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Interest rate risk </w:t>
      </w:r>
    </w:p>
    <w:p w14:paraId="5404E66B"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Exchange rate risk </w:t>
      </w:r>
    </w:p>
    <w:p w14:paraId="6D7CCBED"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Derivatives risk </w:t>
      </w:r>
    </w:p>
    <w:p w14:paraId="4D54283F"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Fund risk </w:t>
      </w:r>
    </w:p>
    <w:p w14:paraId="39DD98BE" w14:textId="7F99E0DB"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Operational risk</w:t>
      </w:r>
    </w:p>
    <w:p w14:paraId="703B0DDD"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Legal and Regulatory risk </w:t>
      </w:r>
    </w:p>
    <w:p w14:paraId="3A2B8C1C"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Credit risk </w:t>
      </w:r>
    </w:p>
    <w:p w14:paraId="3EC46A90"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Investment management risk </w:t>
      </w:r>
    </w:p>
    <w:p w14:paraId="74506F1A"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Country/Emerging markets risk </w:t>
      </w:r>
    </w:p>
    <w:p w14:paraId="78CB6530"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Valuation risk </w:t>
      </w:r>
    </w:p>
    <w:p w14:paraId="4D189E7E"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Leverage risk </w:t>
      </w:r>
    </w:p>
    <w:p w14:paraId="45D9CE01"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Borrowing risk </w:t>
      </w:r>
    </w:p>
    <w:p w14:paraId="33F4B9EB" w14:textId="77777777" w:rsidR="00024542" w:rsidRPr="00024542" w:rsidRDefault="00024542" w:rsidP="001C157D">
      <w:pPr>
        <w:autoSpaceDE w:val="0"/>
        <w:autoSpaceDN w:val="0"/>
        <w:adjustRightInd w:val="0"/>
        <w:spacing w:after="0" w:line="240" w:lineRule="auto"/>
        <w:rPr>
          <w:sz w:val="20"/>
          <w:szCs w:val="20"/>
        </w:rPr>
      </w:pPr>
      <w:r w:rsidRPr="00024542">
        <w:rPr>
          <w:sz w:val="20"/>
          <w:szCs w:val="20"/>
        </w:rPr>
        <w:sym w:font="Symbol" w:char="F0B7"/>
      </w:r>
      <w:r w:rsidRPr="00024542">
        <w:rPr>
          <w:sz w:val="20"/>
          <w:szCs w:val="20"/>
        </w:rPr>
        <w:t xml:space="preserve"> Liquidity risk </w:t>
      </w:r>
    </w:p>
    <w:p w14:paraId="393AB84E" w14:textId="77777777" w:rsidR="00756F56" w:rsidRDefault="00024542" w:rsidP="001C157D">
      <w:pPr>
        <w:autoSpaceDE w:val="0"/>
        <w:autoSpaceDN w:val="0"/>
        <w:adjustRightInd w:val="0"/>
        <w:spacing w:after="0" w:line="240" w:lineRule="auto"/>
        <w:rPr>
          <w:sz w:val="20"/>
          <w:szCs w:val="20"/>
        </w:rPr>
        <w:sectPr w:rsidR="00756F56" w:rsidSect="00756F56">
          <w:type w:val="continuous"/>
          <w:pgSz w:w="11906" w:h="16838"/>
          <w:pgMar w:top="720" w:right="720" w:bottom="720" w:left="720" w:header="709" w:footer="709" w:gutter="0"/>
          <w:cols w:num="2" w:space="708"/>
          <w:docGrid w:linePitch="360"/>
        </w:sectPr>
      </w:pPr>
      <w:r w:rsidRPr="00024542">
        <w:rPr>
          <w:sz w:val="20"/>
          <w:szCs w:val="20"/>
        </w:rPr>
        <w:sym w:font="Symbol" w:char="F0B7"/>
      </w:r>
      <w:r w:rsidRPr="00024542">
        <w:rPr>
          <w:sz w:val="20"/>
          <w:szCs w:val="20"/>
        </w:rPr>
        <w:t xml:space="preserve"> Longevity risk</w:t>
      </w:r>
    </w:p>
    <w:p w14:paraId="7F0D97FD" w14:textId="4C0D6724" w:rsidR="00024542" w:rsidRDefault="00024542" w:rsidP="001C157D">
      <w:pPr>
        <w:autoSpaceDE w:val="0"/>
        <w:autoSpaceDN w:val="0"/>
        <w:adjustRightInd w:val="0"/>
        <w:spacing w:after="0" w:line="240" w:lineRule="auto"/>
        <w:rPr>
          <w:sz w:val="20"/>
          <w:szCs w:val="20"/>
        </w:rPr>
      </w:pPr>
    </w:p>
    <w:p w14:paraId="5A57D273" w14:textId="77777777" w:rsidR="00756F56" w:rsidRPr="00024542" w:rsidRDefault="00756F56" w:rsidP="001C157D">
      <w:pPr>
        <w:autoSpaceDE w:val="0"/>
        <w:autoSpaceDN w:val="0"/>
        <w:adjustRightInd w:val="0"/>
        <w:spacing w:after="0" w:line="240" w:lineRule="auto"/>
        <w:rPr>
          <w:sz w:val="20"/>
          <w:szCs w:val="20"/>
        </w:rPr>
      </w:pPr>
    </w:p>
    <w:p w14:paraId="340B60D3" w14:textId="338E3D38" w:rsidR="006222F6" w:rsidRDefault="006222F6" w:rsidP="001C157D">
      <w:pPr>
        <w:autoSpaceDE w:val="0"/>
        <w:autoSpaceDN w:val="0"/>
        <w:adjustRightInd w:val="0"/>
        <w:spacing w:after="0" w:line="240" w:lineRule="auto"/>
        <w:rPr>
          <w:b/>
          <w:bCs/>
          <w:color w:val="1F497D" w:themeColor="text2"/>
          <w:sz w:val="20"/>
          <w:szCs w:val="20"/>
        </w:rPr>
      </w:pPr>
    </w:p>
    <w:p w14:paraId="41A3B199" w14:textId="44F9472F" w:rsidR="006222F6" w:rsidRDefault="00D425C8" w:rsidP="001C157D">
      <w:pPr>
        <w:autoSpaceDE w:val="0"/>
        <w:autoSpaceDN w:val="0"/>
        <w:adjustRightInd w:val="0"/>
        <w:spacing w:after="0" w:line="240" w:lineRule="auto"/>
        <w:rPr>
          <w:b/>
          <w:bCs/>
          <w:color w:val="1F497D" w:themeColor="text2"/>
          <w:sz w:val="20"/>
          <w:szCs w:val="20"/>
        </w:rPr>
      </w:pPr>
      <w:r>
        <w:rPr>
          <w:b/>
          <w:bCs/>
          <w:color w:val="1F497D" w:themeColor="text2"/>
          <w:sz w:val="20"/>
          <w:szCs w:val="20"/>
        </w:rPr>
        <w:t>FEES &amp; COSTS</w:t>
      </w:r>
    </w:p>
    <w:p w14:paraId="4E3AC07E" w14:textId="62A86ECF" w:rsidR="006222F6" w:rsidRDefault="006222F6" w:rsidP="001C157D">
      <w:pPr>
        <w:autoSpaceDE w:val="0"/>
        <w:autoSpaceDN w:val="0"/>
        <w:adjustRightInd w:val="0"/>
        <w:spacing w:after="0" w:line="240" w:lineRule="auto"/>
        <w:rPr>
          <w:sz w:val="20"/>
          <w:szCs w:val="20"/>
        </w:rPr>
      </w:pPr>
      <w:r w:rsidRPr="006222F6">
        <w:rPr>
          <w:sz w:val="20"/>
          <w:szCs w:val="20"/>
        </w:rPr>
        <w:t>Entry fees and exit fees cannot be charged.</w:t>
      </w:r>
    </w:p>
    <w:p w14:paraId="2EE8ACEA" w14:textId="2F3E5CCF" w:rsidR="006222F6" w:rsidRDefault="006222F6" w:rsidP="001C157D">
      <w:pPr>
        <w:autoSpaceDE w:val="0"/>
        <w:autoSpaceDN w:val="0"/>
        <w:adjustRightInd w:val="0"/>
        <w:spacing w:after="0" w:line="240" w:lineRule="auto"/>
        <w:rPr>
          <w:sz w:val="20"/>
          <w:szCs w:val="20"/>
        </w:rPr>
      </w:pPr>
    </w:p>
    <w:p w14:paraId="067B35D6" w14:textId="5BC2A3B4" w:rsidR="006222F6" w:rsidRDefault="006222F6" w:rsidP="0062180B">
      <w:pPr>
        <w:autoSpaceDE w:val="0"/>
        <w:autoSpaceDN w:val="0"/>
        <w:adjustRightInd w:val="0"/>
        <w:spacing w:after="0" w:line="240" w:lineRule="auto"/>
        <w:ind w:firstLine="851"/>
        <w:rPr>
          <w:sz w:val="20"/>
          <w:szCs w:val="20"/>
        </w:rPr>
      </w:pPr>
      <w:r>
        <w:rPr>
          <w:noProof/>
        </w:rPr>
        <w:drawing>
          <wp:inline distT="0" distB="0" distL="0" distR="0" wp14:anchorId="66AD5CED" wp14:editId="23D2DE05">
            <wp:extent cx="4953000" cy="453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53000" cy="4533900"/>
                    </a:xfrm>
                    <a:prstGeom prst="rect">
                      <a:avLst/>
                    </a:prstGeom>
                  </pic:spPr>
                </pic:pic>
              </a:graphicData>
            </a:graphic>
          </wp:inline>
        </w:drawing>
      </w:r>
    </w:p>
    <w:p w14:paraId="550F1265" w14:textId="5E151929" w:rsidR="006222F6" w:rsidRDefault="006222F6" w:rsidP="001C157D">
      <w:pPr>
        <w:autoSpaceDE w:val="0"/>
        <w:autoSpaceDN w:val="0"/>
        <w:adjustRightInd w:val="0"/>
        <w:spacing w:after="0" w:line="240" w:lineRule="auto"/>
        <w:rPr>
          <w:sz w:val="20"/>
          <w:szCs w:val="20"/>
        </w:rPr>
      </w:pPr>
    </w:p>
    <w:p w14:paraId="3886B24B" w14:textId="77777777" w:rsidR="006222F6" w:rsidRDefault="006222F6" w:rsidP="001C157D">
      <w:pPr>
        <w:autoSpaceDE w:val="0"/>
        <w:autoSpaceDN w:val="0"/>
        <w:adjustRightInd w:val="0"/>
        <w:spacing w:after="0" w:line="240" w:lineRule="auto"/>
        <w:rPr>
          <w:sz w:val="18"/>
          <w:szCs w:val="18"/>
        </w:rPr>
      </w:pPr>
      <w:r w:rsidRPr="00403EEC">
        <w:rPr>
          <w:sz w:val="12"/>
          <w:szCs w:val="12"/>
        </w:rPr>
        <w:t>1</w:t>
      </w:r>
      <w:r w:rsidRPr="006222F6">
        <w:rPr>
          <w:sz w:val="16"/>
          <w:szCs w:val="16"/>
        </w:rPr>
        <w:t xml:space="preserve"> </w:t>
      </w:r>
      <w:r w:rsidRPr="006222F6">
        <w:rPr>
          <w:sz w:val="18"/>
          <w:szCs w:val="18"/>
        </w:rPr>
        <w:t xml:space="preserve">If your Account balance for a product offered by the superannuation entity is less than $6,000 at the end of the entity’s income year, the total combined amount of the administration fees, investment fees and indirect costs charged to you is capped at 3% of the account balance. Any amount charged in excess of that cap must be refunded. </w:t>
      </w:r>
    </w:p>
    <w:p w14:paraId="6A731E4C" w14:textId="3D219CF2" w:rsidR="006222F6" w:rsidRDefault="006222F6" w:rsidP="001C157D">
      <w:pPr>
        <w:autoSpaceDE w:val="0"/>
        <w:autoSpaceDN w:val="0"/>
        <w:adjustRightInd w:val="0"/>
        <w:spacing w:after="0" w:line="240" w:lineRule="auto"/>
        <w:rPr>
          <w:sz w:val="18"/>
          <w:szCs w:val="18"/>
        </w:rPr>
      </w:pPr>
      <w:r w:rsidRPr="00403EEC">
        <w:rPr>
          <w:sz w:val="12"/>
          <w:szCs w:val="12"/>
        </w:rPr>
        <w:t>2</w:t>
      </w:r>
      <w:r w:rsidRPr="006222F6">
        <w:rPr>
          <w:sz w:val="18"/>
          <w:szCs w:val="18"/>
        </w:rPr>
        <w:t xml:space="preserve"> Underlying fees may be charged by the fund manager, investment manager or the</w:t>
      </w:r>
      <w:r>
        <w:rPr>
          <w:sz w:val="18"/>
          <w:szCs w:val="18"/>
        </w:rPr>
        <w:t xml:space="preserve"> product provider.</w:t>
      </w:r>
    </w:p>
    <w:p w14:paraId="3AA17EED" w14:textId="77777777" w:rsidR="006222F6" w:rsidRDefault="006222F6" w:rsidP="001C157D">
      <w:pPr>
        <w:autoSpaceDE w:val="0"/>
        <w:autoSpaceDN w:val="0"/>
        <w:adjustRightInd w:val="0"/>
        <w:spacing w:after="0" w:line="240" w:lineRule="auto"/>
        <w:rPr>
          <w:sz w:val="18"/>
          <w:szCs w:val="18"/>
        </w:rPr>
      </w:pPr>
      <w:r w:rsidRPr="00403EEC">
        <w:rPr>
          <w:sz w:val="12"/>
          <w:szCs w:val="12"/>
        </w:rPr>
        <w:t>3</w:t>
      </w:r>
      <w:r w:rsidRPr="006222F6">
        <w:rPr>
          <w:sz w:val="16"/>
          <w:szCs w:val="16"/>
        </w:rPr>
        <w:t xml:space="preserve"> </w:t>
      </w:r>
      <w:r w:rsidRPr="006222F6">
        <w:rPr>
          <w:sz w:val="18"/>
          <w:szCs w:val="18"/>
        </w:rPr>
        <w:t xml:space="preserve">Expense recovery fee is paid into a reserve and may include transfers to Operational Risk Finance Reserve (ORFR) from member accounts if required to meet regulatory requirements. Subject to 1 above, the fee of $50 applies irrespective of your Account balance. </w:t>
      </w:r>
    </w:p>
    <w:p w14:paraId="4D8ECA80" w14:textId="453B9E18" w:rsidR="006222F6" w:rsidRPr="006222F6" w:rsidRDefault="006222F6" w:rsidP="001C157D">
      <w:pPr>
        <w:autoSpaceDE w:val="0"/>
        <w:autoSpaceDN w:val="0"/>
        <w:adjustRightInd w:val="0"/>
        <w:spacing w:after="0" w:line="240" w:lineRule="auto"/>
        <w:rPr>
          <w:sz w:val="18"/>
          <w:szCs w:val="18"/>
        </w:rPr>
      </w:pPr>
      <w:r w:rsidRPr="00403EEC">
        <w:rPr>
          <w:sz w:val="12"/>
          <w:szCs w:val="12"/>
        </w:rPr>
        <w:t>4</w:t>
      </w:r>
      <w:r w:rsidRPr="006222F6">
        <w:rPr>
          <w:sz w:val="18"/>
          <w:szCs w:val="18"/>
        </w:rPr>
        <w:t xml:space="preserve"> Depending on the investment option you choose; other fees and costs may apply. Refer to the Additional Information Guide. Also refer to the Additional explanation of fees and costs.</w:t>
      </w:r>
    </w:p>
    <w:p w14:paraId="3B1013B9" w14:textId="72D17DCA" w:rsidR="006222F6" w:rsidRDefault="006222F6" w:rsidP="001C157D">
      <w:pPr>
        <w:autoSpaceDE w:val="0"/>
        <w:autoSpaceDN w:val="0"/>
        <w:adjustRightInd w:val="0"/>
        <w:spacing w:after="0" w:line="240" w:lineRule="auto"/>
        <w:rPr>
          <w:sz w:val="18"/>
          <w:szCs w:val="18"/>
        </w:rPr>
      </w:pPr>
    </w:p>
    <w:p w14:paraId="1EDBE26B" w14:textId="48877A5B" w:rsidR="00FF6EAA" w:rsidRDefault="00FF6EAA" w:rsidP="001C157D">
      <w:pPr>
        <w:autoSpaceDE w:val="0"/>
        <w:autoSpaceDN w:val="0"/>
        <w:adjustRightInd w:val="0"/>
        <w:spacing w:after="0" w:line="240" w:lineRule="auto"/>
        <w:rPr>
          <w:b/>
          <w:bCs/>
          <w:color w:val="1F497D" w:themeColor="text2"/>
          <w:sz w:val="20"/>
          <w:szCs w:val="20"/>
        </w:rPr>
      </w:pPr>
    </w:p>
    <w:p w14:paraId="106DCA41" w14:textId="77777777" w:rsidR="002737A4" w:rsidRDefault="002737A4" w:rsidP="001C157D">
      <w:pPr>
        <w:autoSpaceDE w:val="0"/>
        <w:autoSpaceDN w:val="0"/>
        <w:adjustRightInd w:val="0"/>
        <w:spacing w:after="0" w:line="240" w:lineRule="auto"/>
        <w:rPr>
          <w:b/>
          <w:bCs/>
          <w:color w:val="1F497D" w:themeColor="text2"/>
          <w:sz w:val="20"/>
          <w:szCs w:val="20"/>
        </w:rPr>
      </w:pPr>
    </w:p>
    <w:p w14:paraId="5127945E" w14:textId="7999DDB8" w:rsidR="006222F6" w:rsidRPr="005673CA" w:rsidRDefault="006222F6" w:rsidP="001C157D">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lastRenderedPageBreak/>
        <w:t xml:space="preserve">How fees and costs are charged </w:t>
      </w:r>
    </w:p>
    <w:p w14:paraId="52874328" w14:textId="392168DB" w:rsidR="006222F6" w:rsidRPr="006222F6" w:rsidRDefault="006222F6" w:rsidP="001C157D">
      <w:pPr>
        <w:autoSpaceDE w:val="0"/>
        <w:autoSpaceDN w:val="0"/>
        <w:adjustRightInd w:val="0"/>
        <w:spacing w:after="0" w:line="240" w:lineRule="auto"/>
        <w:rPr>
          <w:sz w:val="20"/>
          <w:szCs w:val="20"/>
        </w:rPr>
      </w:pPr>
      <w:r w:rsidRPr="006222F6">
        <w:rPr>
          <w:sz w:val="20"/>
          <w:szCs w:val="20"/>
        </w:rPr>
        <w:t xml:space="preserve">Fees and costs can be paid directly from your Cash Hub or deducted from your investment returns. </w:t>
      </w:r>
    </w:p>
    <w:p w14:paraId="51C06B61" w14:textId="77777777" w:rsidR="006222F6" w:rsidRDefault="006222F6" w:rsidP="001C157D">
      <w:pPr>
        <w:autoSpaceDE w:val="0"/>
        <w:autoSpaceDN w:val="0"/>
        <w:adjustRightInd w:val="0"/>
        <w:spacing w:after="0" w:line="240" w:lineRule="auto"/>
      </w:pPr>
    </w:p>
    <w:p w14:paraId="37668A7D" w14:textId="77777777" w:rsidR="006222F6" w:rsidRPr="005673CA" w:rsidRDefault="006222F6" w:rsidP="001C157D">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t xml:space="preserve">Changes to fees and costs </w:t>
      </w:r>
    </w:p>
    <w:p w14:paraId="4FB2DCAE" w14:textId="6D0D3E98" w:rsidR="006222F6" w:rsidRPr="006222F6" w:rsidRDefault="006222F6" w:rsidP="001C157D">
      <w:pPr>
        <w:autoSpaceDE w:val="0"/>
        <w:autoSpaceDN w:val="0"/>
        <w:adjustRightInd w:val="0"/>
        <w:spacing w:after="0" w:line="240" w:lineRule="auto"/>
        <w:rPr>
          <w:sz w:val="20"/>
          <w:szCs w:val="20"/>
        </w:rPr>
      </w:pPr>
      <w:r w:rsidRPr="006222F6">
        <w:rPr>
          <w:sz w:val="20"/>
          <w:szCs w:val="20"/>
        </w:rPr>
        <w:t xml:space="preserve">The Trustee may introduce new fees or change existing fees at any time. </w:t>
      </w:r>
      <w:r w:rsidR="00D95277">
        <w:rPr>
          <w:sz w:val="20"/>
          <w:szCs w:val="20"/>
        </w:rPr>
        <w:t>They</w:t>
      </w:r>
      <w:r w:rsidRPr="006222F6">
        <w:rPr>
          <w:sz w:val="20"/>
          <w:szCs w:val="20"/>
        </w:rPr>
        <w:t xml:space="preserve"> will notify you at least 30 days in advance before </w:t>
      </w:r>
      <w:r w:rsidR="00D95277">
        <w:rPr>
          <w:sz w:val="20"/>
          <w:szCs w:val="20"/>
        </w:rPr>
        <w:t>they</w:t>
      </w:r>
      <w:r w:rsidRPr="006222F6">
        <w:rPr>
          <w:sz w:val="20"/>
          <w:szCs w:val="20"/>
        </w:rPr>
        <w:t xml:space="preserve"> introduce new fees, if the changes are materially adverse to you, or if </w:t>
      </w:r>
      <w:r w:rsidR="00D95277">
        <w:rPr>
          <w:sz w:val="20"/>
          <w:szCs w:val="20"/>
        </w:rPr>
        <w:t>they</w:t>
      </w:r>
      <w:r w:rsidRPr="006222F6">
        <w:rPr>
          <w:sz w:val="20"/>
          <w:szCs w:val="20"/>
        </w:rPr>
        <w:t xml:space="preserve"> increase existing fees. </w:t>
      </w:r>
    </w:p>
    <w:p w14:paraId="03191AF3" w14:textId="77777777" w:rsidR="006222F6" w:rsidRDefault="006222F6" w:rsidP="001C157D">
      <w:pPr>
        <w:autoSpaceDE w:val="0"/>
        <w:autoSpaceDN w:val="0"/>
        <w:adjustRightInd w:val="0"/>
        <w:spacing w:after="0" w:line="240" w:lineRule="auto"/>
      </w:pPr>
    </w:p>
    <w:p w14:paraId="24CEDE6D" w14:textId="77777777" w:rsidR="006222F6" w:rsidRPr="005673CA" w:rsidRDefault="006222F6" w:rsidP="001C157D">
      <w:pPr>
        <w:autoSpaceDE w:val="0"/>
        <w:autoSpaceDN w:val="0"/>
        <w:adjustRightInd w:val="0"/>
        <w:spacing w:after="0" w:line="240" w:lineRule="auto"/>
        <w:rPr>
          <w:b/>
          <w:bCs/>
          <w:color w:val="1F497D" w:themeColor="text2"/>
          <w:sz w:val="20"/>
          <w:szCs w:val="20"/>
        </w:rPr>
      </w:pPr>
      <w:r w:rsidRPr="005673CA">
        <w:rPr>
          <w:b/>
          <w:bCs/>
          <w:color w:val="1F497D" w:themeColor="text2"/>
          <w:sz w:val="20"/>
          <w:szCs w:val="20"/>
        </w:rPr>
        <w:t xml:space="preserve">Fees and Costs of underlying investments </w:t>
      </w:r>
    </w:p>
    <w:p w14:paraId="69D3A990" w14:textId="7489DF09" w:rsidR="006222F6" w:rsidRDefault="006222F6" w:rsidP="001C157D">
      <w:pPr>
        <w:autoSpaceDE w:val="0"/>
        <w:autoSpaceDN w:val="0"/>
        <w:adjustRightInd w:val="0"/>
        <w:spacing w:after="0" w:line="240" w:lineRule="auto"/>
        <w:rPr>
          <w:sz w:val="20"/>
          <w:szCs w:val="20"/>
        </w:rPr>
      </w:pPr>
      <w:r w:rsidRPr="006222F6">
        <w:rPr>
          <w:sz w:val="20"/>
          <w:szCs w:val="20"/>
        </w:rPr>
        <w:t>For Super Wrap investments in Managed Funds, in the Managed Account Model Portfolios and ASX Listed Securities available in the Managed Account, underlying fees may be charged by the fund manager, portfolio investment manager or the product provider, as applicable. These fees and costs are in addition to the fees and costs you pay in Australian Practical Superannuation. For details of the fees and cost that apply to the particular investment, you should refer to the product disclosure statement for that investment, available in the Secure Online Portal.</w:t>
      </w:r>
    </w:p>
    <w:p w14:paraId="683E5700" w14:textId="3A9C8938" w:rsidR="00FF6EAA" w:rsidRDefault="00FF6EAA" w:rsidP="001C157D">
      <w:pPr>
        <w:autoSpaceDE w:val="0"/>
        <w:autoSpaceDN w:val="0"/>
        <w:adjustRightInd w:val="0"/>
        <w:spacing w:after="0" w:line="240" w:lineRule="auto"/>
        <w:rPr>
          <w:sz w:val="20"/>
          <w:szCs w:val="20"/>
        </w:rPr>
      </w:pPr>
    </w:p>
    <w:p w14:paraId="4EA28AFE" w14:textId="26E00CB7" w:rsidR="005673CA" w:rsidRPr="005673CA" w:rsidRDefault="000B7D03" w:rsidP="001C157D">
      <w:pPr>
        <w:autoSpaceDE w:val="0"/>
        <w:autoSpaceDN w:val="0"/>
        <w:adjustRightInd w:val="0"/>
        <w:spacing w:after="0" w:line="240" w:lineRule="auto"/>
        <w:rPr>
          <w:b/>
          <w:bCs/>
          <w:color w:val="1F497D" w:themeColor="text2"/>
          <w:sz w:val="20"/>
          <w:szCs w:val="20"/>
        </w:rPr>
      </w:pPr>
      <w:r>
        <w:rPr>
          <w:b/>
          <w:bCs/>
          <w:color w:val="1F497D" w:themeColor="text2"/>
          <w:sz w:val="20"/>
          <w:szCs w:val="20"/>
        </w:rPr>
        <w:t>COOLING-OFF PERIOD</w:t>
      </w:r>
    </w:p>
    <w:p w14:paraId="41140BF4" w14:textId="5CE73E63" w:rsidR="005673CA" w:rsidRDefault="005673CA" w:rsidP="001C157D">
      <w:pPr>
        <w:autoSpaceDE w:val="0"/>
        <w:autoSpaceDN w:val="0"/>
        <w:adjustRightInd w:val="0"/>
        <w:spacing w:after="0" w:line="240" w:lineRule="auto"/>
        <w:rPr>
          <w:sz w:val="20"/>
          <w:szCs w:val="20"/>
        </w:rPr>
      </w:pPr>
      <w:r w:rsidRPr="005673CA">
        <w:rPr>
          <w:sz w:val="20"/>
          <w:szCs w:val="20"/>
        </w:rPr>
        <w:t xml:space="preserve">If you change your mind after opening an Account, you </w:t>
      </w:r>
      <w:r w:rsidR="00D95277">
        <w:rPr>
          <w:sz w:val="20"/>
          <w:szCs w:val="20"/>
        </w:rPr>
        <w:t>can</w:t>
      </w:r>
      <w:r w:rsidRPr="005673CA">
        <w:rPr>
          <w:sz w:val="20"/>
          <w:szCs w:val="20"/>
        </w:rPr>
        <w:t xml:space="preserve"> write to </w:t>
      </w:r>
      <w:r w:rsidR="00D95277">
        <w:rPr>
          <w:sz w:val="20"/>
          <w:szCs w:val="20"/>
        </w:rPr>
        <w:t>AusPrac</w:t>
      </w:r>
      <w:r w:rsidRPr="005673CA">
        <w:rPr>
          <w:sz w:val="20"/>
          <w:szCs w:val="20"/>
        </w:rPr>
        <w:t xml:space="preserve"> to cancel your application within your 14-day cooling-off period. Your cooling-off period starts at the earlier of: </w:t>
      </w:r>
    </w:p>
    <w:p w14:paraId="37B35B06" w14:textId="77777777" w:rsidR="005673CA" w:rsidRPr="005673CA" w:rsidRDefault="005673CA" w:rsidP="001C157D">
      <w:pPr>
        <w:autoSpaceDE w:val="0"/>
        <w:autoSpaceDN w:val="0"/>
        <w:adjustRightInd w:val="0"/>
        <w:spacing w:after="0" w:line="240" w:lineRule="auto"/>
        <w:rPr>
          <w:sz w:val="20"/>
          <w:szCs w:val="20"/>
        </w:rPr>
      </w:pPr>
    </w:p>
    <w:p w14:paraId="6CB5B953" w14:textId="77777777" w:rsidR="005673CA" w:rsidRPr="005673CA" w:rsidRDefault="005673CA" w:rsidP="000B7D03">
      <w:pPr>
        <w:autoSpaceDE w:val="0"/>
        <w:autoSpaceDN w:val="0"/>
        <w:adjustRightInd w:val="0"/>
        <w:spacing w:after="0" w:line="240" w:lineRule="auto"/>
        <w:ind w:left="284"/>
        <w:rPr>
          <w:sz w:val="20"/>
          <w:szCs w:val="20"/>
        </w:rPr>
      </w:pPr>
      <w:r w:rsidRPr="005673CA">
        <w:rPr>
          <w:sz w:val="20"/>
          <w:szCs w:val="20"/>
        </w:rPr>
        <w:sym w:font="Symbol" w:char="F0B7"/>
      </w:r>
      <w:r w:rsidRPr="005673CA">
        <w:rPr>
          <w:sz w:val="20"/>
          <w:szCs w:val="20"/>
        </w:rPr>
        <w:t xml:space="preserve"> 5 days after your application is accepted, or </w:t>
      </w:r>
    </w:p>
    <w:p w14:paraId="45388602" w14:textId="3F013940" w:rsidR="005673CA" w:rsidRDefault="005673CA" w:rsidP="000B7D03">
      <w:pPr>
        <w:autoSpaceDE w:val="0"/>
        <w:autoSpaceDN w:val="0"/>
        <w:adjustRightInd w:val="0"/>
        <w:spacing w:after="0" w:line="240" w:lineRule="auto"/>
        <w:ind w:left="284"/>
        <w:rPr>
          <w:sz w:val="20"/>
          <w:szCs w:val="20"/>
        </w:rPr>
      </w:pPr>
      <w:r w:rsidRPr="005673CA">
        <w:rPr>
          <w:sz w:val="20"/>
          <w:szCs w:val="20"/>
        </w:rPr>
        <w:sym w:font="Symbol" w:char="F0B7"/>
      </w:r>
      <w:r w:rsidRPr="005673CA">
        <w:rPr>
          <w:sz w:val="20"/>
          <w:szCs w:val="20"/>
        </w:rPr>
        <w:t xml:space="preserve"> the date the Fund confirms your membership in writing. </w:t>
      </w:r>
    </w:p>
    <w:p w14:paraId="2CFE1BC0" w14:textId="77777777" w:rsidR="005673CA" w:rsidRPr="005673CA" w:rsidRDefault="005673CA" w:rsidP="001C157D">
      <w:pPr>
        <w:autoSpaceDE w:val="0"/>
        <w:autoSpaceDN w:val="0"/>
        <w:adjustRightInd w:val="0"/>
        <w:spacing w:after="0" w:line="240" w:lineRule="auto"/>
        <w:rPr>
          <w:sz w:val="20"/>
          <w:szCs w:val="20"/>
        </w:rPr>
      </w:pPr>
    </w:p>
    <w:p w14:paraId="0FB6870A" w14:textId="18173789" w:rsidR="005673CA" w:rsidRPr="005673CA" w:rsidRDefault="00897F47" w:rsidP="001C157D">
      <w:pPr>
        <w:autoSpaceDE w:val="0"/>
        <w:autoSpaceDN w:val="0"/>
        <w:adjustRightInd w:val="0"/>
        <w:spacing w:after="0" w:line="240" w:lineRule="auto"/>
        <w:rPr>
          <w:b/>
          <w:bCs/>
          <w:color w:val="1F497D" w:themeColor="text2"/>
          <w:sz w:val="20"/>
          <w:szCs w:val="20"/>
        </w:rPr>
      </w:pPr>
      <w:r>
        <w:rPr>
          <w:sz w:val="20"/>
          <w:szCs w:val="20"/>
        </w:rPr>
        <w:t>Upo</w:t>
      </w:r>
      <w:r w:rsidR="005673CA" w:rsidRPr="005673CA">
        <w:rPr>
          <w:sz w:val="20"/>
          <w:szCs w:val="20"/>
        </w:rPr>
        <w:t xml:space="preserve">n cancellation, </w:t>
      </w:r>
      <w:r>
        <w:rPr>
          <w:sz w:val="20"/>
          <w:szCs w:val="20"/>
        </w:rPr>
        <w:t>AusPrac</w:t>
      </w:r>
      <w:r w:rsidR="005673CA" w:rsidRPr="005673CA">
        <w:rPr>
          <w:sz w:val="20"/>
          <w:szCs w:val="20"/>
        </w:rPr>
        <w:t xml:space="preserve"> will refund any contributions you have made to your Account (if you are entitled to access your super) or transfer any contributions you have made to a nominated complying super fund. The refund may be decreased or increased to allow for market movements of your investments during that time. </w:t>
      </w:r>
      <w:r>
        <w:rPr>
          <w:sz w:val="20"/>
          <w:szCs w:val="20"/>
        </w:rPr>
        <w:t>AusPrac</w:t>
      </w:r>
      <w:r w:rsidR="005673CA" w:rsidRPr="005673CA">
        <w:rPr>
          <w:sz w:val="20"/>
          <w:szCs w:val="20"/>
        </w:rPr>
        <w:t xml:space="preserve"> may also deduct any reasonable transaction and administrative costs, tax or duty incurred. Fees you have agreed to pay your financial adviser may also be deducted. </w:t>
      </w:r>
    </w:p>
    <w:sectPr w:rsidR="005673CA" w:rsidRPr="005673CA" w:rsidSect="00C62AE1">
      <w:type w:val="continuous"/>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ane Miller" w:date="2020-09-01T11:36:00Z" w:initials="SM">
    <w:p w14:paraId="5499FB1E" w14:textId="67AF0D45" w:rsidR="003F3672" w:rsidRDefault="003F3672">
      <w:pPr>
        <w:pStyle w:val="CommentText"/>
      </w:pPr>
      <w:r>
        <w:rPr>
          <w:rStyle w:val="CommentReference"/>
        </w:rPr>
        <w:annotationRef/>
      </w:r>
      <w:r>
        <w:t>Updated Sept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99FB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B0D2" w16cex:dateUtc="2020-09-01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99FB1E" w16cid:durableId="22F8B0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61EA1" w14:textId="77777777" w:rsidR="00CC6BA0" w:rsidRDefault="00CC6BA0" w:rsidP="00072CC6">
      <w:pPr>
        <w:spacing w:after="0" w:line="240" w:lineRule="auto"/>
      </w:pPr>
      <w:r>
        <w:separator/>
      </w:r>
    </w:p>
  </w:endnote>
  <w:endnote w:type="continuationSeparator" w:id="0">
    <w:p w14:paraId="61B8595F" w14:textId="77777777" w:rsidR="00CC6BA0" w:rsidRDefault="00CC6BA0" w:rsidP="000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IN Next LT Pro Light">
    <w:altName w:val="DIN Next LT Pro Light"/>
    <w:panose1 w:val="00000000000000000000"/>
    <w:charset w:val="00"/>
    <w:family w:val="swiss"/>
    <w:notTrueType/>
    <w:pitch w:val="default"/>
    <w:sig w:usb0="00000003" w:usb1="00000000" w:usb2="00000000" w:usb3="00000000" w:csb0="00000001" w:csb1="00000000"/>
  </w:font>
  <w:font w:name="DIN Next LT Pro">
    <w:altName w:val="DIN Next LT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25CC" w14:textId="77777777" w:rsidR="00CC6BA0" w:rsidRDefault="00CC6BA0" w:rsidP="00072CC6">
      <w:pPr>
        <w:spacing w:after="0" w:line="240" w:lineRule="auto"/>
      </w:pPr>
      <w:r>
        <w:separator/>
      </w:r>
    </w:p>
  </w:footnote>
  <w:footnote w:type="continuationSeparator" w:id="0">
    <w:p w14:paraId="6A828000" w14:textId="77777777" w:rsidR="00CC6BA0" w:rsidRDefault="00CC6BA0" w:rsidP="0007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5893" w14:textId="77777777" w:rsidR="00FF6EAA" w:rsidRDefault="00FF6EAA" w:rsidP="00072CC6">
    <w:pPr>
      <w:pStyle w:val="Header"/>
      <w:jc w:val="right"/>
    </w:pPr>
  </w:p>
  <w:p w14:paraId="287CEF0C" w14:textId="77777777" w:rsidR="00FF6EAA" w:rsidRDefault="00FF6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DE09F2"/>
    <w:lvl w:ilvl="0">
      <w:start w:val="1"/>
      <w:numFmt w:val="bullet"/>
      <w:pStyle w:val="ListBullet"/>
      <w:lvlText w:val=""/>
      <w:lvlJc w:val="left"/>
      <w:pPr>
        <w:tabs>
          <w:tab w:val="num" w:pos="4678"/>
        </w:tabs>
        <w:ind w:left="4678" w:hanging="360"/>
      </w:pPr>
      <w:rPr>
        <w:rFonts w:ascii="Symbol" w:hAnsi="Symbol" w:hint="default"/>
      </w:rPr>
    </w:lvl>
  </w:abstractNum>
  <w:abstractNum w:abstractNumId="1" w15:restartNumberingAfterBreak="0">
    <w:nsid w:val="038B1240"/>
    <w:multiLevelType w:val="hybridMultilevel"/>
    <w:tmpl w:val="8918EF02"/>
    <w:lvl w:ilvl="0" w:tplc="B48ACAAA">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078E6"/>
    <w:multiLevelType w:val="hybridMultilevel"/>
    <w:tmpl w:val="C25E3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9654DB"/>
    <w:multiLevelType w:val="hybridMultilevel"/>
    <w:tmpl w:val="3776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21C1B"/>
    <w:multiLevelType w:val="hybridMultilevel"/>
    <w:tmpl w:val="01068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554BE"/>
    <w:multiLevelType w:val="hybridMultilevel"/>
    <w:tmpl w:val="87F4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DA435D"/>
    <w:multiLevelType w:val="hybridMultilevel"/>
    <w:tmpl w:val="43903D74"/>
    <w:lvl w:ilvl="0" w:tplc="E28A42A2">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7" w15:restartNumberingAfterBreak="0">
    <w:nsid w:val="57580A45"/>
    <w:multiLevelType w:val="hybridMultilevel"/>
    <w:tmpl w:val="724C6A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861C67"/>
    <w:multiLevelType w:val="hybridMultilevel"/>
    <w:tmpl w:val="798A0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D3435C"/>
    <w:multiLevelType w:val="hybridMultilevel"/>
    <w:tmpl w:val="AD7E64CC"/>
    <w:lvl w:ilvl="0" w:tplc="68CCE268">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0C5005"/>
    <w:multiLevelType w:val="hybridMultilevel"/>
    <w:tmpl w:val="1EA06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0"/>
  </w:num>
  <w:num w:numId="6">
    <w:abstractNumId w:val="2"/>
  </w:num>
  <w:num w:numId="7">
    <w:abstractNumId w:val="4"/>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F0"/>
    <w:rsid w:val="00002C56"/>
    <w:rsid w:val="00013304"/>
    <w:rsid w:val="00023520"/>
    <w:rsid w:val="00024542"/>
    <w:rsid w:val="00026FCF"/>
    <w:rsid w:val="00031197"/>
    <w:rsid w:val="00056478"/>
    <w:rsid w:val="000602F9"/>
    <w:rsid w:val="0006179A"/>
    <w:rsid w:val="00072CC6"/>
    <w:rsid w:val="00074A97"/>
    <w:rsid w:val="00080692"/>
    <w:rsid w:val="00082E61"/>
    <w:rsid w:val="000B1941"/>
    <w:rsid w:val="000B7465"/>
    <w:rsid w:val="000B7D03"/>
    <w:rsid w:val="000C34DA"/>
    <w:rsid w:val="000C40F5"/>
    <w:rsid w:val="000D0012"/>
    <w:rsid w:val="000D060E"/>
    <w:rsid w:val="000E0028"/>
    <w:rsid w:val="00103E4F"/>
    <w:rsid w:val="001350C4"/>
    <w:rsid w:val="00136286"/>
    <w:rsid w:val="00140A07"/>
    <w:rsid w:val="00143875"/>
    <w:rsid w:val="00145B2D"/>
    <w:rsid w:val="00157594"/>
    <w:rsid w:val="001762DF"/>
    <w:rsid w:val="0017630F"/>
    <w:rsid w:val="00182BFA"/>
    <w:rsid w:val="00182CB9"/>
    <w:rsid w:val="00186038"/>
    <w:rsid w:val="00191138"/>
    <w:rsid w:val="001922C8"/>
    <w:rsid w:val="00193DC3"/>
    <w:rsid w:val="001A1AA1"/>
    <w:rsid w:val="001A57DC"/>
    <w:rsid w:val="001B2AE8"/>
    <w:rsid w:val="001B7545"/>
    <w:rsid w:val="001C07DC"/>
    <w:rsid w:val="001C093D"/>
    <w:rsid w:val="001C157D"/>
    <w:rsid w:val="001C5574"/>
    <w:rsid w:val="001C72C5"/>
    <w:rsid w:val="001D6D4C"/>
    <w:rsid w:val="00213CF0"/>
    <w:rsid w:val="00215463"/>
    <w:rsid w:val="0022112F"/>
    <w:rsid w:val="0022650C"/>
    <w:rsid w:val="0024769C"/>
    <w:rsid w:val="00271E72"/>
    <w:rsid w:val="00272A62"/>
    <w:rsid w:val="002737A4"/>
    <w:rsid w:val="002748C3"/>
    <w:rsid w:val="002752D1"/>
    <w:rsid w:val="002A490E"/>
    <w:rsid w:val="002A516C"/>
    <w:rsid w:val="002B02B7"/>
    <w:rsid w:val="002B2118"/>
    <w:rsid w:val="002D0F84"/>
    <w:rsid w:val="002E62B6"/>
    <w:rsid w:val="002F7970"/>
    <w:rsid w:val="00300634"/>
    <w:rsid w:val="00315E48"/>
    <w:rsid w:val="00316256"/>
    <w:rsid w:val="003175DF"/>
    <w:rsid w:val="00333717"/>
    <w:rsid w:val="0033799D"/>
    <w:rsid w:val="00340DBF"/>
    <w:rsid w:val="003414D4"/>
    <w:rsid w:val="00355E60"/>
    <w:rsid w:val="00364221"/>
    <w:rsid w:val="0036529B"/>
    <w:rsid w:val="00383589"/>
    <w:rsid w:val="003868C0"/>
    <w:rsid w:val="00386985"/>
    <w:rsid w:val="003909AB"/>
    <w:rsid w:val="00393A45"/>
    <w:rsid w:val="003B5056"/>
    <w:rsid w:val="003C1F2B"/>
    <w:rsid w:val="003C5D5B"/>
    <w:rsid w:val="003D7A12"/>
    <w:rsid w:val="003E5F24"/>
    <w:rsid w:val="003F3672"/>
    <w:rsid w:val="003F730B"/>
    <w:rsid w:val="00400DE4"/>
    <w:rsid w:val="00403EEC"/>
    <w:rsid w:val="00421B70"/>
    <w:rsid w:val="004225A6"/>
    <w:rsid w:val="00423F69"/>
    <w:rsid w:val="00446397"/>
    <w:rsid w:val="00450AFB"/>
    <w:rsid w:val="00451AF9"/>
    <w:rsid w:val="00455093"/>
    <w:rsid w:val="0047525D"/>
    <w:rsid w:val="00480534"/>
    <w:rsid w:val="00481C21"/>
    <w:rsid w:val="004827C4"/>
    <w:rsid w:val="0048288A"/>
    <w:rsid w:val="00483F3A"/>
    <w:rsid w:val="0049097A"/>
    <w:rsid w:val="004A7523"/>
    <w:rsid w:val="004B6BCE"/>
    <w:rsid w:val="004C34F9"/>
    <w:rsid w:val="004C4047"/>
    <w:rsid w:val="004D313C"/>
    <w:rsid w:val="004D6277"/>
    <w:rsid w:val="004E6F19"/>
    <w:rsid w:val="004F4237"/>
    <w:rsid w:val="004F492F"/>
    <w:rsid w:val="004F6807"/>
    <w:rsid w:val="005024EE"/>
    <w:rsid w:val="00504530"/>
    <w:rsid w:val="00512CD9"/>
    <w:rsid w:val="005174DC"/>
    <w:rsid w:val="005472DE"/>
    <w:rsid w:val="005601A0"/>
    <w:rsid w:val="005673CA"/>
    <w:rsid w:val="005723D5"/>
    <w:rsid w:val="00591054"/>
    <w:rsid w:val="005A1910"/>
    <w:rsid w:val="005A1AC7"/>
    <w:rsid w:val="005A3217"/>
    <w:rsid w:val="005B0637"/>
    <w:rsid w:val="005C4665"/>
    <w:rsid w:val="005E7259"/>
    <w:rsid w:val="0062180B"/>
    <w:rsid w:val="006222F6"/>
    <w:rsid w:val="00631952"/>
    <w:rsid w:val="006433C8"/>
    <w:rsid w:val="006518C3"/>
    <w:rsid w:val="00651AC8"/>
    <w:rsid w:val="00654631"/>
    <w:rsid w:val="00657CF6"/>
    <w:rsid w:val="006605DB"/>
    <w:rsid w:val="00674DC0"/>
    <w:rsid w:val="00675978"/>
    <w:rsid w:val="0067674B"/>
    <w:rsid w:val="0068091E"/>
    <w:rsid w:val="0069720B"/>
    <w:rsid w:val="006A57E7"/>
    <w:rsid w:val="006A7D1D"/>
    <w:rsid w:val="006B7AF4"/>
    <w:rsid w:val="006C762C"/>
    <w:rsid w:val="006D74DD"/>
    <w:rsid w:val="006E4B43"/>
    <w:rsid w:val="006F0B9B"/>
    <w:rsid w:val="006F4D0C"/>
    <w:rsid w:val="006F66CA"/>
    <w:rsid w:val="0070300A"/>
    <w:rsid w:val="007062ED"/>
    <w:rsid w:val="007109AB"/>
    <w:rsid w:val="00713CA2"/>
    <w:rsid w:val="00714F82"/>
    <w:rsid w:val="00715B4D"/>
    <w:rsid w:val="00733B7D"/>
    <w:rsid w:val="00740E08"/>
    <w:rsid w:val="00750857"/>
    <w:rsid w:val="00756F56"/>
    <w:rsid w:val="0075792F"/>
    <w:rsid w:val="00760D62"/>
    <w:rsid w:val="00762E40"/>
    <w:rsid w:val="0077152D"/>
    <w:rsid w:val="007A24D3"/>
    <w:rsid w:val="007A4E4A"/>
    <w:rsid w:val="007B6280"/>
    <w:rsid w:val="007C0F34"/>
    <w:rsid w:val="007C54B2"/>
    <w:rsid w:val="007C7B1D"/>
    <w:rsid w:val="007E16CE"/>
    <w:rsid w:val="007E7F45"/>
    <w:rsid w:val="007F27D8"/>
    <w:rsid w:val="007F6EE3"/>
    <w:rsid w:val="00800D6B"/>
    <w:rsid w:val="00803404"/>
    <w:rsid w:val="00817D19"/>
    <w:rsid w:val="008219C2"/>
    <w:rsid w:val="00822D7F"/>
    <w:rsid w:val="00835EDE"/>
    <w:rsid w:val="00837D4C"/>
    <w:rsid w:val="008511AD"/>
    <w:rsid w:val="0085390D"/>
    <w:rsid w:val="00855691"/>
    <w:rsid w:val="00862BCF"/>
    <w:rsid w:val="008641D3"/>
    <w:rsid w:val="00872152"/>
    <w:rsid w:val="00873A3D"/>
    <w:rsid w:val="0087669F"/>
    <w:rsid w:val="00877BDA"/>
    <w:rsid w:val="00877F23"/>
    <w:rsid w:val="0089259E"/>
    <w:rsid w:val="00895B17"/>
    <w:rsid w:val="00896631"/>
    <w:rsid w:val="00897F47"/>
    <w:rsid w:val="008A2368"/>
    <w:rsid w:val="008B3F2A"/>
    <w:rsid w:val="008C416B"/>
    <w:rsid w:val="008C4B84"/>
    <w:rsid w:val="008C51E1"/>
    <w:rsid w:val="008D0409"/>
    <w:rsid w:val="008D2C03"/>
    <w:rsid w:val="008D6BE3"/>
    <w:rsid w:val="008E6FA0"/>
    <w:rsid w:val="008F02E8"/>
    <w:rsid w:val="008F0420"/>
    <w:rsid w:val="008F11BC"/>
    <w:rsid w:val="008F4DA9"/>
    <w:rsid w:val="0090110C"/>
    <w:rsid w:val="00905D94"/>
    <w:rsid w:val="00930B52"/>
    <w:rsid w:val="009437C2"/>
    <w:rsid w:val="0096008E"/>
    <w:rsid w:val="00960D6C"/>
    <w:rsid w:val="00963FD3"/>
    <w:rsid w:val="009643C5"/>
    <w:rsid w:val="00966317"/>
    <w:rsid w:val="0097658E"/>
    <w:rsid w:val="00977A66"/>
    <w:rsid w:val="0098188C"/>
    <w:rsid w:val="00981E97"/>
    <w:rsid w:val="009824D3"/>
    <w:rsid w:val="00983C4A"/>
    <w:rsid w:val="00985938"/>
    <w:rsid w:val="00986ACF"/>
    <w:rsid w:val="00986E08"/>
    <w:rsid w:val="00994929"/>
    <w:rsid w:val="009D4BF4"/>
    <w:rsid w:val="009D581C"/>
    <w:rsid w:val="009E3290"/>
    <w:rsid w:val="009E71F8"/>
    <w:rsid w:val="009F00BE"/>
    <w:rsid w:val="00A0484E"/>
    <w:rsid w:val="00A42F3E"/>
    <w:rsid w:val="00A540F4"/>
    <w:rsid w:val="00A75399"/>
    <w:rsid w:val="00A76E7F"/>
    <w:rsid w:val="00A8296F"/>
    <w:rsid w:val="00A850CD"/>
    <w:rsid w:val="00A85C42"/>
    <w:rsid w:val="00AD24C0"/>
    <w:rsid w:val="00AE4953"/>
    <w:rsid w:val="00B02121"/>
    <w:rsid w:val="00B07C3A"/>
    <w:rsid w:val="00B1045E"/>
    <w:rsid w:val="00B25039"/>
    <w:rsid w:val="00B334E5"/>
    <w:rsid w:val="00B36660"/>
    <w:rsid w:val="00B367CF"/>
    <w:rsid w:val="00B45F77"/>
    <w:rsid w:val="00B53DCC"/>
    <w:rsid w:val="00B5465E"/>
    <w:rsid w:val="00B566B6"/>
    <w:rsid w:val="00B611E5"/>
    <w:rsid w:val="00B62003"/>
    <w:rsid w:val="00B624F8"/>
    <w:rsid w:val="00B627A1"/>
    <w:rsid w:val="00B6284B"/>
    <w:rsid w:val="00B71FF2"/>
    <w:rsid w:val="00B76857"/>
    <w:rsid w:val="00B8369B"/>
    <w:rsid w:val="00B83B87"/>
    <w:rsid w:val="00BA5533"/>
    <w:rsid w:val="00BA6199"/>
    <w:rsid w:val="00BE4CE8"/>
    <w:rsid w:val="00BE6EE5"/>
    <w:rsid w:val="00C03900"/>
    <w:rsid w:val="00C23676"/>
    <w:rsid w:val="00C2772C"/>
    <w:rsid w:val="00C320B8"/>
    <w:rsid w:val="00C520AC"/>
    <w:rsid w:val="00C57E75"/>
    <w:rsid w:val="00C62AE1"/>
    <w:rsid w:val="00C661AC"/>
    <w:rsid w:val="00C75672"/>
    <w:rsid w:val="00C7659C"/>
    <w:rsid w:val="00C80BF7"/>
    <w:rsid w:val="00C837B7"/>
    <w:rsid w:val="00C87958"/>
    <w:rsid w:val="00C932E0"/>
    <w:rsid w:val="00CB18BA"/>
    <w:rsid w:val="00CB2A68"/>
    <w:rsid w:val="00CB37D5"/>
    <w:rsid w:val="00CB461C"/>
    <w:rsid w:val="00CC064B"/>
    <w:rsid w:val="00CC1AFD"/>
    <w:rsid w:val="00CC3D67"/>
    <w:rsid w:val="00CC4E8D"/>
    <w:rsid w:val="00CC6BA0"/>
    <w:rsid w:val="00CD1614"/>
    <w:rsid w:val="00CE1C08"/>
    <w:rsid w:val="00CF2363"/>
    <w:rsid w:val="00D04AC9"/>
    <w:rsid w:val="00D04F49"/>
    <w:rsid w:val="00D0728C"/>
    <w:rsid w:val="00D104E9"/>
    <w:rsid w:val="00D12D3B"/>
    <w:rsid w:val="00D21AD0"/>
    <w:rsid w:val="00D22682"/>
    <w:rsid w:val="00D348A8"/>
    <w:rsid w:val="00D35F50"/>
    <w:rsid w:val="00D40EC9"/>
    <w:rsid w:val="00D4154C"/>
    <w:rsid w:val="00D425C8"/>
    <w:rsid w:val="00D429BC"/>
    <w:rsid w:val="00D5523D"/>
    <w:rsid w:val="00D634F8"/>
    <w:rsid w:val="00D714E4"/>
    <w:rsid w:val="00D7624A"/>
    <w:rsid w:val="00D84C07"/>
    <w:rsid w:val="00D95277"/>
    <w:rsid w:val="00D967D1"/>
    <w:rsid w:val="00DA189A"/>
    <w:rsid w:val="00DC5821"/>
    <w:rsid w:val="00DD6482"/>
    <w:rsid w:val="00DF6442"/>
    <w:rsid w:val="00DF6E49"/>
    <w:rsid w:val="00E01765"/>
    <w:rsid w:val="00E0688A"/>
    <w:rsid w:val="00E1188A"/>
    <w:rsid w:val="00E240AB"/>
    <w:rsid w:val="00E31EC0"/>
    <w:rsid w:val="00E35A4B"/>
    <w:rsid w:val="00E504C1"/>
    <w:rsid w:val="00E55D5C"/>
    <w:rsid w:val="00E75A98"/>
    <w:rsid w:val="00E775A1"/>
    <w:rsid w:val="00E80CC9"/>
    <w:rsid w:val="00E9430F"/>
    <w:rsid w:val="00E96C70"/>
    <w:rsid w:val="00EA4743"/>
    <w:rsid w:val="00EB1A7B"/>
    <w:rsid w:val="00EB3150"/>
    <w:rsid w:val="00EC201E"/>
    <w:rsid w:val="00ED4561"/>
    <w:rsid w:val="00F0040F"/>
    <w:rsid w:val="00F12C8A"/>
    <w:rsid w:val="00F50F60"/>
    <w:rsid w:val="00F53353"/>
    <w:rsid w:val="00F54A25"/>
    <w:rsid w:val="00F57B81"/>
    <w:rsid w:val="00F63129"/>
    <w:rsid w:val="00F63FC1"/>
    <w:rsid w:val="00F73990"/>
    <w:rsid w:val="00F86F9C"/>
    <w:rsid w:val="00F915F0"/>
    <w:rsid w:val="00F97F32"/>
    <w:rsid w:val="00FA2B98"/>
    <w:rsid w:val="00FA3327"/>
    <w:rsid w:val="00FA68D6"/>
    <w:rsid w:val="00FB2C2F"/>
    <w:rsid w:val="00FB31E9"/>
    <w:rsid w:val="00FC5AE1"/>
    <w:rsid w:val="00FC7D75"/>
    <w:rsid w:val="00FC7DC6"/>
    <w:rsid w:val="00FD0C53"/>
    <w:rsid w:val="00FD3E0D"/>
    <w:rsid w:val="00FF6E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97624"/>
  <w15:docId w15:val="{732D09D7-9BD0-4E8F-8C29-35E5D9DF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4DD"/>
    <w:pPr>
      <w:keepNext/>
      <w:keepLines/>
      <w:spacing w:before="60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66CA"/>
    <w:pPr>
      <w:keepNext/>
      <w:keepLines/>
      <w:spacing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6F66CA"/>
    <w:pPr>
      <w:keepNext/>
      <w:keepLines/>
      <w:spacing w:before="320" w:after="1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6BC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765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4E9"/>
    <w:rPr>
      <w:rFonts w:ascii="Tahoma" w:hAnsi="Tahoma" w:cs="Tahoma"/>
      <w:sz w:val="16"/>
      <w:szCs w:val="16"/>
    </w:rPr>
  </w:style>
  <w:style w:type="paragraph" w:customStyle="1" w:styleId="Default">
    <w:name w:val="Default"/>
    <w:rsid w:val="00E35A4B"/>
    <w:pPr>
      <w:autoSpaceDE w:val="0"/>
      <w:autoSpaceDN w:val="0"/>
      <w:adjustRightInd w:val="0"/>
      <w:spacing w:after="0" w:line="240" w:lineRule="auto"/>
    </w:pPr>
    <w:rPr>
      <w:rFonts w:ascii="Arial Narrow" w:eastAsia="Calibri" w:hAnsi="Arial Narrow" w:cs="Arial Narrow"/>
      <w:color w:val="000000"/>
      <w:sz w:val="24"/>
      <w:szCs w:val="24"/>
    </w:rPr>
  </w:style>
  <w:style w:type="paragraph" w:styleId="PlainText">
    <w:name w:val="Plain Text"/>
    <w:basedOn w:val="Normal"/>
    <w:link w:val="PlainTextChar"/>
    <w:uiPriority w:val="99"/>
    <w:unhideWhenUsed/>
    <w:rsid w:val="001362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36286"/>
    <w:rPr>
      <w:rFonts w:ascii="Consolas" w:eastAsia="Calibri" w:hAnsi="Consolas" w:cs="Times New Roman"/>
      <w:sz w:val="21"/>
      <w:szCs w:val="21"/>
    </w:rPr>
  </w:style>
  <w:style w:type="paragraph" w:styleId="ListParagraph">
    <w:name w:val="List Paragraph"/>
    <w:basedOn w:val="Normal"/>
    <w:uiPriority w:val="34"/>
    <w:qFormat/>
    <w:rsid w:val="00B71FF2"/>
    <w:pPr>
      <w:ind w:left="720"/>
      <w:contextualSpacing/>
    </w:pPr>
  </w:style>
  <w:style w:type="character" w:customStyle="1" w:styleId="Heading1Char">
    <w:name w:val="Heading 1 Char"/>
    <w:basedOn w:val="DefaultParagraphFont"/>
    <w:link w:val="Heading1"/>
    <w:uiPriority w:val="9"/>
    <w:rsid w:val="006D74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66CA"/>
    <w:rPr>
      <w:rFonts w:asciiTheme="majorHAnsi" w:eastAsiaTheme="majorEastAsia" w:hAnsiTheme="majorHAnsi" w:cstheme="majorBidi"/>
      <w:bCs/>
      <w:color w:val="4F81BD" w:themeColor="accent1"/>
      <w:sz w:val="26"/>
      <w:szCs w:val="26"/>
    </w:rPr>
  </w:style>
  <w:style w:type="character" w:styleId="CommentReference">
    <w:name w:val="annotation reference"/>
    <w:basedOn w:val="DefaultParagraphFont"/>
    <w:unhideWhenUsed/>
    <w:rsid w:val="00B5465E"/>
    <w:rPr>
      <w:sz w:val="16"/>
      <w:szCs w:val="16"/>
    </w:rPr>
  </w:style>
  <w:style w:type="paragraph" w:styleId="CommentText">
    <w:name w:val="annotation text"/>
    <w:basedOn w:val="Normal"/>
    <w:link w:val="CommentTextChar"/>
    <w:unhideWhenUsed/>
    <w:rsid w:val="00B5465E"/>
    <w:pPr>
      <w:spacing w:line="240" w:lineRule="auto"/>
    </w:pPr>
    <w:rPr>
      <w:sz w:val="20"/>
      <w:szCs w:val="20"/>
    </w:rPr>
  </w:style>
  <w:style w:type="character" w:customStyle="1" w:styleId="CommentTextChar">
    <w:name w:val="Comment Text Char"/>
    <w:basedOn w:val="DefaultParagraphFont"/>
    <w:link w:val="CommentText"/>
    <w:rsid w:val="00B5465E"/>
    <w:rPr>
      <w:sz w:val="20"/>
      <w:szCs w:val="20"/>
    </w:rPr>
  </w:style>
  <w:style w:type="paragraph" w:styleId="CommentSubject">
    <w:name w:val="annotation subject"/>
    <w:basedOn w:val="CommentText"/>
    <w:next w:val="CommentText"/>
    <w:link w:val="CommentSubjectChar"/>
    <w:uiPriority w:val="99"/>
    <w:semiHidden/>
    <w:unhideWhenUsed/>
    <w:rsid w:val="00B5465E"/>
    <w:rPr>
      <w:b/>
      <w:bCs/>
    </w:rPr>
  </w:style>
  <w:style w:type="character" w:customStyle="1" w:styleId="CommentSubjectChar">
    <w:name w:val="Comment Subject Char"/>
    <w:basedOn w:val="CommentTextChar"/>
    <w:link w:val="CommentSubject"/>
    <w:uiPriority w:val="99"/>
    <w:semiHidden/>
    <w:rsid w:val="00B5465E"/>
    <w:rPr>
      <w:b/>
      <w:bCs/>
      <w:sz w:val="20"/>
      <w:szCs w:val="20"/>
    </w:rPr>
  </w:style>
  <w:style w:type="paragraph" w:styleId="Revision">
    <w:name w:val="Revision"/>
    <w:hidden/>
    <w:uiPriority w:val="99"/>
    <w:semiHidden/>
    <w:rsid w:val="00B5465E"/>
    <w:pPr>
      <w:spacing w:after="0" w:line="240" w:lineRule="auto"/>
    </w:pPr>
  </w:style>
  <w:style w:type="character" w:styleId="Hyperlink">
    <w:name w:val="Hyperlink"/>
    <w:basedOn w:val="DefaultParagraphFont"/>
    <w:uiPriority w:val="99"/>
    <w:unhideWhenUsed/>
    <w:rsid w:val="00C932E0"/>
    <w:rPr>
      <w:color w:val="0000FF" w:themeColor="hyperlink"/>
      <w:u w:val="single"/>
    </w:rPr>
  </w:style>
  <w:style w:type="character" w:customStyle="1" w:styleId="Heading3Char">
    <w:name w:val="Heading 3 Char"/>
    <w:basedOn w:val="DefaultParagraphFont"/>
    <w:link w:val="Heading3"/>
    <w:uiPriority w:val="9"/>
    <w:rsid w:val="006F66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B6BCE"/>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97658E"/>
    <w:rPr>
      <w:rFonts w:asciiTheme="majorHAnsi" w:eastAsiaTheme="majorEastAsia" w:hAnsiTheme="majorHAnsi" w:cstheme="majorBidi"/>
      <w:i/>
      <w:iCs/>
      <w:color w:val="243F60" w:themeColor="accent1" w:themeShade="7F"/>
    </w:rPr>
  </w:style>
  <w:style w:type="paragraph" w:styleId="ListBullet">
    <w:name w:val="List Bullet"/>
    <w:basedOn w:val="Normal"/>
    <w:uiPriority w:val="99"/>
    <w:unhideWhenUsed/>
    <w:rsid w:val="0097658E"/>
    <w:pPr>
      <w:numPr>
        <w:numId w:val="1"/>
      </w:numPr>
      <w:contextualSpacing/>
    </w:pPr>
  </w:style>
  <w:style w:type="paragraph" w:styleId="Caption">
    <w:name w:val="caption"/>
    <w:basedOn w:val="Normal"/>
    <w:next w:val="Normal"/>
    <w:uiPriority w:val="35"/>
    <w:unhideWhenUsed/>
    <w:qFormat/>
    <w:rsid w:val="0097658E"/>
    <w:pPr>
      <w:spacing w:line="240" w:lineRule="auto"/>
    </w:pPr>
    <w:rPr>
      <w:b/>
      <w:bCs/>
      <w:color w:val="4F81BD" w:themeColor="accent1"/>
      <w:sz w:val="18"/>
      <w:szCs w:val="18"/>
    </w:rPr>
  </w:style>
  <w:style w:type="paragraph" w:styleId="BodyText">
    <w:name w:val="Body Text"/>
    <w:basedOn w:val="Normal"/>
    <w:link w:val="BodyTextChar"/>
    <w:uiPriority w:val="99"/>
    <w:unhideWhenUsed/>
    <w:rsid w:val="0097658E"/>
    <w:pPr>
      <w:spacing w:after="120"/>
    </w:pPr>
  </w:style>
  <w:style w:type="character" w:customStyle="1" w:styleId="BodyTextChar">
    <w:name w:val="Body Text Char"/>
    <w:basedOn w:val="DefaultParagraphFont"/>
    <w:link w:val="BodyText"/>
    <w:uiPriority w:val="99"/>
    <w:rsid w:val="0097658E"/>
  </w:style>
  <w:style w:type="table" w:styleId="TableGrid">
    <w:name w:val="Table Grid"/>
    <w:basedOn w:val="TableNormal"/>
    <w:uiPriority w:val="59"/>
    <w:rsid w:val="0006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CC6"/>
  </w:style>
  <w:style w:type="paragraph" w:styleId="Footer">
    <w:name w:val="footer"/>
    <w:basedOn w:val="Normal"/>
    <w:link w:val="FooterChar"/>
    <w:uiPriority w:val="99"/>
    <w:unhideWhenUsed/>
    <w:rsid w:val="00072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CC6"/>
  </w:style>
  <w:style w:type="character" w:customStyle="1" w:styleId="a8">
    <w:name w:val="a8"/>
    <w:rsid w:val="003E5F24"/>
  </w:style>
  <w:style w:type="paragraph" w:styleId="FootnoteText">
    <w:name w:val="footnote text"/>
    <w:basedOn w:val="Normal"/>
    <w:link w:val="FootnoteTextChar"/>
    <w:uiPriority w:val="99"/>
    <w:semiHidden/>
    <w:unhideWhenUsed/>
    <w:rsid w:val="00CC064B"/>
    <w:pPr>
      <w:spacing w:after="0" w:line="240" w:lineRule="auto"/>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uiPriority w:val="99"/>
    <w:semiHidden/>
    <w:rsid w:val="00CC064B"/>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CC064B"/>
    <w:rPr>
      <w:vertAlign w:val="superscript"/>
    </w:rPr>
  </w:style>
  <w:style w:type="paragraph" w:customStyle="1" w:styleId="Table">
    <w:name w:val="Table"/>
    <w:basedOn w:val="Normal"/>
    <w:qFormat/>
    <w:rsid w:val="00CC064B"/>
    <w:pPr>
      <w:spacing w:before="40" w:after="40" w:line="240" w:lineRule="auto"/>
    </w:pPr>
    <w:rPr>
      <w:rFonts w:eastAsiaTheme="minorHAnsi"/>
      <w:sz w:val="20"/>
      <w:lang w:eastAsia="en-US"/>
    </w:rPr>
  </w:style>
  <w:style w:type="paragraph" w:customStyle="1" w:styleId="Tableboldtext">
    <w:name w:val="Table bold text"/>
    <w:basedOn w:val="Table"/>
    <w:qFormat/>
    <w:rsid w:val="00CC064B"/>
    <w:rPr>
      <w:b/>
    </w:rPr>
  </w:style>
  <w:style w:type="paragraph" w:customStyle="1" w:styleId="Tablepinktext">
    <w:name w:val="Table pink text"/>
    <w:basedOn w:val="Table"/>
    <w:qFormat/>
    <w:rsid w:val="00CC064B"/>
    <w:rPr>
      <w:color w:val="FF00FF"/>
    </w:rPr>
  </w:style>
  <w:style w:type="character" w:customStyle="1" w:styleId="A12">
    <w:name w:val="A12"/>
    <w:uiPriority w:val="99"/>
    <w:rsid w:val="00CC064B"/>
    <w:rPr>
      <w:rFonts w:cs="DIN Next LT Pro Light"/>
      <w:color w:val="000000"/>
      <w:sz w:val="11"/>
      <w:szCs w:val="11"/>
    </w:rPr>
  </w:style>
  <w:style w:type="paragraph" w:customStyle="1" w:styleId="Pa4">
    <w:name w:val="Pa4"/>
    <w:basedOn w:val="Normal"/>
    <w:next w:val="Normal"/>
    <w:uiPriority w:val="99"/>
    <w:rsid w:val="00CC064B"/>
    <w:pPr>
      <w:autoSpaceDE w:val="0"/>
      <w:autoSpaceDN w:val="0"/>
      <w:adjustRightInd w:val="0"/>
      <w:spacing w:after="0" w:line="181" w:lineRule="atLeast"/>
    </w:pPr>
    <w:rPr>
      <w:rFonts w:ascii="DIN Next LT Pro" w:eastAsia="Times New Roman" w:hAnsi="DIN Next LT Pro" w:cs="Times New Roman"/>
      <w:sz w:val="24"/>
      <w:szCs w:val="24"/>
    </w:rPr>
  </w:style>
  <w:style w:type="paragraph" w:customStyle="1" w:styleId="Instructions">
    <w:name w:val="Instructions"/>
    <w:basedOn w:val="Normal"/>
    <w:autoRedefine/>
    <w:uiPriority w:val="99"/>
    <w:qFormat/>
    <w:rsid w:val="00191138"/>
    <w:pPr>
      <w:numPr>
        <w:numId w:val="4"/>
      </w:numPr>
      <w:tabs>
        <w:tab w:val="left" w:pos="0"/>
      </w:tabs>
      <w:suppressAutoHyphens/>
      <w:spacing w:before="100" w:after="100" w:line="240" w:lineRule="auto"/>
    </w:pPr>
    <w:rPr>
      <w:rFonts w:ascii="Calibri" w:eastAsia="MS Mincho" w:hAnsi="Calibri" w:cs="Times New Roman"/>
      <w:w w:val="120"/>
      <w:sz w:val="16"/>
      <w:szCs w:val="24"/>
      <w:lang w:val="en-NZ" w:eastAsia="ar-SA"/>
    </w:rPr>
  </w:style>
  <w:style w:type="character" w:styleId="UnresolvedMention">
    <w:name w:val="Unresolved Mention"/>
    <w:basedOn w:val="DefaultParagraphFont"/>
    <w:uiPriority w:val="99"/>
    <w:semiHidden/>
    <w:unhideWhenUsed/>
    <w:rsid w:val="00C76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48161">
      <w:bodyDiv w:val="1"/>
      <w:marLeft w:val="0"/>
      <w:marRight w:val="0"/>
      <w:marTop w:val="0"/>
      <w:marBottom w:val="0"/>
      <w:divBdr>
        <w:top w:val="none" w:sz="0" w:space="0" w:color="auto"/>
        <w:left w:val="none" w:sz="0" w:space="0" w:color="auto"/>
        <w:bottom w:val="none" w:sz="0" w:space="0" w:color="auto"/>
        <w:right w:val="none" w:sz="0" w:space="0" w:color="auto"/>
      </w:divBdr>
    </w:div>
    <w:div w:id="844395223">
      <w:bodyDiv w:val="1"/>
      <w:marLeft w:val="0"/>
      <w:marRight w:val="0"/>
      <w:marTop w:val="0"/>
      <w:marBottom w:val="0"/>
      <w:divBdr>
        <w:top w:val="none" w:sz="0" w:space="0" w:color="auto"/>
        <w:left w:val="none" w:sz="0" w:space="0" w:color="auto"/>
        <w:bottom w:val="none" w:sz="0" w:space="0" w:color="auto"/>
        <w:right w:val="none" w:sz="0" w:space="0" w:color="auto"/>
      </w:divBdr>
    </w:div>
    <w:div w:id="914097016">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321694509">
      <w:bodyDiv w:val="1"/>
      <w:marLeft w:val="0"/>
      <w:marRight w:val="0"/>
      <w:marTop w:val="0"/>
      <w:marBottom w:val="0"/>
      <w:divBdr>
        <w:top w:val="none" w:sz="0" w:space="0" w:color="auto"/>
        <w:left w:val="none" w:sz="0" w:space="0" w:color="auto"/>
        <w:bottom w:val="none" w:sz="0" w:space="0" w:color="auto"/>
        <w:right w:val="none" w:sz="0" w:space="0" w:color="auto"/>
      </w:divBdr>
    </w:div>
    <w:div w:id="15671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6F97-7A19-4D96-BE6F-FD68234A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Rees</dc:creator>
  <cp:lastModifiedBy>Shane Miller</cp:lastModifiedBy>
  <cp:revision>47</cp:revision>
  <cp:lastPrinted>2013-08-06T05:35:00Z</cp:lastPrinted>
  <dcterms:created xsi:type="dcterms:W3CDTF">2020-08-21T03:32:00Z</dcterms:created>
  <dcterms:modified xsi:type="dcterms:W3CDTF">2020-09-01T02:12:00Z</dcterms:modified>
</cp:coreProperties>
</file>