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CC27" w14:textId="77777777" w:rsidR="005B0C49" w:rsidRPr="005F763D" w:rsidRDefault="005B0C49" w:rsidP="00F348D9">
      <w:pPr>
        <w:pStyle w:val="Heading1"/>
      </w:pPr>
      <w:bookmarkStart w:id="0" w:name="_Toc397003914"/>
      <w:bookmarkStart w:id="1" w:name="_Toc503523657"/>
      <w:bookmarkStart w:id="2" w:name="_Toc46236017"/>
      <w:bookmarkStart w:id="3" w:name="_Toc260306629"/>
      <w:bookmarkStart w:id="4" w:name="_Toc377642868"/>
      <w:r w:rsidRPr="005F763D">
        <w:t>Strategy Text Library</w:t>
      </w:r>
      <w:bookmarkEnd w:id="0"/>
      <w:bookmarkEnd w:id="1"/>
      <w:bookmarkEnd w:id="2"/>
    </w:p>
    <w:p w14:paraId="60F6D37A" w14:textId="1DEA0DC4" w:rsidR="005B0C49" w:rsidRPr="005F763D" w:rsidRDefault="003573BF" w:rsidP="00E164DA">
      <w:pPr>
        <w:pStyle w:val="Instructions"/>
        <w:rPr>
          <w:highlight w:val="yellow"/>
        </w:rPr>
      </w:pPr>
      <w:r w:rsidRPr="005F763D">
        <w:rPr>
          <w:highlight w:val="yellow"/>
        </w:rPr>
        <w:t xml:space="preserve">  </w:t>
      </w:r>
    </w:p>
    <w:p w14:paraId="5D45F876" w14:textId="381D59E0" w:rsidR="003573BF" w:rsidRPr="005F763D" w:rsidRDefault="003573BF" w:rsidP="00E164DA">
      <w:pPr>
        <w:pStyle w:val="Instructions"/>
        <w:rPr>
          <w:highlight w:val="yellow"/>
        </w:rPr>
      </w:pPr>
      <w:r w:rsidRPr="005F763D">
        <w:rPr>
          <w:highlight w:val="yellow"/>
        </w:rPr>
        <w:t xml:space="preserve">  Please use these </w:t>
      </w:r>
      <w:r w:rsidR="00AF6226">
        <w:rPr>
          <w:highlight w:val="yellow"/>
        </w:rPr>
        <w:t xml:space="preserve">strategy fragments </w:t>
      </w:r>
      <w:r w:rsidRPr="005F763D">
        <w:rPr>
          <w:highlight w:val="yellow"/>
        </w:rPr>
        <w:t xml:space="preserve">as a guide </w:t>
      </w:r>
      <w:r w:rsidR="000212BD" w:rsidRPr="005F763D">
        <w:rPr>
          <w:highlight w:val="yellow"/>
        </w:rPr>
        <w:t>and tailor</w:t>
      </w:r>
      <w:r w:rsidRPr="005F763D">
        <w:rPr>
          <w:highlight w:val="yellow"/>
        </w:rPr>
        <w:t xml:space="preserve"> the</w:t>
      </w:r>
      <w:r w:rsidR="00AF6226">
        <w:rPr>
          <w:highlight w:val="yellow"/>
        </w:rPr>
        <w:t>se</w:t>
      </w:r>
      <w:r w:rsidRPr="005F763D">
        <w:rPr>
          <w:highlight w:val="yellow"/>
        </w:rPr>
        <w:t xml:space="preserve"> recommendation for your client </w:t>
      </w:r>
      <w:r w:rsidR="00AF6226">
        <w:rPr>
          <w:highlight w:val="yellow"/>
        </w:rPr>
        <w:t xml:space="preserve">with the type of </w:t>
      </w:r>
      <w:r w:rsidR="000212BD">
        <w:rPr>
          <w:highlight w:val="yellow"/>
        </w:rPr>
        <w:t xml:space="preserve">language </w:t>
      </w:r>
      <w:r w:rsidR="000212BD" w:rsidRPr="005F763D">
        <w:rPr>
          <w:highlight w:val="yellow"/>
        </w:rPr>
        <w:t>you</w:t>
      </w:r>
      <w:r w:rsidRPr="005F763D">
        <w:rPr>
          <w:highlight w:val="yellow"/>
        </w:rPr>
        <w:t xml:space="preserve"> </w:t>
      </w:r>
      <w:r w:rsidR="00AF6226">
        <w:rPr>
          <w:highlight w:val="yellow"/>
        </w:rPr>
        <w:t xml:space="preserve">typically </w:t>
      </w:r>
      <w:r w:rsidRPr="005F763D">
        <w:rPr>
          <w:highlight w:val="yellow"/>
        </w:rPr>
        <w:t>use</w:t>
      </w:r>
      <w:r w:rsidR="00D85956" w:rsidRPr="005F763D">
        <w:rPr>
          <w:highlight w:val="yellow"/>
        </w:rPr>
        <w:t xml:space="preserve"> in the verb</w:t>
      </w:r>
      <w:r w:rsidRPr="005F763D">
        <w:rPr>
          <w:highlight w:val="yellow"/>
        </w:rPr>
        <w:t>al advice you give to clients.</w:t>
      </w:r>
      <w:r w:rsidR="00703E4C">
        <w:rPr>
          <w:highlight w:val="yellow"/>
        </w:rPr>
        <w:t xml:space="preserve"> T</w:t>
      </w:r>
      <w:r w:rsidRPr="005F763D">
        <w:rPr>
          <w:highlight w:val="yellow"/>
        </w:rPr>
        <w:t xml:space="preserve">he </w:t>
      </w:r>
      <w:proofErr w:type="spellStart"/>
      <w:r w:rsidRPr="005F763D">
        <w:rPr>
          <w:highlight w:val="yellow"/>
        </w:rPr>
        <w:t>SoA</w:t>
      </w:r>
      <w:proofErr w:type="spellEnd"/>
      <w:r w:rsidRPr="005F763D">
        <w:rPr>
          <w:highlight w:val="yellow"/>
        </w:rPr>
        <w:t xml:space="preserve"> needs to reflect your words, your approach</w:t>
      </w:r>
      <w:r w:rsidR="0044102E">
        <w:rPr>
          <w:highlight w:val="yellow"/>
        </w:rPr>
        <w:t>,</w:t>
      </w:r>
      <w:r w:rsidRPr="005F763D">
        <w:rPr>
          <w:highlight w:val="yellow"/>
        </w:rPr>
        <w:t xml:space="preserve"> </w:t>
      </w:r>
      <w:r w:rsidR="0044102E">
        <w:rPr>
          <w:highlight w:val="yellow"/>
        </w:rPr>
        <w:t>you</w:t>
      </w:r>
      <w:r w:rsidRPr="005F763D">
        <w:rPr>
          <w:highlight w:val="yellow"/>
        </w:rPr>
        <w:t>r philosophy</w:t>
      </w:r>
      <w:r w:rsidR="0044102E">
        <w:rPr>
          <w:highlight w:val="yellow"/>
        </w:rPr>
        <w:t>.</w:t>
      </w:r>
      <w:r w:rsidRPr="005F763D">
        <w:rPr>
          <w:highlight w:val="yellow"/>
        </w:rPr>
        <w:t xml:space="preserve"> </w:t>
      </w:r>
      <w:r w:rsidR="0044102E">
        <w:rPr>
          <w:highlight w:val="yellow"/>
        </w:rPr>
        <w:t xml:space="preserve">The </w:t>
      </w:r>
      <w:r w:rsidRPr="005F763D">
        <w:rPr>
          <w:highlight w:val="yellow"/>
        </w:rPr>
        <w:t xml:space="preserve">advice you provide </w:t>
      </w:r>
      <w:r w:rsidR="0044102E">
        <w:rPr>
          <w:highlight w:val="yellow"/>
        </w:rPr>
        <w:t>must</w:t>
      </w:r>
      <w:r w:rsidR="0044102E" w:rsidRPr="005F763D">
        <w:rPr>
          <w:highlight w:val="yellow"/>
        </w:rPr>
        <w:t xml:space="preserve"> </w:t>
      </w:r>
      <w:r w:rsidRPr="005F763D">
        <w:rPr>
          <w:highlight w:val="yellow"/>
        </w:rPr>
        <w:t xml:space="preserve">always </w:t>
      </w:r>
      <w:r w:rsidR="0044102E">
        <w:rPr>
          <w:highlight w:val="yellow"/>
        </w:rPr>
        <w:t>align</w:t>
      </w:r>
      <w:r w:rsidRPr="005F763D">
        <w:rPr>
          <w:highlight w:val="yellow"/>
        </w:rPr>
        <w:t xml:space="preserve"> with </w:t>
      </w:r>
      <w:r w:rsidR="0044102E">
        <w:rPr>
          <w:highlight w:val="yellow"/>
        </w:rPr>
        <w:t xml:space="preserve">the Best Interests </w:t>
      </w:r>
      <w:r w:rsidR="000212BD">
        <w:rPr>
          <w:highlight w:val="yellow"/>
        </w:rPr>
        <w:t xml:space="preserve">obligation </w:t>
      </w:r>
      <w:r w:rsidR="000212BD" w:rsidRPr="005F763D">
        <w:rPr>
          <w:highlight w:val="yellow"/>
        </w:rPr>
        <w:t>to</w:t>
      </w:r>
      <w:r w:rsidRPr="005F763D">
        <w:rPr>
          <w:highlight w:val="yellow"/>
        </w:rPr>
        <w:t xml:space="preserve"> your client as a matter of best practice and professional integrity.</w:t>
      </w:r>
    </w:p>
    <w:p w14:paraId="788B20E4" w14:textId="77777777" w:rsidR="009105FB" w:rsidRDefault="003573BF" w:rsidP="00F265DA">
      <w:pPr>
        <w:pStyle w:val="Instructions"/>
        <w:rPr>
          <w:highlight w:val="yellow"/>
        </w:rPr>
      </w:pPr>
      <w:r w:rsidRPr="005F763D">
        <w:rPr>
          <w:highlight w:val="yellow"/>
        </w:rPr>
        <w:t xml:space="preserve">  </w:t>
      </w:r>
      <w:r w:rsidR="0044102E">
        <w:rPr>
          <w:highlight w:val="yellow"/>
        </w:rPr>
        <w:t>Additionally,</w:t>
      </w:r>
      <w:r w:rsidRPr="005F763D">
        <w:rPr>
          <w:highlight w:val="yellow"/>
        </w:rPr>
        <w:t xml:space="preserve"> </w:t>
      </w:r>
      <w:r w:rsidR="0044102E">
        <w:rPr>
          <w:highlight w:val="yellow"/>
        </w:rPr>
        <w:t>en</w:t>
      </w:r>
      <w:r w:rsidRPr="005F763D">
        <w:rPr>
          <w:highlight w:val="yellow"/>
        </w:rPr>
        <w:t>sure that any information taken from the strategy text library is appropriately personalised for your client</w:t>
      </w:r>
      <w:r w:rsidR="00D307C8">
        <w:rPr>
          <w:highlight w:val="yellow"/>
        </w:rPr>
        <w:t xml:space="preserve">; </w:t>
      </w:r>
      <w:r w:rsidR="000212BD">
        <w:rPr>
          <w:highlight w:val="yellow"/>
        </w:rPr>
        <w:t>especially</w:t>
      </w:r>
      <w:r w:rsidR="000212BD" w:rsidRPr="005F763D">
        <w:rPr>
          <w:highlight w:val="yellow"/>
        </w:rPr>
        <w:t xml:space="preserve"> the</w:t>
      </w:r>
      <w:r w:rsidRPr="005F763D">
        <w:rPr>
          <w:highlight w:val="yellow"/>
        </w:rPr>
        <w:t xml:space="preserve"> </w:t>
      </w:r>
      <w:r w:rsidR="00BA2154">
        <w:rPr>
          <w:highlight w:val="yellow"/>
        </w:rPr>
        <w:t xml:space="preserve">red </w:t>
      </w:r>
      <w:r w:rsidRPr="005F763D">
        <w:rPr>
          <w:highlight w:val="yellow"/>
        </w:rPr>
        <w:t xml:space="preserve">text. </w:t>
      </w:r>
    </w:p>
    <w:p w14:paraId="6059B097" w14:textId="35F91477" w:rsidR="003573BF" w:rsidRPr="005F763D" w:rsidRDefault="00D307C8" w:rsidP="00F265DA">
      <w:pPr>
        <w:pStyle w:val="Instructions"/>
        <w:rPr>
          <w:highlight w:val="yellow"/>
        </w:rPr>
      </w:pPr>
      <w:r>
        <w:rPr>
          <w:highlight w:val="yellow"/>
        </w:rPr>
        <w:t>Also review the text as a whole; f</w:t>
      </w:r>
      <w:r w:rsidR="00703E4C">
        <w:rPr>
          <w:highlight w:val="yellow"/>
        </w:rPr>
        <w:t xml:space="preserve">or example, the library generic reference to “… you may incur fees upon withdrawal ….” </w:t>
      </w:r>
      <w:r w:rsidR="009105FB">
        <w:rPr>
          <w:highlight w:val="yellow"/>
        </w:rPr>
        <w:t>i</w:t>
      </w:r>
      <w:r w:rsidR="00703E4C">
        <w:rPr>
          <w:highlight w:val="yellow"/>
        </w:rPr>
        <w:t>s better tailored to “… you will incur a withdrawal fee of $75 …” in acknowledgement of the research you must perform into the client’s circumstances.</w:t>
      </w:r>
    </w:p>
    <w:p w14:paraId="6BD87602" w14:textId="77777777" w:rsidR="005B0C49" w:rsidRPr="005F763D" w:rsidRDefault="005B0C49" w:rsidP="008C7CE9">
      <w:pPr>
        <w:spacing w:after="240"/>
        <w:jc w:val="left"/>
        <w:rPr>
          <w:rFonts w:cs="Calibri"/>
          <w:bCs/>
          <w:color w:val="01447B"/>
          <w:kern w:val="2"/>
          <w:sz w:val="32"/>
          <w:szCs w:val="36"/>
        </w:rPr>
      </w:pPr>
      <w:r w:rsidRPr="005F763D">
        <w:rPr>
          <w:rFonts w:cs="Calibri"/>
          <w:bCs/>
          <w:color w:val="01447B"/>
          <w:kern w:val="2"/>
          <w:sz w:val="32"/>
          <w:szCs w:val="36"/>
        </w:rPr>
        <w:t>Table of Contents</w:t>
      </w:r>
    </w:p>
    <w:p w14:paraId="54352513" w14:textId="59CCA2A0" w:rsidR="00067CC7" w:rsidRDefault="005B0C49">
      <w:pPr>
        <w:pStyle w:val="TOC1"/>
        <w:rPr>
          <w:rFonts w:asciiTheme="minorHAnsi" w:eastAsiaTheme="minorEastAsia" w:hAnsiTheme="minorHAnsi" w:cstheme="minorBidi"/>
          <w:color w:val="auto"/>
          <w:sz w:val="22"/>
          <w:szCs w:val="22"/>
          <w:lang w:eastAsia="en-AU"/>
        </w:rPr>
      </w:pPr>
      <w:r w:rsidRPr="005F763D">
        <w:rPr>
          <w:rFonts w:cs="Arial"/>
          <w:szCs w:val="20"/>
        </w:rPr>
        <w:fldChar w:fldCharType="begin"/>
      </w:r>
      <w:r w:rsidRPr="005F763D">
        <w:rPr>
          <w:rFonts w:cs="Arial"/>
          <w:szCs w:val="20"/>
        </w:rPr>
        <w:instrText xml:space="preserve"> TOC \o "1-1" \h \z \t "Heading 2,2,Heading 3,3" </w:instrText>
      </w:r>
      <w:r w:rsidRPr="005F763D">
        <w:rPr>
          <w:rFonts w:cs="Arial"/>
          <w:szCs w:val="20"/>
        </w:rPr>
        <w:fldChar w:fldCharType="separate"/>
      </w:r>
      <w:hyperlink w:anchor="_Toc46236017" w:history="1">
        <w:r w:rsidR="00067CC7" w:rsidRPr="0054051F">
          <w:rPr>
            <w:rStyle w:val="Hyperlink"/>
          </w:rPr>
          <w:t>Strategy Text Library</w:t>
        </w:r>
        <w:r w:rsidR="00067CC7">
          <w:rPr>
            <w:webHidden/>
          </w:rPr>
          <w:tab/>
        </w:r>
        <w:r w:rsidR="00067CC7">
          <w:rPr>
            <w:webHidden/>
          </w:rPr>
          <w:fldChar w:fldCharType="begin"/>
        </w:r>
        <w:r w:rsidR="00067CC7">
          <w:rPr>
            <w:webHidden/>
          </w:rPr>
          <w:instrText xml:space="preserve"> PAGEREF _Toc46236017 \h </w:instrText>
        </w:r>
        <w:r w:rsidR="00067CC7">
          <w:rPr>
            <w:webHidden/>
          </w:rPr>
        </w:r>
        <w:r w:rsidR="00067CC7">
          <w:rPr>
            <w:webHidden/>
          </w:rPr>
          <w:fldChar w:fldCharType="separate"/>
        </w:r>
        <w:r w:rsidR="00067CC7">
          <w:rPr>
            <w:webHidden/>
          </w:rPr>
          <w:t>1</w:t>
        </w:r>
        <w:r w:rsidR="00067CC7">
          <w:rPr>
            <w:webHidden/>
          </w:rPr>
          <w:fldChar w:fldCharType="end"/>
        </w:r>
      </w:hyperlink>
    </w:p>
    <w:p w14:paraId="15DC325B" w14:textId="0134D87D" w:rsidR="00067CC7" w:rsidRDefault="005E0693">
      <w:pPr>
        <w:pStyle w:val="TOC1"/>
        <w:rPr>
          <w:rFonts w:asciiTheme="minorHAnsi" w:eastAsiaTheme="minorEastAsia" w:hAnsiTheme="minorHAnsi" w:cstheme="minorBidi"/>
          <w:color w:val="auto"/>
          <w:sz w:val="22"/>
          <w:szCs w:val="22"/>
          <w:lang w:eastAsia="en-AU"/>
        </w:rPr>
      </w:pPr>
      <w:hyperlink w:anchor="_Toc46236018" w:history="1">
        <w:r w:rsidR="00067CC7" w:rsidRPr="0054051F">
          <w:rPr>
            <w:rStyle w:val="Hyperlink"/>
          </w:rPr>
          <w:t>Example Format: Recommendations</w:t>
        </w:r>
        <w:r w:rsidR="00067CC7">
          <w:rPr>
            <w:webHidden/>
          </w:rPr>
          <w:tab/>
        </w:r>
        <w:r w:rsidR="00067CC7">
          <w:rPr>
            <w:webHidden/>
          </w:rPr>
          <w:fldChar w:fldCharType="begin"/>
        </w:r>
        <w:r w:rsidR="00067CC7">
          <w:rPr>
            <w:webHidden/>
          </w:rPr>
          <w:instrText xml:space="preserve"> PAGEREF _Toc46236018 \h </w:instrText>
        </w:r>
        <w:r w:rsidR="00067CC7">
          <w:rPr>
            <w:webHidden/>
          </w:rPr>
        </w:r>
        <w:r w:rsidR="00067CC7">
          <w:rPr>
            <w:webHidden/>
          </w:rPr>
          <w:fldChar w:fldCharType="separate"/>
        </w:r>
        <w:r w:rsidR="00067CC7">
          <w:rPr>
            <w:webHidden/>
          </w:rPr>
          <w:t>2</w:t>
        </w:r>
        <w:r w:rsidR="00067CC7">
          <w:rPr>
            <w:webHidden/>
          </w:rPr>
          <w:fldChar w:fldCharType="end"/>
        </w:r>
      </w:hyperlink>
    </w:p>
    <w:p w14:paraId="3B84887A" w14:textId="2CEBB0D9" w:rsidR="00067CC7" w:rsidRDefault="005E0693">
      <w:pPr>
        <w:pStyle w:val="TOC1"/>
        <w:rPr>
          <w:rFonts w:asciiTheme="minorHAnsi" w:eastAsiaTheme="minorEastAsia" w:hAnsiTheme="minorHAnsi" w:cstheme="minorBidi"/>
          <w:color w:val="auto"/>
          <w:sz w:val="22"/>
          <w:szCs w:val="22"/>
          <w:lang w:eastAsia="en-AU"/>
        </w:rPr>
      </w:pPr>
      <w:hyperlink w:anchor="_Toc46236019" w:history="1">
        <w:r w:rsidR="00067CC7" w:rsidRPr="0054051F">
          <w:rPr>
            <w:rStyle w:val="Hyperlink"/>
          </w:rPr>
          <w:t>Strategy Recommendations</w:t>
        </w:r>
        <w:r w:rsidR="00067CC7">
          <w:rPr>
            <w:webHidden/>
          </w:rPr>
          <w:tab/>
        </w:r>
        <w:r w:rsidR="00067CC7">
          <w:rPr>
            <w:webHidden/>
          </w:rPr>
          <w:fldChar w:fldCharType="begin"/>
        </w:r>
        <w:r w:rsidR="00067CC7">
          <w:rPr>
            <w:webHidden/>
          </w:rPr>
          <w:instrText xml:space="preserve"> PAGEREF _Toc46236019 \h </w:instrText>
        </w:r>
        <w:r w:rsidR="00067CC7">
          <w:rPr>
            <w:webHidden/>
          </w:rPr>
        </w:r>
        <w:r w:rsidR="00067CC7">
          <w:rPr>
            <w:webHidden/>
          </w:rPr>
          <w:fldChar w:fldCharType="separate"/>
        </w:r>
        <w:r w:rsidR="00067CC7">
          <w:rPr>
            <w:webHidden/>
          </w:rPr>
          <w:t>3</w:t>
        </w:r>
        <w:r w:rsidR="00067CC7">
          <w:rPr>
            <w:webHidden/>
          </w:rPr>
          <w:fldChar w:fldCharType="end"/>
        </w:r>
      </w:hyperlink>
    </w:p>
    <w:p w14:paraId="66748BBB" w14:textId="1B96D9C9" w:rsidR="00067CC7" w:rsidRDefault="005E0693">
      <w:pPr>
        <w:pStyle w:val="TOC2"/>
        <w:rPr>
          <w:rFonts w:asciiTheme="minorHAnsi" w:eastAsiaTheme="minorEastAsia" w:hAnsiTheme="minorHAnsi" w:cstheme="minorBidi"/>
          <w:color w:val="auto"/>
          <w:sz w:val="22"/>
          <w:szCs w:val="22"/>
          <w:lang w:eastAsia="en-AU"/>
        </w:rPr>
      </w:pPr>
      <w:hyperlink w:anchor="_Toc46236020" w:history="1">
        <w:r w:rsidR="00067CC7" w:rsidRPr="0054051F">
          <w:rPr>
            <w:rStyle w:val="Hyperlink"/>
          </w:rPr>
          <w:t>Debt Management Strategies</w:t>
        </w:r>
        <w:r w:rsidR="00067CC7">
          <w:rPr>
            <w:webHidden/>
          </w:rPr>
          <w:tab/>
        </w:r>
        <w:r w:rsidR="00067CC7">
          <w:rPr>
            <w:webHidden/>
          </w:rPr>
          <w:fldChar w:fldCharType="begin"/>
        </w:r>
        <w:r w:rsidR="00067CC7">
          <w:rPr>
            <w:webHidden/>
          </w:rPr>
          <w:instrText xml:space="preserve"> PAGEREF _Toc46236020 \h </w:instrText>
        </w:r>
        <w:r w:rsidR="00067CC7">
          <w:rPr>
            <w:webHidden/>
          </w:rPr>
        </w:r>
        <w:r w:rsidR="00067CC7">
          <w:rPr>
            <w:webHidden/>
          </w:rPr>
          <w:fldChar w:fldCharType="separate"/>
        </w:r>
        <w:r w:rsidR="00067CC7">
          <w:rPr>
            <w:webHidden/>
          </w:rPr>
          <w:t>3</w:t>
        </w:r>
        <w:r w:rsidR="00067CC7">
          <w:rPr>
            <w:webHidden/>
          </w:rPr>
          <w:fldChar w:fldCharType="end"/>
        </w:r>
      </w:hyperlink>
    </w:p>
    <w:p w14:paraId="202175DA" w14:textId="3EAF9949" w:rsidR="00067CC7" w:rsidRDefault="005E0693">
      <w:pPr>
        <w:pStyle w:val="TOC2"/>
        <w:rPr>
          <w:rFonts w:asciiTheme="minorHAnsi" w:eastAsiaTheme="minorEastAsia" w:hAnsiTheme="minorHAnsi" w:cstheme="minorBidi"/>
          <w:color w:val="auto"/>
          <w:sz w:val="22"/>
          <w:szCs w:val="22"/>
          <w:lang w:eastAsia="en-AU"/>
        </w:rPr>
      </w:pPr>
      <w:hyperlink w:anchor="_Toc46236021" w:history="1">
        <w:r w:rsidR="00067CC7" w:rsidRPr="0054051F">
          <w:rPr>
            <w:rStyle w:val="Hyperlink"/>
          </w:rPr>
          <w:t>Estate Planning</w:t>
        </w:r>
        <w:r w:rsidR="00067CC7">
          <w:rPr>
            <w:webHidden/>
          </w:rPr>
          <w:tab/>
        </w:r>
        <w:r w:rsidR="00067CC7">
          <w:rPr>
            <w:webHidden/>
          </w:rPr>
          <w:fldChar w:fldCharType="begin"/>
        </w:r>
        <w:r w:rsidR="00067CC7">
          <w:rPr>
            <w:webHidden/>
          </w:rPr>
          <w:instrText xml:space="preserve"> PAGEREF _Toc46236021 \h </w:instrText>
        </w:r>
        <w:r w:rsidR="00067CC7">
          <w:rPr>
            <w:webHidden/>
          </w:rPr>
        </w:r>
        <w:r w:rsidR="00067CC7">
          <w:rPr>
            <w:webHidden/>
          </w:rPr>
          <w:fldChar w:fldCharType="separate"/>
        </w:r>
        <w:r w:rsidR="00067CC7">
          <w:rPr>
            <w:webHidden/>
          </w:rPr>
          <w:t>11</w:t>
        </w:r>
        <w:r w:rsidR="00067CC7">
          <w:rPr>
            <w:webHidden/>
          </w:rPr>
          <w:fldChar w:fldCharType="end"/>
        </w:r>
      </w:hyperlink>
    </w:p>
    <w:p w14:paraId="3EB2FBC5" w14:textId="1CFEA201" w:rsidR="00067CC7" w:rsidRDefault="005E0693">
      <w:pPr>
        <w:pStyle w:val="TOC2"/>
        <w:rPr>
          <w:rFonts w:asciiTheme="minorHAnsi" w:eastAsiaTheme="minorEastAsia" w:hAnsiTheme="minorHAnsi" w:cstheme="minorBidi"/>
          <w:color w:val="auto"/>
          <w:sz w:val="22"/>
          <w:szCs w:val="22"/>
          <w:lang w:eastAsia="en-AU"/>
        </w:rPr>
      </w:pPr>
      <w:hyperlink w:anchor="_Toc46236022" w:history="1">
        <w:r w:rsidR="00067CC7" w:rsidRPr="0054051F">
          <w:rPr>
            <w:rStyle w:val="Hyperlink"/>
          </w:rPr>
          <w:t>Gearing</w:t>
        </w:r>
        <w:r w:rsidR="00067CC7">
          <w:rPr>
            <w:webHidden/>
          </w:rPr>
          <w:tab/>
        </w:r>
        <w:r w:rsidR="00067CC7">
          <w:rPr>
            <w:webHidden/>
          </w:rPr>
          <w:fldChar w:fldCharType="begin"/>
        </w:r>
        <w:r w:rsidR="00067CC7">
          <w:rPr>
            <w:webHidden/>
          </w:rPr>
          <w:instrText xml:space="preserve"> PAGEREF _Toc46236022 \h </w:instrText>
        </w:r>
        <w:r w:rsidR="00067CC7">
          <w:rPr>
            <w:webHidden/>
          </w:rPr>
        </w:r>
        <w:r w:rsidR="00067CC7">
          <w:rPr>
            <w:webHidden/>
          </w:rPr>
          <w:fldChar w:fldCharType="separate"/>
        </w:r>
        <w:r w:rsidR="00067CC7">
          <w:rPr>
            <w:webHidden/>
          </w:rPr>
          <w:t>18</w:t>
        </w:r>
        <w:r w:rsidR="00067CC7">
          <w:rPr>
            <w:webHidden/>
          </w:rPr>
          <w:fldChar w:fldCharType="end"/>
        </w:r>
      </w:hyperlink>
    </w:p>
    <w:p w14:paraId="73718AA8" w14:textId="003BE012" w:rsidR="00067CC7" w:rsidRDefault="005E0693">
      <w:pPr>
        <w:pStyle w:val="TOC2"/>
        <w:rPr>
          <w:rFonts w:asciiTheme="minorHAnsi" w:eastAsiaTheme="minorEastAsia" w:hAnsiTheme="minorHAnsi" w:cstheme="minorBidi"/>
          <w:color w:val="auto"/>
          <w:sz w:val="22"/>
          <w:szCs w:val="22"/>
          <w:lang w:eastAsia="en-AU"/>
        </w:rPr>
      </w:pPr>
      <w:hyperlink w:anchor="_Toc46236023" w:history="1">
        <w:r w:rsidR="00067CC7" w:rsidRPr="0054051F">
          <w:rPr>
            <w:rStyle w:val="Hyperlink"/>
          </w:rPr>
          <w:t>Retirement Planning</w:t>
        </w:r>
        <w:r w:rsidR="00067CC7">
          <w:rPr>
            <w:webHidden/>
          </w:rPr>
          <w:tab/>
        </w:r>
        <w:r w:rsidR="00067CC7">
          <w:rPr>
            <w:webHidden/>
          </w:rPr>
          <w:fldChar w:fldCharType="begin"/>
        </w:r>
        <w:r w:rsidR="00067CC7">
          <w:rPr>
            <w:webHidden/>
          </w:rPr>
          <w:instrText xml:space="preserve"> PAGEREF _Toc46236023 \h </w:instrText>
        </w:r>
        <w:r w:rsidR="00067CC7">
          <w:rPr>
            <w:webHidden/>
          </w:rPr>
        </w:r>
        <w:r w:rsidR="00067CC7">
          <w:rPr>
            <w:webHidden/>
          </w:rPr>
          <w:fldChar w:fldCharType="separate"/>
        </w:r>
        <w:r w:rsidR="00067CC7">
          <w:rPr>
            <w:webHidden/>
          </w:rPr>
          <w:t>22</w:t>
        </w:r>
        <w:r w:rsidR="00067CC7">
          <w:rPr>
            <w:webHidden/>
          </w:rPr>
          <w:fldChar w:fldCharType="end"/>
        </w:r>
      </w:hyperlink>
    </w:p>
    <w:p w14:paraId="65E143EB" w14:textId="3360EB31" w:rsidR="00067CC7" w:rsidRDefault="005E0693">
      <w:pPr>
        <w:pStyle w:val="TOC2"/>
        <w:rPr>
          <w:rFonts w:asciiTheme="minorHAnsi" w:eastAsiaTheme="minorEastAsia" w:hAnsiTheme="minorHAnsi" w:cstheme="minorBidi"/>
          <w:color w:val="auto"/>
          <w:sz w:val="22"/>
          <w:szCs w:val="22"/>
          <w:lang w:eastAsia="en-AU"/>
        </w:rPr>
      </w:pPr>
      <w:hyperlink w:anchor="_Toc46236024" w:history="1">
        <w:r w:rsidR="00067CC7" w:rsidRPr="0054051F">
          <w:rPr>
            <w:rStyle w:val="Hyperlink"/>
          </w:rPr>
          <w:t>Self-Managed Superannuation Fund (SMSF)</w:t>
        </w:r>
        <w:r w:rsidR="00067CC7">
          <w:rPr>
            <w:webHidden/>
          </w:rPr>
          <w:tab/>
        </w:r>
        <w:r w:rsidR="00067CC7">
          <w:rPr>
            <w:webHidden/>
          </w:rPr>
          <w:fldChar w:fldCharType="begin"/>
        </w:r>
        <w:r w:rsidR="00067CC7">
          <w:rPr>
            <w:webHidden/>
          </w:rPr>
          <w:instrText xml:space="preserve"> PAGEREF _Toc46236024 \h </w:instrText>
        </w:r>
        <w:r w:rsidR="00067CC7">
          <w:rPr>
            <w:webHidden/>
          </w:rPr>
        </w:r>
        <w:r w:rsidR="00067CC7">
          <w:rPr>
            <w:webHidden/>
          </w:rPr>
          <w:fldChar w:fldCharType="separate"/>
        </w:r>
        <w:r w:rsidR="00067CC7">
          <w:rPr>
            <w:webHidden/>
          </w:rPr>
          <w:t>29</w:t>
        </w:r>
        <w:r w:rsidR="00067CC7">
          <w:rPr>
            <w:webHidden/>
          </w:rPr>
          <w:fldChar w:fldCharType="end"/>
        </w:r>
      </w:hyperlink>
    </w:p>
    <w:p w14:paraId="0DF77600" w14:textId="7DEFCE44" w:rsidR="00067CC7" w:rsidRDefault="005E0693">
      <w:pPr>
        <w:pStyle w:val="TOC2"/>
        <w:rPr>
          <w:rFonts w:asciiTheme="minorHAnsi" w:eastAsiaTheme="minorEastAsia" w:hAnsiTheme="minorHAnsi" w:cstheme="minorBidi"/>
          <w:color w:val="auto"/>
          <w:sz w:val="22"/>
          <w:szCs w:val="22"/>
          <w:lang w:eastAsia="en-AU"/>
        </w:rPr>
      </w:pPr>
      <w:hyperlink w:anchor="_Toc46236025" w:history="1">
        <w:r w:rsidR="00067CC7" w:rsidRPr="0054051F">
          <w:rPr>
            <w:rStyle w:val="Hyperlink"/>
          </w:rPr>
          <w:t>SMSF Property - Limited Recourse Borrowing Arrangement (LRBA)</w:t>
        </w:r>
        <w:r w:rsidR="00067CC7">
          <w:rPr>
            <w:webHidden/>
          </w:rPr>
          <w:tab/>
        </w:r>
        <w:r w:rsidR="00067CC7">
          <w:rPr>
            <w:webHidden/>
          </w:rPr>
          <w:fldChar w:fldCharType="begin"/>
        </w:r>
        <w:r w:rsidR="00067CC7">
          <w:rPr>
            <w:webHidden/>
          </w:rPr>
          <w:instrText xml:space="preserve"> PAGEREF _Toc46236025 \h </w:instrText>
        </w:r>
        <w:r w:rsidR="00067CC7">
          <w:rPr>
            <w:webHidden/>
          </w:rPr>
        </w:r>
        <w:r w:rsidR="00067CC7">
          <w:rPr>
            <w:webHidden/>
          </w:rPr>
          <w:fldChar w:fldCharType="separate"/>
        </w:r>
        <w:r w:rsidR="00067CC7">
          <w:rPr>
            <w:webHidden/>
          </w:rPr>
          <w:t>42</w:t>
        </w:r>
        <w:r w:rsidR="00067CC7">
          <w:rPr>
            <w:webHidden/>
          </w:rPr>
          <w:fldChar w:fldCharType="end"/>
        </w:r>
      </w:hyperlink>
    </w:p>
    <w:p w14:paraId="6976997E" w14:textId="1B6E6D2E" w:rsidR="00067CC7" w:rsidRDefault="005E0693">
      <w:pPr>
        <w:pStyle w:val="TOC2"/>
        <w:rPr>
          <w:rFonts w:asciiTheme="minorHAnsi" w:eastAsiaTheme="minorEastAsia" w:hAnsiTheme="minorHAnsi" w:cstheme="minorBidi"/>
          <w:color w:val="auto"/>
          <w:sz w:val="22"/>
          <w:szCs w:val="22"/>
          <w:lang w:eastAsia="en-AU"/>
        </w:rPr>
      </w:pPr>
      <w:hyperlink w:anchor="_Toc46236026" w:history="1">
        <w:r w:rsidR="00067CC7" w:rsidRPr="0054051F">
          <w:rPr>
            <w:rStyle w:val="Hyperlink"/>
          </w:rPr>
          <w:t>Limited Recourse Borrowing Arrangement (LRBA) _ Safe Harbour Steps</w:t>
        </w:r>
        <w:r w:rsidR="00067CC7">
          <w:rPr>
            <w:webHidden/>
          </w:rPr>
          <w:tab/>
        </w:r>
        <w:r w:rsidR="00067CC7">
          <w:rPr>
            <w:webHidden/>
          </w:rPr>
          <w:fldChar w:fldCharType="begin"/>
        </w:r>
        <w:r w:rsidR="00067CC7">
          <w:rPr>
            <w:webHidden/>
          </w:rPr>
          <w:instrText xml:space="preserve"> PAGEREF _Toc46236026 \h </w:instrText>
        </w:r>
        <w:r w:rsidR="00067CC7">
          <w:rPr>
            <w:webHidden/>
          </w:rPr>
        </w:r>
        <w:r w:rsidR="00067CC7">
          <w:rPr>
            <w:webHidden/>
          </w:rPr>
          <w:fldChar w:fldCharType="separate"/>
        </w:r>
        <w:r w:rsidR="00067CC7">
          <w:rPr>
            <w:webHidden/>
          </w:rPr>
          <w:t>49</w:t>
        </w:r>
        <w:r w:rsidR="00067CC7">
          <w:rPr>
            <w:webHidden/>
          </w:rPr>
          <w:fldChar w:fldCharType="end"/>
        </w:r>
      </w:hyperlink>
    </w:p>
    <w:p w14:paraId="05EB5928" w14:textId="09BFB76D" w:rsidR="00067CC7" w:rsidRDefault="005E0693">
      <w:pPr>
        <w:pStyle w:val="TOC2"/>
        <w:rPr>
          <w:rFonts w:asciiTheme="minorHAnsi" w:eastAsiaTheme="minorEastAsia" w:hAnsiTheme="minorHAnsi" w:cstheme="minorBidi"/>
          <w:color w:val="auto"/>
          <w:sz w:val="22"/>
          <w:szCs w:val="22"/>
          <w:lang w:eastAsia="en-AU"/>
        </w:rPr>
      </w:pPr>
      <w:hyperlink w:anchor="_Toc46236027" w:history="1">
        <w:r w:rsidR="00067CC7" w:rsidRPr="0054051F">
          <w:rPr>
            <w:rStyle w:val="Hyperlink"/>
          </w:rPr>
          <w:t>SMSF Property - Joint Venturing</w:t>
        </w:r>
        <w:r w:rsidR="00067CC7">
          <w:rPr>
            <w:webHidden/>
          </w:rPr>
          <w:tab/>
        </w:r>
        <w:r w:rsidR="00067CC7">
          <w:rPr>
            <w:webHidden/>
          </w:rPr>
          <w:fldChar w:fldCharType="begin"/>
        </w:r>
        <w:r w:rsidR="00067CC7">
          <w:rPr>
            <w:webHidden/>
          </w:rPr>
          <w:instrText xml:space="preserve"> PAGEREF _Toc46236027 \h </w:instrText>
        </w:r>
        <w:r w:rsidR="00067CC7">
          <w:rPr>
            <w:webHidden/>
          </w:rPr>
        </w:r>
        <w:r w:rsidR="00067CC7">
          <w:rPr>
            <w:webHidden/>
          </w:rPr>
          <w:fldChar w:fldCharType="separate"/>
        </w:r>
        <w:r w:rsidR="00067CC7">
          <w:rPr>
            <w:webHidden/>
          </w:rPr>
          <w:t>50</w:t>
        </w:r>
        <w:r w:rsidR="00067CC7">
          <w:rPr>
            <w:webHidden/>
          </w:rPr>
          <w:fldChar w:fldCharType="end"/>
        </w:r>
      </w:hyperlink>
    </w:p>
    <w:p w14:paraId="30C819F7" w14:textId="7C52F0F6" w:rsidR="00067CC7" w:rsidRDefault="005E0693">
      <w:pPr>
        <w:pStyle w:val="TOC2"/>
        <w:rPr>
          <w:rFonts w:asciiTheme="minorHAnsi" w:eastAsiaTheme="minorEastAsia" w:hAnsiTheme="minorHAnsi" w:cstheme="minorBidi"/>
          <w:color w:val="auto"/>
          <w:sz w:val="22"/>
          <w:szCs w:val="22"/>
          <w:lang w:eastAsia="en-AU"/>
        </w:rPr>
      </w:pPr>
      <w:hyperlink w:anchor="_Toc46236028" w:history="1">
        <w:r w:rsidR="00067CC7" w:rsidRPr="0054051F">
          <w:rPr>
            <w:rStyle w:val="Hyperlink"/>
          </w:rPr>
          <w:t>Wind-up your SMSF</w:t>
        </w:r>
        <w:r w:rsidR="00067CC7">
          <w:rPr>
            <w:webHidden/>
          </w:rPr>
          <w:tab/>
        </w:r>
        <w:r w:rsidR="00067CC7">
          <w:rPr>
            <w:webHidden/>
          </w:rPr>
          <w:fldChar w:fldCharType="begin"/>
        </w:r>
        <w:r w:rsidR="00067CC7">
          <w:rPr>
            <w:webHidden/>
          </w:rPr>
          <w:instrText xml:space="preserve"> PAGEREF _Toc46236028 \h </w:instrText>
        </w:r>
        <w:r w:rsidR="00067CC7">
          <w:rPr>
            <w:webHidden/>
          </w:rPr>
        </w:r>
        <w:r w:rsidR="00067CC7">
          <w:rPr>
            <w:webHidden/>
          </w:rPr>
          <w:fldChar w:fldCharType="separate"/>
        </w:r>
        <w:r w:rsidR="00067CC7">
          <w:rPr>
            <w:webHidden/>
          </w:rPr>
          <w:t>50</w:t>
        </w:r>
        <w:r w:rsidR="00067CC7">
          <w:rPr>
            <w:webHidden/>
          </w:rPr>
          <w:fldChar w:fldCharType="end"/>
        </w:r>
      </w:hyperlink>
    </w:p>
    <w:p w14:paraId="0798E8AF" w14:textId="36ECCC48" w:rsidR="00067CC7" w:rsidRDefault="005E0693">
      <w:pPr>
        <w:pStyle w:val="TOC2"/>
        <w:rPr>
          <w:rFonts w:asciiTheme="minorHAnsi" w:eastAsiaTheme="minorEastAsia" w:hAnsiTheme="minorHAnsi" w:cstheme="minorBidi"/>
          <w:color w:val="auto"/>
          <w:sz w:val="22"/>
          <w:szCs w:val="22"/>
          <w:lang w:eastAsia="en-AU"/>
        </w:rPr>
      </w:pPr>
      <w:hyperlink w:anchor="_Toc46236029" w:history="1">
        <w:r w:rsidR="00067CC7" w:rsidRPr="0054051F">
          <w:rPr>
            <w:rStyle w:val="Hyperlink"/>
          </w:rPr>
          <w:t>Social Security</w:t>
        </w:r>
        <w:r w:rsidR="00067CC7">
          <w:rPr>
            <w:webHidden/>
          </w:rPr>
          <w:tab/>
        </w:r>
        <w:r w:rsidR="00067CC7">
          <w:rPr>
            <w:webHidden/>
          </w:rPr>
          <w:fldChar w:fldCharType="begin"/>
        </w:r>
        <w:r w:rsidR="00067CC7">
          <w:rPr>
            <w:webHidden/>
          </w:rPr>
          <w:instrText xml:space="preserve"> PAGEREF _Toc46236029 \h </w:instrText>
        </w:r>
        <w:r w:rsidR="00067CC7">
          <w:rPr>
            <w:webHidden/>
          </w:rPr>
        </w:r>
        <w:r w:rsidR="00067CC7">
          <w:rPr>
            <w:webHidden/>
          </w:rPr>
          <w:fldChar w:fldCharType="separate"/>
        </w:r>
        <w:r w:rsidR="00067CC7">
          <w:rPr>
            <w:webHidden/>
          </w:rPr>
          <w:t>52</w:t>
        </w:r>
        <w:r w:rsidR="00067CC7">
          <w:rPr>
            <w:webHidden/>
          </w:rPr>
          <w:fldChar w:fldCharType="end"/>
        </w:r>
      </w:hyperlink>
    </w:p>
    <w:p w14:paraId="10232DC9" w14:textId="660CA1A8" w:rsidR="00067CC7" w:rsidRDefault="005E0693">
      <w:pPr>
        <w:pStyle w:val="TOC2"/>
        <w:rPr>
          <w:rFonts w:asciiTheme="minorHAnsi" w:eastAsiaTheme="minorEastAsia" w:hAnsiTheme="minorHAnsi" w:cstheme="minorBidi"/>
          <w:color w:val="auto"/>
          <w:sz w:val="22"/>
          <w:szCs w:val="22"/>
          <w:lang w:eastAsia="en-AU"/>
        </w:rPr>
      </w:pPr>
      <w:hyperlink w:anchor="_Toc46236030" w:history="1">
        <w:r w:rsidR="00067CC7" w:rsidRPr="0054051F">
          <w:rPr>
            <w:rStyle w:val="Hyperlink"/>
          </w:rPr>
          <w:t>Aged Care</w:t>
        </w:r>
        <w:r w:rsidR="00067CC7">
          <w:rPr>
            <w:webHidden/>
          </w:rPr>
          <w:tab/>
        </w:r>
        <w:r w:rsidR="00067CC7">
          <w:rPr>
            <w:webHidden/>
          </w:rPr>
          <w:fldChar w:fldCharType="begin"/>
        </w:r>
        <w:r w:rsidR="00067CC7">
          <w:rPr>
            <w:webHidden/>
          </w:rPr>
          <w:instrText xml:space="preserve"> PAGEREF _Toc46236030 \h </w:instrText>
        </w:r>
        <w:r w:rsidR="00067CC7">
          <w:rPr>
            <w:webHidden/>
          </w:rPr>
        </w:r>
        <w:r w:rsidR="00067CC7">
          <w:rPr>
            <w:webHidden/>
          </w:rPr>
          <w:fldChar w:fldCharType="separate"/>
        </w:r>
        <w:r w:rsidR="00067CC7">
          <w:rPr>
            <w:webHidden/>
          </w:rPr>
          <w:t>52</w:t>
        </w:r>
        <w:r w:rsidR="00067CC7">
          <w:rPr>
            <w:webHidden/>
          </w:rPr>
          <w:fldChar w:fldCharType="end"/>
        </w:r>
      </w:hyperlink>
    </w:p>
    <w:p w14:paraId="30A031F1" w14:textId="3ADD0F77" w:rsidR="00067CC7" w:rsidRDefault="005E0693">
      <w:pPr>
        <w:pStyle w:val="TOC2"/>
        <w:rPr>
          <w:rFonts w:asciiTheme="minorHAnsi" w:eastAsiaTheme="minorEastAsia" w:hAnsiTheme="minorHAnsi" w:cstheme="minorBidi"/>
          <w:color w:val="auto"/>
          <w:sz w:val="22"/>
          <w:szCs w:val="22"/>
          <w:lang w:eastAsia="en-AU"/>
        </w:rPr>
      </w:pPr>
      <w:hyperlink w:anchor="_Toc46236031" w:history="1">
        <w:r w:rsidR="00067CC7" w:rsidRPr="0054051F">
          <w:rPr>
            <w:rStyle w:val="Hyperlink"/>
          </w:rPr>
          <w:t>Entity Structuring</w:t>
        </w:r>
        <w:r w:rsidR="00067CC7">
          <w:rPr>
            <w:webHidden/>
          </w:rPr>
          <w:tab/>
        </w:r>
        <w:r w:rsidR="00067CC7">
          <w:rPr>
            <w:webHidden/>
          </w:rPr>
          <w:fldChar w:fldCharType="begin"/>
        </w:r>
        <w:r w:rsidR="00067CC7">
          <w:rPr>
            <w:webHidden/>
          </w:rPr>
          <w:instrText xml:space="preserve"> PAGEREF _Toc46236031 \h </w:instrText>
        </w:r>
        <w:r w:rsidR="00067CC7">
          <w:rPr>
            <w:webHidden/>
          </w:rPr>
        </w:r>
        <w:r w:rsidR="00067CC7">
          <w:rPr>
            <w:webHidden/>
          </w:rPr>
          <w:fldChar w:fldCharType="separate"/>
        </w:r>
        <w:r w:rsidR="00067CC7">
          <w:rPr>
            <w:webHidden/>
          </w:rPr>
          <w:t>61</w:t>
        </w:r>
        <w:r w:rsidR="00067CC7">
          <w:rPr>
            <w:webHidden/>
          </w:rPr>
          <w:fldChar w:fldCharType="end"/>
        </w:r>
      </w:hyperlink>
    </w:p>
    <w:p w14:paraId="0CA8ADB1" w14:textId="3C7DEC38" w:rsidR="00067CC7" w:rsidRDefault="005E0693">
      <w:pPr>
        <w:pStyle w:val="TOC2"/>
        <w:rPr>
          <w:rFonts w:asciiTheme="minorHAnsi" w:eastAsiaTheme="minorEastAsia" w:hAnsiTheme="minorHAnsi" w:cstheme="minorBidi"/>
          <w:color w:val="auto"/>
          <w:sz w:val="22"/>
          <w:szCs w:val="22"/>
          <w:lang w:eastAsia="en-AU"/>
        </w:rPr>
      </w:pPr>
      <w:hyperlink w:anchor="_Toc46236032" w:history="1">
        <w:r w:rsidR="00067CC7" w:rsidRPr="0054051F">
          <w:rPr>
            <w:rStyle w:val="Hyperlink"/>
          </w:rPr>
          <w:t>Superannuation</w:t>
        </w:r>
        <w:r w:rsidR="00067CC7">
          <w:rPr>
            <w:webHidden/>
          </w:rPr>
          <w:tab/>
        </w:r>
        <w:r w:rsidR="00067CC7">
          <w:rPr>
            <w:webHidden/>
          </w:rPr>
          <w:fldChar w:fldCharType="begin"/>
        </w:r>
        <w:r w:rsidR="00067CC7">
          <w:rPr>
            <w:webHidden/>
          </w:rPr>
          <w:instrText xml:space="preserve"> PAGEREF _Toc46236032 \h </w:instrText>
        </w:r>
        <w:r w:rsidR="00067CC7">
          <w:rPr>
            <w:webHidden/>
          </w:rPr>
        </w:r>
        <w:r w:rsidR="00067CC7">
          <w:rPr>
            <w:webHidden/>
          </w:rPr>
          <w:fldChar w:fldCharType="separate"/>
        </w:r>
        <w:r w:rsidR="00067CC7">
          <w:rPr>
            <w:webHidden/>
          </w:rPr>
          <w:t>64</w:t>
        </w:r>
        <w:r w:rsidR="00067CC7">
          <w:rPr>
            <w:webHidden/>
          </w:rPr>
          <w:fldChar w:fldCharType="end"/>
        </w:r>
      </w:hyperlink>
    </w:p>
    <w:p w14:paraId="3E1C0930" w14:textId="6D73A8AD" w:rsidR="00067CC7" w:rsidRDefault="005E0693">
      <w:pPr>
        <w:pStyle w:val="TOC2"/>
        <w:rPr>
          <w:rFonts w:asciiTheme="minorHAnsi" w:eastAsiaTheme="minorEastAsia" w:hAnsiTheme="minorHAnsi" w:cstheme="minorBidi"/>
          <w:color w:val="auto"/>
          <w:sz w:val="22"/>
          <w:szCs w:val="22"/>
          <w:lang w:eastAsia="en-AU"/>
        </w:rPr>
      </w:pPr>
      <w:hyperlink w:anchor="_Toc46236033" w:history="1">
        <w:r w:rsidR="00067CC7" w:rsidRPr="0054051F">
          <w:rPr>
            <w:rStyle w:val="Hyperlink"/>
          </w:rPr>
          <w:t>Insurance Recommendations</w:t>
        </w:r>
        <w:r w:rsidR="00067CC7">
          <w:rPr>
            <w:webHidden/>
          </w:rPr>
          <w:tab/>
        </w:r>
        <w:r w:rsidR="00067CC7">
          <w:rPr>
            <w:webHidden/>
          </w:rPr>
          <w:fldChar w:fldCharType="begin"/>
        </w:r>
        <w:r w:rsidR="00067CC7">
          <w:rPr>
            <w:webHidden/>
          </w:rPr>
          <w:instrText xml:space="preserve"> PAGEREF _Toc46236033 \h </w:instrText>
        </w:r>
        <w:r w:rsidR="00067CC7">
          <w:rPr>
            <w:webHidden/>
          </w:rPr>
        </w:r>
        <w:r w:rsidR="00067CC7">
          <w:rPr>
            <w:webHidden/>
          </w:rPr>
          <w:fldChar w:fldCharType="separate"/>
        </w:r>
        <w:r w:rsidR="00067CC7">
          <w:rPr>
            <w:webHidden/>
          </w:rPr>
          <w:t>78</w:t>
        </w:r>
        <w:r w:rsidR="00067CC7">
          <w:rPr>
            <w:webHidden/>
          </w:rPr>
          <w:fldChar w:fldCharType="end"/>
        </w:r>
      </w:hyperlink>
    </w:p>
    <w:p w14:paraId="54993E85" w14:textId="4E288F49" w:rsidR="00067CC7" w:rsidRDefault="005E0693">
      <w:pPr>
        <w:pStyle w:val="TOC2"/>
        <w:rPr>
          <w:rFonts w:asciiTheme="minorHAnsi" w:eastAsiaTheme="minorEastAsia" w:hAnsiTheme="minorHAnsi" w:cstheme="minorBidi"/>
          <w:color w:val="auto"/>
          <w:sz w:val="22"/>
          <w:szCs w:val="22"/>
          <w:lang w:eastAsia="en-AU"/>
        </w:rPr>
      </w:pPr>
      <w:hyperlink w:anchor="_Toc46236034" w:history="1">
        <w:r w:rsidR="00067CC7" w:rsidRPr="0054051F">
          <w:rPr>
            <w:rStyle w:val="Hyperlink"/>
          </w:rPr>
          <w:t>Summary of Risk Recommendations</w:t>
        </w:r>
        <w:r w:rsidR="00067CC7">
          <w:rPr>
            <w:webHidden/>
          </w:rPr>
          <w:tab/>
        </w:r>
        <w:r w:rsidR="00067CC7">
          <w:rPr>
            <w:webHidden/>
          </w:rPr>
          <w:fldChar w:fldCharType="begin"/>
        </w:r>
        <w:r w:rsidR="00067CC7">
          <w:rPr>
            <w:webHidden/>
          </w:rPr>
          <w:instrText xml:space="preserve"> PAGEREF _Toc46236034 \h </w:instrText>
        </w:r>
        <w:r w:rsidR="00067CC7">
          <w:rPr>
            <w:webHidden/>
          </w:rPr>
        </w:r>
        <w:r w:rsidR="00067CC7">
          <w:rPr>
            <w:webHidden/>
          </w:rPr>
          <w:fldChar w:fldCharType="separate"/>
        </w:r>
        <w:r w:rsidR="00067CC7">
          <w:rPr>
            <w:webHidden/>
          </w:rPr>
          <w:t>78</w:t>
        </w:r>
        <w:r w:rsidR="00067CC7">
          <w:rPr>
            <w:webHidden/>
          </w:rPr>
          <w:fldChar w:fldCharType="end"/>
        </w:r>
      </w:hyperlink>
    </w:p>
    <w:p w14:paraId="1600441E" w14:textId="3E7124E8" w:rsidR="00067CC7" w:rsidRDefault="005E0693">
      <w:pPr>
        <w:pStyle w:val="TOC2"/>
        <w:rPr>
          <w:rFonts w:asciiTheme="minorHAnsi" w:eastAsiaTheme="minorEastAsia" w:hAnsiTheme="minorHAnsi" w:cstheme="minorBidi"/>
          <w:color w:val="auto"/>
          <w:sz w:val="22"/>
          <w:szCs w:val="22"/>
          <w:lang w:eastAsia="en-AU"/>
        </w:rPr>
      </w:pPr>
      <w:hyperlink w:anchor="_Toc46236035" w:history="1">
        <w:r w:rsidR="00067CC7" w:rsidRPr="0054051F">
          <w:rPr>
            <w:rStyle w:val="Hyperlink"/>
          </w:rPr>
          <w:t>Duty of Disclosure</w:t>
        </w:r>
        <w:r w:rsidR="00067CC7">
          <w:rPr>
            <w:webHidden/>
          </w:rPr>
          <w:tab/>
        </w:r>
        <w:r w:rsidR="00067CC7">
          <w:rPr>
            <w:webHidden/>
          </w:rPr>
          <w:fldChar w:fldCharType="begin"/>
        </w:r>
        <w:r w:rsidR="00067CC7">
          <w:rPr>
            <w:webHidden/>
          </w:rPr>
          <w:instrText xml:space="preserve"> PAGEREF _Toc46236035 \h </w:instrText>
        </w:r>
        <w:r w:rsidR="00067CC7">
          <w:rPr>
            <w:webHidden/>
          </w:rPr>
        </w:r>
        <w:r w:rsidR="00067CC7">
          <w:rPr>
            <w:webHidden/>
          </w:rPr>
          <w:fldChar w:fldCharType="separate"/>
        </w:r>
        <w:r w:rsidR="00067CC7">
          <w:rPr>
            <w:webHidden/>
          </w:rPr>
          <w:t>78</w:t>
        </w:r>
        <w:r w:rsidR="00067CC7">
          <w:rPr>
            <w:webHidden/>
          </w:rPr>
          <w:fldChar w:fldCharType="end"/>
        </w:r>
      </w:hyperlink>
    </w:p>
    <w:p w14:paraId="2341F789" w14:textId="1F535F6A" w:rsidR="00067CC7" w:rsidRDefault="005E0693">
      <w:pPr>
        <w:pStyle w:val="TOC2"/>
        <w:rPr>
          <w:rFonts w:asciiTheme="minorHAnsi" w:eastAsiaTheme="minorEastAsia" w:hAnsiTheme="minorHAnsi" w:cstheme="minorBidi"/>
          <w:color w:val="auto"/>
          <w:sz w:val="22"/>
          <w:szCs w:val="22"/>
          <w:lang w:eastAsia="en-AU"/>
        </w:rPr>
      </w:pPr>
      <w:hyperlink w:anchor="_Toc46236036" w:history="1">
        <w:r w:rsidR="00067CC7" w:rsidRPr="0054051F">
          <w:rPr>
            <w:rStyle w:val="Hyperlink"/>
          </w:rPr>
          <w:t>General Information about Insurance</w:t>
        </w:r>
        <w:r w:rsidR="00067CC7">
          <w:rPr>
            <w:webHidden/>
          </w:rPr>
          <w:tab/>
        </w:r>
        <w:r w:rsidR="00067CC7">
          <w:rPr>
            <w:webHidden/>
          </w:rPr>
          <w:fldChar w:fldCharType="begin"/>
        </w:r>
        <w:r w:rsidR="00067CC7">
          <w:rPr>
            <w:webHidden/>
          </w:rPr>
          <w:instrText xml:space="preserve"> PAGEREF _Toc46236036 \h </w:instrText>
        </w:r>
        <w:r w:rsidR="00067CC7">
          <w:rPr>
            <w:webHidden/>
          </w:rPr>
        </w:r>
        <w:r w:rsidR="00067CC7">
          <w:rPr>
            <w:webHidden/>
          </w:rPr>
          <w:fldChar w:fldCharType="separate"/>
        </w:r>
        <w:r w:rsidR="00067CC7">
          <w:rPr>
            <w:webHidden/>
          </w:rPr>
          <w:t>79</w:t>
        </w:r>
        <w:r w:rsidR="00067CC7">
          <w:rPr>
            <w:webHidden/>
          </w:rPr>
          <w:fldChar w:fldCharType="end"/>
        </w:r>
      </w:hyperlink>
    </w:p>
    <w:p w14:paraId="34C204EF" w14:textId="48D11432" w:rsidR="00067CC7" w:rsidRDefault="005E0693">
      <w:pPr>
        <w:pStyle w:val="TOC2"/>
        <w:rPr>
          <w:rFonts w:asciiTheme="minorHAnsi" w:eastAsiaTheme="minorEastAsia" w:hAnsiTheme="minorHAnsi" w:cstheme="minorBidi"/>
          <w:color w:val="auto"/>
          <w:sz w:val="22"/>
          <w:szCs w:val="22"/>
          <w:lang w:eastAsia="en-AU"/>
        </w:rPr>
      </w:pPr>
      <w:hyperlink w:anchor="_Toc46236037" w:history="1">
        <w:r w:rsidR="00067CC7" w:rsidRPr="0054051F">
          <w:rPr>
            <w:rStyle w:val="Hyperlink"/>
          </w:rPr>
          <w:t>Personal Insurance Recommendations</w:t>
        </w:r>
        <w:r w:rsidR="00067CC7">
          <w:rPr>
            <w:webHidden/>
          </w:rPr>
          <w:tab/>
        </w:r>
        <w:r w:rsidR="00067CC7">
          <w:rPr>
            <w:webHidden/>
          </w:rPr>
          <w:fldChar w:fldCharType="begin"/>
        </w:r>
        <w:r w:rsidR="00067CC7">
          <w:rPr>
            <w:webHidden/>
          </w:rPr>
          <w:instrText xml:space="preserve"> PAGEREF _Toc46236037 \h </w:instrText>
        </w:r>
        <w:r w:rsidR="00067CC7">
          <w:rPr>
            <w:webHidden/>
          </w:rPr>
        </w:r>
        <w:r w:rsidR="00067CC7">
          <w:rPr>
            <w:webHidden/>
          </w:rPr>
          <w:fldChar w:fldCharType="separate"/>
        </w:r>
        <w:r w:rsidR="00067CC7">
          <w:rPr>
            <w:webHidden/>
          </w:rPr>
          <w:t>80</w:t>
        </w:r>
        <w:r w:rsidR="00067CC7">
          <w:rPr>
            <w:webHidden/>
          </w:rPr>
          <w:fldChar w:fldCharType="end"/>
        </w:r>
      </w:hyperlink>
    </w:p>
    <w:p w14:paraId="12440737" w14:textId="298D02E2" w:rsidR="00067CC7" w:rsidRDefault="005E0693">
      <w:pPr>
        <w:pStyle w:val="TOC2"/>
        <w:rPr>
          <w:rFonts w:asciiTheme="minorHAnsi" w:eastAsiaTheme="minorEastAsia" w:hAnsiTheme="minorHAnsi" w:cstheme="minorBidi"/>
          <w:color w:val="auto"/>
          <w:sz w:val="22"/>
          <w:szCs w:val="22"/>
          <w:lang w:eastAsia="en-AU"/>
        </w:rPr>
      </w:pPr>
      <w:hyperlink w:anchor="_Toc46236038" w:history="1">
        <w:r w:rsidR="00067CC7" w:rsidRPr="0054051F">
          <w:rPr>
            <w:rStyle w:val="Hyperlink"/>
          </w:rPr>
          <w:t>Business Expense Insurance Cover</w:t>
        </w:r>
        <w:r w:rsidR="00067CC7">
          <w:rPr>
            <w:webHidden/>
          </w:rPr>
          <w:tab/>
        </w:r>
        <w:r w:rsidR="00067CC7">
          <w:rPr>
            <w:webHidden/>
          </w:rPr>
          <w:fldChar w:fldCharType="begin"/>
        </w:r>
        <w:r w:rsidR="00067CC7">
          <w:rPr>
            <w:webHidden/>
          </w:rPr>
          <w:instrText xml:space="preserve"> PAGEREF _Toc46236038 \h </w:instrText>
        </w:r>
        <w:r w:rsidR="00067CC7">
          <w:rPr>
            <w:webHidden/>
          </w:rPr>
        </w:r>
        <w:r w:rsidR="00067CC7">
          <w:rPr>
            <w:webHidden/>
          </w:rPr>
          <w:fldChar w:fldCharType="separate"/>
        </w:r>
        <w:r w:rsidR="00067CC7">
          <w:rPr>
            <w:webHidden/>
          </w:rPr>
          <w:t>91</w:t>
        </w:r>
        <w:r w:rsidR="00067CC7">
          <w:rPr>
            <w:webHidden/>
          </w:rPr>
          <w:fldChar w:fldCharType="end"/>
        </w:r>
      </w:hyperlink>
    </w:p>
    <w:p w14:paraId="56D579E8" w14:textId="7194623A" w:rsidR="00067CC7" w:rsidRDefault="005E0693">
      <w:pPr>
        <w:pStyle w:val="TOC2"/>
        <w:rPr>
          <w:rFonts w:asciiTheme="minorHAnsi" w:eastAsiaTheme="minorEastAsia" w:hAnsiTheme="minorHAnsi" w:cstheme="minorBidi"/>
          <w:color w:val="auto"/>
          <w:sz w:val="22"/>
          <w:szCs w:val="22"/>
          <w:lang w:eastAsia="en-AU"/>
        </w:rPr>
      </w:pPr>
      <w:hyperlink w:anchor="_Toc46236039" w:history="1">
        <w:r w:rsidR="00067CC7" w:rsidRPr="0054051F">
          <w:rPr>
            <w:rStyle w:val="Hyperlink"/>
          </w:rPr>
          <w:t>Investment Recommendations</w:t>
        </w:r>
        <w:r w:rsidR="00067CC7">
          <w:rPr>
            <w:webHidden/>
          </w:rPr>
          <w:tab/>
        </w:r>
        <w:r w:rsidR="00067CC7">
          <w:rPr>
            <w:webHidden/>
          </w:rPr>
          <w:fldChar w:fldCharType="begin"/>
        </w:r>
        <w:r w:rsidR="00067CC7">
          <w:rPr>
            <w:webHidden/>
          </w:rPr>
          <w:instrText xml:space="preserve"> PAGEREF _Toc46236039 \h </w:instrText>
        </w:r>
        <w:r w:rsidR="00067CC7">
          <w:rPr>
            <w:webHidden/>
          </w:rPr>
        </w:r>
        <w:r w:rsidR="00067CC7">
          <w:rPr>
            <w:webHidden/>
          </w:rPr>
          <w:fldChar w:fldCharType="separate"/>
        </w:r>
        <w:r w:rsidR="00067CC7">
          <w:rPr>
            <w:webHidden/>
          </w:rPr>
          <w:t>93</w:t>
        </w:r>
        <w:r w:rsidR="00067CC7">
          <w:rPr>
            <w:webHidden/>
          </w:rPr>
          <w:fldChar w:fldCharType="end"/>
        </w:r>
      </w:hyperlink>
    </w:p>
    <w:p w14:paraId="56B2AA92" w14:textId="01AB0A75" w:rsidR="00067CC7" w:rsidRDefault="005E0693">
      <w:pPr>
        <w:pStyle w:val="TOC2"/>
        <w:rPr>
          <w:rFonts w:asciiTheme="minorHAnsi" w:eastAsiaTheme="minorEastAsia" w:hAnsiTheme="minorHAnsi" w:cstheme="minorBidi"/>
          <w:color w:val="auto"/>
          <w:sz w:val="22"/>
          <w:szCs w:val="22"/>
          <w:lang w:eastAsia="en-AU"/>
        </w:rPr>
      </w:pPr>
      <w:hyperlink w:anchor="_Toc46236040" w:history="1">
        <w:r w:rsidR="00067CC7" w:rsidRPr="0054051F">
          <w:rPr>
            <w:rStyle w:val="Hyperlink"/>
          </w:rPr>
          <w:t>Salary Packaging</w:t>
        </w:r>
        <w:r w:rsidR="00067CC7">
          <w:rPr>
            <w:webHidden/>
          </w:rPr>
          <w:tab/>
        </w:r>
        <w:r w:rsidR="00067CC7">
          <w:rPr>
            <w:webHidden/>
          </w:rPr>
          <w:fldChar w:fldCharType="begin"/>
        </w:r>
        <w:r w:rsidR="00067CC7">
          <w:rPr>
            <w:webHidden/>
          </w:rPr>
          <w:instrText xml:space="preserve"> PAGEREF _Toc46236040 \h </w:instrText>
        </w:r>
        <w:r w:rsidR="00067CC7">
          <w:rPr>
            <w:webHidden/>
          </w:rPr>
        </w:r>
        <w:r w:rsidR="00067CC7">
          <w:rPr>
            <w:webHidden/>
          </w:rPr>
          <w:fldChar w:fldCharType="separate"/>
        </w:r>
        <w:r w:rsidR="00067CC7">
          <w:rPr>
            <w:webHidden/>
          </w:rPr>
          <w:t>96</w:t>
        </w:r>
        <w:r w:rsidR="00067CC7">
          <w:rPr>
            <w:webHidden/>
          </w:rPr>
          <w:fldChar w:fldCharType="end"/>
        </w:r>
      </w:hyperlink>
    </w:p>
    <w:p w14:paraId="1F469575" w14:textId="78B7F8FF" w:rsidR="00067CC7" w:rsidRDefault="005E0693">
      <w:pPr>
        <w:pStyle w:val="TOC2"/>
        <w:rPr>
          <w:rFonts w:asciiTheme="minorHAnsi" w:eastAsiaTheme="minorEastAsia" w:hAnsiTheme="minorHAnsi" w:cstheme="minorBidi"/>
          <w:color w:val="auto"/>
          <w:sz w:val="22"/>
          <w:szCs w:val="22"/>
          <w:lang w:eastAsia="en-AU"/>
        </w:rPr>
      </w:pPr>
      <w:hyperlink w:anchor="_Toc46236041" w:history="1">
        <w:r w:rsidR="00067CC7" w:rsidRPr="0054051F">
          <w:rPr>
            <w:rStyle w:val="Hyperlink"/>
          </w:rPr>
          <w:t>Product Recommendations</w:t>
        </w:r>
        <w:r w:rsidR="00067CC7">
          <w:rPr>
            <w:webHidden/>
          </w:rPr>
          <w:tab/>
        </w:r>
        <w:r w:rsidR="00067CC7">
          <w:rPr>
            <w:webHidden/>
          </w:rPr>
          <w:fldChar w:fldCharType="begin"/>
        </w:r>
        <w:r w:rsidR="00067CC7">
          <w:rPr>
            <w:webHidden/>
          </w:rPr>
          <w:instrText xml:space="preserve"> PAGEREF _Toc46236041 \h </w:instrText>
        </w:r>
        <w:r w:rsidR="00067CC7">
          <w:rPr>
            <w:webHidden/>
          </w:rPr>
        </w:r>
        <w:r w:rsidR="00067CC7">
          <w:rPr>
            <w:webHidden/>
          </w:rPr>
          <w:fldChar w:fldCharType="separate"/>
        </w:r>
        <w:r w:rsidR="00067CC7">
          <w:rPr>
            <w:webHidden/>
          </w:rPr>
          <w:t>97</w:t>
        </w:r>
        <w:r w:rsidR="00067CC7">
          <w:rPr>
            <w:webHidden/>
          </w:rPr>
          <w:fldChar w:fldCharType="end"/>
        </w:r>
      </w:hyperlink>
    </w:p>
    <w:p w14:paraId="71E06AFD" w14:textId="64B4D2ED" w:rsidR="00067CC7" w:rsidRDefault="005E0693">
      <w:pPr>
        <w:pStyle w:val="TOC2"/>
        <w:rPr>
          <w:rFonts w:asciiTheme="minorHAnsi" w:eastAsiaTheme="minorEastAsia" w:hAnsiTheme="minorHAnsi" w:cstheme="minorBidi"/>
          <w:color w:val="auto"/>
          <w:sz w:val="22"/>
          <w:szCs w:val="22"/>
          <w:lang w:eastAsia="en-AU"/>
        </w:rPr>
      </w:pPr>
      <w:hyperlink w:anchor="_Toc46236042" w:history="1">
        <w:r w:rsidR="00067CC7" w:rsidRPr="0054051F">
          <w:rPr>
            <w:rStyle w:val="Hyperlink"/>
          </w:rPr>
          <w:t>Proposed Asset Allocation</w:t>
        </w:r>
        <w:r w:rsidR="00067CC7">
          <w:rPr>
            <w:webHidden/>
          </w:rPr>
          <w:tab/>
        </w:r>
        <w:r w:rsidR="00067CC7">
          <w:rPr>
            <w:webHidden/>
          </w:rPr>
          <w:fldChar w:fldCharType="begin"/>
        </w:r>
        <w:r w:rsidR="00067CC7">
          <w:rPr>
            <w:webHidden/>
          </w:rPr>
          <w:instrText xml:space="preserve"> PAGEREF _Toc46236042 \h </w:instrText>
        </w:r>
        <w:r w:rsidR="00067CC7">
          <w:rPr>
            <w:webHidden/>
          </w:rPr>
        </w:r>
        <w:r w:rsidR="00067CC7">
          <w:rPr>
            <w:webHidden/>
          </w:rPr>
          <w:fldChar w:fldCharType="separate"/>
        </w:r>
        <w:r w:rsidR="00067CC7">
          <w:rPr>
            <w:webHidden/>
          </w:rPr>
          <w:t>98</w:t>
        </w:r>
        <w:r w:rsidR="00067CC7">
          <w:rPr>
            <w:webHidden/>
          </w:rPr>
          <w:fldChar w:fldCharType="end"/>
        </w:r>
      </w:hyperlink>
    </w:p>
    <w:p w14:paraId="497562AC" w14:textId="1875ED6D" w:rsidR="00067CC7" w:rsidRDefault="005E0693">
      <w:pPr>
        <w:pStyle w:val="TOC3"/>
        <w:rPr>
          <w:rFonts w:asciiTheme="minorHAnsi" w:eastAsiaTheme="minorEastAsia" w:hAnsiTheme="minorHAnsi" w:cstheme="minorBidi"/>
          <w:color w:val="auto"/>
          <w:sz w:val="22"/>
          <w:szCs w:val="22"/>
          <w:lang w:val="en-AU" w:eastAsia="en-AU"/>
        </w:rPr>
      </w:pPr>
      <w:hyperlink w:anchor="_Toc46236043" w:history="1">
        <w:r w:rsidR="00067CC7" w:rsidRPr="0054051F">
          <w:rPr>
            <w:rStyle w:val="Hyperlink"/>
          </w:rPr>
          <w:t>Proposed Asset Allocation for [Client Name]</w:t>
        </w:r>
        <w:r w:rsidR="00067CC7">
          <w:rPr>
            <w:webHidden/>
          </w:rPr>
          <w:tab/>
        </w:r>
        <w:r w:rsidR="00067CC7">
          <w:rPr>
            <w:webHidden/>
          </w:rPr>
          <w:fldChar w:fldCharType="begin"/>
        </w:r>
        <w:r w:rsidR="00067CC7">
          <w:rPr>
            <w:webHidden/>
          </w:rPr>
          <w:instrText xml:space="preserve"> PAGEREF _Toc46236043 \h </w:instrText>
        </w:r>
        <w:r w:rsidR="00067CC7">
          <w:rPr>
            <w:webHidden/>
          </w:rPr>
        </w:r>
        <w:r w:rsidR="00067CC7">
          <w:rPr>
            <w:webHidden/>
          </w:rPr>
          <w:fldChar w:fldCharType="separate"/>
        </w:r>
        <w:r w:rsidR="00067CC7">
          <w:rPr>
            <w:webHidden/>
          </w:rPr>
          <w:t>98</w:t>
        </w:r>
        <w:r w:rsidR="00067CC7">
          <w:rPr>
            <w:webHidden/>
          </w:rPr>
          <w:fldChar w:fldCharType="end"/>
        </w:r>
      </w:hyperlink>
    </w:p>
    <w:p w14:paraId="37573694" w14:textId="6ACCE187" w:rsidR="00067CC7" w:rsidRDefault="005E0693">
      <w:pPr>
        <w:pStyle w:val="TOC3"/>
        <w:rPr>
          <w:rFonts w:asciiTheme="minorHAnsi" w:eastAsiaTheme="minorEastAsia" w:hAnsiTheme="minorHAnsi" w:cstheme="minorBidi"/>
          <w:color w:val="auto"/>
          <w:sz w:val="22"/>
          <w:szCs w:val="22"/>
          <w:lang w:val="en-AU" w:eastAsia="en-AU"/>
        </w:rPr>
      </w:pPr>
      <w:hyperlink w:anchor="_Toc46236044" w:history="1">
        <w:r w:rsidR="00067CC7" w:rsidRPr="0054051F">
          <w:rPr>
            <w:rStyle w:val="Hyperlink"/>
          </w:rPr>
          <w:t>Proposed Asset Allocation for [Partner Name]</w:t>
        </w:r>
        <w:r w:rsidR="00067CC7">
          <w:rPr>
            <w:webHidden/>
          </w:rPr>
          <w:tab/>
        </w:r>
        <w:r w:rsidR="00067CC7">
          <w:rPr>
            <w:webHidden/>
          </w:rPr>
          <w:fldChar w:fldCharType="begin"/>
        </w:r>
        <w:r w:rsidR="00067CC7">
          <w:rPr>
            <w:webHidden/>
          </w:rPr>
          <w:instrText xml:space="preserve"> PAGEREF _Toc46236044 \h </w:instrText>
        </w:r>
        <w:r w:rsidR="00067CC7">
          <w:rPr>
            <w:webHidden/>
          </w:rPr>
        </w:r>
        <w:r w:rsidR="00067CC7">
          <w:rPr>
            <w:webHidden/>
          </w:rPr>
          <w:fldChar w:fldCharType="separate"/>
        </w:r>
        <w:r w:rsidR="00067CC7">
          <w:rPr>
            <w:webHidden/>
          </w:rPr>
          <w:t>98</w:t>
        </w:r>
        <w:r w:rsidR="00067CC7">
          <w:rPr>
            <w:webHidden/>
          </w:rPr>
          <w:fldChar w:fldCharType="end"/>
        </w:r>
      </w:hyperlink>
    </w:p>
    <w:p w14:paraId="11560E15" w14:textId="27D59A4B" w:rsidR="005B0C49" w:rsidRPr="005F763D" w:rsidRDefault="005B0C49" w:rsidP="00F348D9">
      <w:pPr>
        <w:pStyle w:val="Heading1"/>
      </w:pPr>
      <w:r w:rsidRPr="005F763D">
        <w:rPr>
          <w:noProof/>
        </w:rPr>
        <w:fldChar w:fldCharType="end"/>
      </w:r>
    </w:p>
    <w:p w14:paraId="2D66F866" w14:textId="4E191ACC" w:rsidR="003573BF" w:rsidRPr="005F763D" w:rsidRDefault="003573BF" w:rsidP="00E164DA">
      <w:pPr>
        <w:pStyle w:val="Instructions"/>
        <w:rPr>
          <w:highlight w:val="yellow"/>
        </w:rPr>
      </w:pPr>
      <w:r w:rsidRPr="005F763D">
        <w:rPr>
          <w:highlight w:val="yellow"/>
        </w:rPr>
        <w:t xml:space="preserve">  Please note that in addition to the above</w:t>
      </w:r>
      <w:r w:rsidR="009F2021">
        <w:rPr>
          <w:highlight w:val="yellow"/>
        </w:rPr>
        <w:t xml:space="preserve"> fragments</w:t>
      </w:r>
      <w:r w:rsidRPr="005F763D">
        <w:rPr>
          <w:highlight w:val="yellow"/>
        </w:rPr>
        <w:t xml:space="preserve">, we also have standard text covering </w:t>
      </w:r>
      <w:proofErr w:type="spellStart"/>
      <w:r w:rsidRPr="005F763D">
        <w:rPr>
          <w:highlight w:val="yellow"/>
        </w:rPr>
        <w:t>InterPrac</w:t>
      </w:r>
      <w:proofErr w:type="spellEnd"/>
      <w:r w:rsidRPr="005F763D">
        <w:rPr>
          <w:highlight w:val="yellow"/>
        </w:rPr>
        <w:t xml:space="preserve"> Financial Planning exclusive products which include the Investor1st platform solution and the </w:t>
      </w:r>
      <w:proofErr w:type="spellStart"/>
      <w:r w:rsidRPr="005F763D">
        <w:rPr>
          <w:highlight w:val="yellow"/>
        </w:rPr>
        <w:t>Diversa</w:t>
      </w:r>
      <w:proofErr w:type="spellEnd"/>
      <w:r w:rsidRPr="005F763D">
        <w:rPr>
          <w:highlight w:val="yellow"/>
        </w:rPr>
        <w:t xml:space="preserve"> Group Life Pool product. These are available on </w:t>
      </w:r>
      <w:r w:rsidR="009F2021">
        <w:rPr>
          <w:highlight w:val="yellow"/>
        </w:rPr>
        <w:t>the Adviser Resource Centre</w:t>
      </w:r>
      <w:r w:rsidRPr="005F763D">
        <w:rPr>
          <w:highlight w:val="yellow"/>
        </w:rPr>
        <w:t>.</w:t>
      </w:r>
    </w:p>
    <w:p w14:paraId="62542071" w14:textId="5B17F593" w:rsidR="003573BF" w:rsidRPr="005F763D" w:rsidRDefault="003573BF" w:rsidP="00E164DA">
      <w:pPr>
        <w:pStyle w:val="Instructions"/>
        <w:rPr>
          <w:highlight w:val="yellow"/>
        </w:rPr>
      </w:pPr>
      <w:r w:rsidRPr="005F763D">
        <w:rPr>
          <w:highlight w:val="yellow"/>
        </w:rPr>
        <w:t xml:space="preserve"> You can also </w:t>
      </w:r>
      <w:r w:rsidR="009F2021">
        <w:rPr>
          <w:highlight w:val="yellow"/>
        </w:rPr>
        <w:t>source</w:t>
      </w:r>
      <w:r w:rsidRPr="005F763D">
        <w:rPr>
          <w:highlight w:val="yellow"/>
        </w:rPr>
        <w:t xml:space="preserve"> strategy text from </w:t>
      </w:r>
      <w:r w:rsidR="009F2021">
        <w:rPr>
          <w:highlight w:val="yellow"/>
        </w:rPr>
        <w:t xml:space="preserve">other </w:t>
      </w:r>
      <w:r w:rsidRPr="005F763D">
        <w:rPr>
          <w:highlight w:val="yellow"/>
        </w:rPr>
        <w:t>p</w:t>
      </w:r>
      <w:r w:rsidR="009F2021">
        <w:rPr>
          <w:highlight w:val="yellow"/>
        </w:rPr>
        <w:t>roviders</w:t>
      </w:r>
      <w:r w:rsidRPr="005F763D">
        <w:rPr>
          <w:highlight w:val="yellow"/>
        </w:rPr>
        <w:t xml:space="preserve"> such as </w:t>
      </w:r>
      <w:proofErr w:type="spellStart"/>
      <w:r w:rsidRPr="005F763D">
        <w:rPr>
          <w:highlight w:val="yellow"/>
        </w:rPr>
        <w:t>Instreet</w:t>
      </w:r>
      <w:proofErr w:type="spellEnd"/>
      <w:r w:rsidRPr="005F763D">
        <w:rPr>
          <w:highlight w:val="yellow"/>
        </w:rPr>
        <w:t>, Morgan Stanley (for direct shares) or Netwealth to assist you in producing client specific recommendations.</w:t>
      </w:r>
      <w:r w:rsidR="009F2021">
        <w:rPr>
          <w:highlight w:val="yellow"/>
        </w:rPr>
        <w:t xml:space="preserve"> Ensure that such borrowed text is supplied for use by 3</w:t>
      </w:r>
      <w:r w:rsidR="009F2021" w:rsidRPr="00E11BDB">
        <w:rPr>
          <w:highlight w:val="yellow"/>
          <w:vertAlign w:val="superscript"/>
        </w:rPr>
        <w:t>rd</w:t>
      </w:r>
      <w:r w:rsidR="009F2021">
        <w:rPr>
          <w:highlight w:val="yellow"/>
        </w:rPr>
        <w:t xml:space="preserve"> parties and that no copyright conditions are breached.</w:t>
      </w:r>
    </w:p>
    <w:p w14:paraId="506D8284" w14:textId="01A0A288" w:rsidR="00DD4909" w:rsidRPr="005F763D" w:rsidRDefault="005F763D" w:rsidP="005F763D">
      <w:pPr>
        <w:spacing w:after="240"/>
        <w:jc w:val="left"/>
        <w:rPr>
          <w:rFonts w:cs="Calibri"/>
          <w:bCs/>
          <w:color w:val="01447B"/>
          <w:kern w:val="2"/>
          <w:sz w:val="32"/>
          <w:szCs w:val="36"/>
        </w:rPr>
      </w:pPr>
      <w:r w:rsidRPr="005F763D">
        <w:br w:type="page"/>
      </w:r>
      <w:bookmarkEnd w:id="3"/>
      <w:bookmarkEnd w:id="4"/>
    </w:p>
    <w:p w14:paraId="4A59B27F" w14:textId="7D1AC862" w:rsidR="00417CBD" w:rsidRPr="001A66FE" w:rsidRDefault="00417CBD" w:rsidP="00F348D9">
      <w:pPr>
        <w:pStyle w:val="Heading1"/>
      </w:pPr>
      <w:bookmarkStart w:id="5" w:name="_Toc46236018"/>
      <w:bookmarkStart w:id="6" w:name="_Toc377642869"/>
      <w:r w:rsidRPr="00BB0D88">
        <w:lastRenderedPageBreak/>
        <w:t>Example</w:t>
      </w:r>
      <w:r w:rsidR="00212793">
        <w:t xml:space="preserve"> Format:</w:t>
      </w:r>
      <w:r w:rsidRPr="00BB0D88">
        <w:t xml:space="preserve"> Recommendation</w:t>
      </w:r>
      <w:r w:rsidR="00212793">
        <w:t>s</w:t>
      </w:r>
      <w:bookmarkEnd w:id="5"/>
    </w:p>
    <w:p w14:paraId="2C5E68BD" w14:textId="1EB43D37" w:rsidR="001A66FE" w:rsidRPr="005F763D" w:rsidRDefault="001A66FE" w:rsidP="00E164DA">
      <w:pPr>
        <w:pStyle w:val="Instructions"/>
        <w:rPr>
          <w:highlight w:val="yellow"/>
        </w:rPr>
      </w:pPr>
      <w:r w:rsidRPr="005F763D">
        <w:rPr>
          <w:highlight w:val="yellow"/>
        </w:rPr>
        <w:t xml:space="preserve">Any recommendations MUST </w:t>
      </w:r>
      <w:r w:rsidR="00127D96">
        <w:rPr>
          <w:highlight w:val="yellow"/>
        </w:rPr>
        <w:t>link</w:t>
      </w:r>
      <w:r w:rsidRPr="005F763D">
        <w:rPr>
          <w:highlight w:val="yellow"/>
        </w:rPr>
        <w:t xml:space="preserve"> to the financial objectives </w:t>
      </w:r>
      <w:r w:rsidR="00127D96">
        <w:rPr>
          <w:highlight w:val="yellow"/>
        </w:rPr>
        <w:t xml:space="preserve">that are the </w:t>
      </w:r>
      <w:r w:rsidR="00127D96" w:rsidRPr="00E8635F">
        <w:rPr>
          <w:highlight w:val="yellow"/>
          <w:u w:val="single"/>
        </w:rPr>
        <w:t>details</w:t>
      </w:r>
      <w:r w:rsidR="00127D96">
        <w:rPr>
          <w:highlight w:val="yellow"/>
        </w:rPr>
        <w:t xml:space="preserve"> in the Agreed Scope of the </w:t>
      </w:r>
      <w:proofErr w:type="spellStart"/>
      <w:r w:rsidR="00122559">
        <w:rPr>
          <w:highlight w:val="yellow"/>
        </w:rPr>
        <w:t>SoA</w:t>
      </w:r>
      <w:proofErr w:type="spellEnd"/>
      <w:r w:rsidR="00122559">
        <w:rPr>
          <w:highlight w:val="yellow"/>
        </w:rPr>
        <w:t>.</w:t>
      </w:r>
      <w:r w:rsidR="00127D96">
        <w:rPr>
          <w:highlight w:val="yellow"/>
        </w:rPr>
        <w:t xml:space="preserve"> This linkage occurs explicitly in the “In Your Best Interest” row.</w:t>
      </w:r>
    </w:p>
    <w:p w14:paraId="6E218D66" w14:textId="71E778FC" w:rsidR="00417CBD" w:rsidRDefault="00417CBD" w:rsidP="008C7CE9">
      <w:pPr>
        <w:jc w:val="left"/>
      </w:pPr>
    </w:p>
    <w:tbl>
      <w:tblPr>
        <w:tblStyle w:val="TableGrid"/>
        <w:tblW w:w="0" w:type="auto"/>
        <w:tblInd w:w="76" w:type="dxa"/>
        <w:tblLook w:val="04A0" w:firstRow="1" w:lastRow="0" w:firstColumn="1" w:lastColumn="0" w:noHBand="0" w:noVBand="1"/>
      </w:tblPr>
      <w:tblGrid>
        <w:gridCol w:w="2754"/>
        <w:gridCol w:w="6798"/>
      </w:tblGrid>
      <w:tr w:rsidR="008C0AC7" w:rsidRPr="00430F8C" w14:paraId="07AA6D0E" w14:textId="77777777" w:rsidTr="00F3276D">
        <w:tc>
          <w:tcPr>
            <w:tcW w:w="2754" w:type="dxa"/>
          </w:tcPr>
          <w:p w14:paraId="25352A97" w14:textId="77777777" w:rsidR="008C0AC7" w:rsidRPr="000D0191" w:rsidRDefault="008C0AC7" w:rsidP="00F3276D">
            <w:pPr>
              <w:pStyle w:val="TableHeader2"/>
              <w:rPr>
                <w:rFonts w:ascii="Calibri Light" w:hAnsi="Calibri Light"/>
                <w:highlight w:val="yellow"/>
              </w:rPr>
            </w:pPr>
            <w:r w:rsidRPr="000D0191">
              <w:rPr>
                <w:rFonts w:ascii="Calibri Light" w:hAnsi="Calibri Light"/>
                <w:highlight w:val="yellow"/>
              </w:rPr>
              <w:t>Recommendation #&lt;Number&gt;</w:t>
            </w:r>
          </w:p>
        </w:tc>
        <w:tc>
          <w:tcPr>
            <w:tcW w:w="6798" w:type="dxa"/>
          </w:tcPr>
          <w:p w14:paraId="03AFBB20" w14:textId="77777777" w:rsidR="008C0AC7" w:rsidRPr="000D0191" w:rsidRDefault="008C0AC7" w:rsidP="00F3276D">
            <w:pPr>
              <w:pStyle w:val="TableHeader2"/>
              <w:rPr>
                <w:rFonts w:ascii="Calibri Light" w:hAnsi="Calibri Light"/>
                <w:highlight w:val="yellow"/>
              </w:rPr>
            </w:pPr>
          </w:p>
        </w:tc>
      </w:tr>
      <w:tr w:rsidR="008C0AC7" w:rsidRPr="00430F8C" w14:paraId="6BC74F44" w14:textId="77777777" w:rsidTr="00F3276D">
        <w:tc>
          <w:tcPr>
            <w:tcW w:w="2754" w:type="dxa"/>
          </w:tcPr>
          <w:p w14:paraId="30266EEE" w14:textId="77777777" w:rsidR="008C0AC7" w:rsidRPr="000D0191" w:rsidRDefault="008C0AC7" w:rsidP="00E164DA">
            <w:pPr>
              <w:pStyle w:val="Instructions"/>
              <w:rPr>
                <w:highlight w:val="yellow"/>
              </w:rPr>
            </w:pPr>
            <w:r w:rsidRPr="000D0191">
              <w:rPr>
                <w:highlight w:val="yellow"/>
              </w:rPr>
              <w:t>Title</w:t>
            </w:r>
          </w:p>
        </w:tc>
        <w:tc>
          <w:tcPr>
            <w:tcW w:w="6798" w:type="dxa"/>
          </w:tcPr>
          <w:p w14:paraId="4D7A66D1" w14:textId="6E8FCC8C" w:rsidR="008C0AC7" w:rsidRPr="00E8635F" w:rsidRDefault="008C0AC7" w:rsidP="00E164DA">
            <w:pPr>
              <w:pStyle w:val="Instructions"/>
              <w:rPr>
                <w:highlight w:val="yellow"/>
              </w:rPr>
            </w:pPr>
            <w:r w:rsidRPr="00E8635F">
              <w:rPr>
                <w:highlight w:val="yellow"/>
              </w:rPr>
              <w:t>&lt;Commence Salary Sacrifice&gt;</w:t>
            </w:r>
          </w:p>
        </w:tc>
      </w:tr>
      <w:tr w:rsidR="008C0AC7" w:rsidRPr="00430F8C" w14:paraId="154F467F" w14:textId="77777777" w:rsidTr="00F3276D">
        <w:tc>
          <w:tcPr>
            <w:tcW w:w="2754" w:type="dxa"/>
          </w:tcPr>
          <w:p w14:paraId="5838E0C2" w14:textId="77777777" w:rsidR="008C0AC7" w:rsidRPr="000D0191" w:rsidRDefault="008C0AC7" w:rsidP="00E164DA">
            <w:pPr>
              <w:pStyle w:val="Instructions"/>
              <w:rPr>
                <w:highlight w:val="yellow"/>
              </w:rPr>
            </w:pPr>
            <w:r w:rsidRPr="000D0191">
              <w:rPr>
                <w:highlight w:val="yellow"/>
              </w:rPr>
              <w:t>Explanation</w:t>
            </w:r>
          </w:p>
        </w:tc>
        <w:tc>
          <w:tcPr>
            <w:tcW w:w="6798" w:type="dxa"/>
          </w:tcPr>
          <w:p w14:paraId="19135276" w14:textId="1DA71C62" w:rsidR="008C0AC7" w:rsidRPr="00E8635F" w:rsidRDefault="008C0AC7" w:rsidP="00E164DA">
            <w:pPr>
              <w:pStyle w:val="Instructions"/>
              <w:rPr>
                <w:highlight w:val="yellow"/>
              </w:rPr>
            </w:pPr>
            <w:r w:rsidRPr="00E8635F">
              <w:rPr>
                <w:highlight w:val="yellow"/>
              </w:rPr>
              <w:t>&lt;Increas</w:t>
            </w:r>
            <w:r w:rsidR="00127D96" w:rsidRPr="00E8635F">
              <w:rPr>
                <w:highlight w:val="yellow"/>
              </w:rPr>
              <w:t>e</w:t>
            </w:r>
            <w:r w:rsidRPr="00E8635F">
              <w:rPr>
                <w:highlight w:val="yellow"/>
              </w:rPr>
              <w:t xml:space="preserve"> your employer superannuation contributions from the current </w:t>
            </w:r>
            <w:r w:rsidRPr="00E8635F">
              <w:rPr>
                <w:color w:val="FF0000"/>
                <w:highlight w:val="yellow"/>
              </w:rPr>
              <w:t>&lt;$SG&gt;</w:t>
            </w:r>
            <w:r w:rsidRPr="00E8635F">
              <w:rPr>
                <w:highlight w:val="yellow"/>
              </w:rPr>
              <w:t xml:space="preserve"> to </w:t>
            </w:r>
            <w:r w:rsidRPr="00E8635F">
              <w:rPr>
                <w:color w:val="FF0000"/>
                <w:highlight w:val="yellow"/>
              </w:rPr>
              <w:t>&lt;$X per annum.&gt;</w:t>
            </w:r>
          </w:p>
        </w:tc>
      </w:tr>
      <w:tr w:rsidR="008C0AC7" w:rsidRPr="00430F8C" w14:paraId="46EF3016" w14:textId="77777777" w:rsidTr="00F3276D">
        <w:tc>
          <w:tcPr>
            <w:tcW w:w="2754" w:type="dxa"/>
          </w:tcPr>
          <w:p w14:paraId="1D503082" w14:textId="77777777" w:rsidR="008C0AC7" w:rsidRPr="000D0191" w:rsidRDefault="008C0AC7" w:rsidP="00E164DA">
            <w:pPr>
              <w:pStyle w:val="Instructions"/>
              <w:rPr>
                <w:highlight w:val="yellow"/>
              </w:rPr>
            </w:pPr>
            <w:r w:rsidRPr="000D0191">
              <w:rPr>
                <w:highlight w:val="yellow"/>
              </w:rPr>
              <w:t>In your Best Interest</w:t>
            </w:r>
          </w:p>
        </w:tc>
        <w:tc>
          <w:tcPr>
            <w:tcW w:w="6798" w:type="dxa"/>
          </w:tcPr>
          <w:p w14:paraId="2861B1D0" w14:textId="4463BD09" w:rsidR="008C0AC7" w:rsidRPr="00E8635F" w:rsidRDefault="008C0AC7" w:rsidP="00E164DA">
            <w:pPr>
              <w:pStyle w:val="Instructions"/>
              <w:rPr>
                <w:highlight w:val="yellow"/>
              </w:rPr>
            </w:pPr>
            <w:r w:rsidRPr="00E8635F">
              <w:rPr>
                <w:highlight w:val="yellow"/>
              </w:rPr>
              <w:t xml:space="preserve">&lt;In accordance with your stated </w:t>
            </w:r>
            <w:r w:rsidR="00320602">
              <w:rPr>
                <w:highlight w:val="yellow"/>
              </w:rPr>
              <w:t>objective</w:t>
            </w:r>
            <w:r w:rsidR="00320602" w:rsidRPr="00E8635F">
              <w:rPr>
                <w:highlight w:val="yellow"/>
              </w:rPr>
              <w:t xml:space="preserve"> </w:t>
            </w:r>
            <w:r w:rsidRPr="00E8635F">
              <w:rPr>
                <w:highlight w:val="yellow"/>
              </w:rPr>
              <w:t xml:space="preserve">to </w:t>
            </w:r>
            <w:r w:rsidR="00CF3D4A" w:rsidRPr="00E8635F">
              <w:rPr>
                <w:highlight w:val="yellow"/>
              </w:rPr>
              <w:t>“</w:t>
            </w:r>
            <w:r w:rsidRPr="00E8635F">
              <w:rPr>
                <w:highlight w:val="yellow"/>
              </w:rPr>
              <w:t xml:space="preserve">achieve </w:t>
            </w:r>
            <w:r w:rsidR="00122559" w:rsidRPr="00E8635F">
              <w:rPr>
                <w:highlight w:val="yellow"/>
              </w:rPr>
              <w:t>an</w:t>
            </w:r>
            <w:r w:rsidRPr="00E8635F">
              <w:rPr>
                <w:highlight w:val="yellow"/>
              </w:rPr>
              <w:t xml:space="preserve"> </w:t>
            </w:r>
            <w:r w:rsidR="00162988" w:rsidRPr="00E8635F">
              <w:rPr>
                <w:highlight w:val="yellow"/>
              </w:rPr>
              <w:t xml:space="preserve">increase </w:t>
            </w:r>
            <w:r w:rsidR="00122559">
              <w:rPr>
                <w:highlight w:val="yellow"/>
              </w:rPr>
              <w:t xml:space="preserve">in </w:t>
            </w:r>
            <w:r w:rsidR="00162988" w:rsidRPr="00E8635F">
              <w:rPr>
                <w:highlight w:val="yellow"/>
              </w:rPr>
              <w:t>tax effective contributions</w:t>
            </w:r>
            <w:r w:rsidR="00CF3D4A" w:rsidRPr="00E8635F">
              <w:rPr>
                <w:highlight w:val="yellow"/>
              </w:rPr>
              <w:t>”</w:t>
            </w:r>
            <w:r w:rsidRPr="00E8635F">
              <w:rPr>
                <w:highlight w:val="yellow"/>
              </w:rPr>
              <w:t xml:space="preserve">, </w:t>
            </w:r>
            <w:r w:rsidR="00162988" w:rsidRPr="00E8635F">
              <w:rPr>
                <w:highlight w:val="yellow"/>
              </w:rPr>
              <w:t xml:space="preserve">the </w:t>
            </w:r>
            <w:r w:rsidRPr="00E8635F">
              <w:rPr>
                <w:highlight w:val="yellow"/>
              </w:rPr>
              <w:t>increase</w:t>
            </w:r>
            <w:r w:rsidR="00162988" w:rsidRPr="00E8635F">
              <w:rPr>
                <w:highlight w:val="yellow"/>
              </w:rPr>
              <w:t xml:space="preserve"> in</w:t>
            </w:r>
            <w:r w:rsidRPr="00E8635F">
              <w:rPr>
                <w:highlight w:val="yellow"/>
              </w:rPr>
              <w:t xml:space="preserve"> pre-tax superannuation contributions </w:t>
            </w:r>
            <w:r w:rsidR="00162988" w:rsidRPr="00E8635F">
              <w:rPr>
                <w:highlight w:val="yellow"/>
              </w:rPr>
              <w:t>will achieve this</w:t>
            </w:r>
            <w:r w:rsidR="00CF3D4A" w:rsidRPr="00E8635F">
              <w:rPr>
                <w:highlight w:val="yellow"/>
              </w:rPr>
              <w:t>.</w:t>
            </w:r>
            <w:r w:rsidRPr="00E8635F">
              <w:rPr>
                <w:highlight w:val="yellow"/>
              </w:rPr>
              <w:t>&gt;</w:t>
            </w:r>
          </w:p>
        </w:tc>
      </w:tr>
      <w:tr w:rsidR="00127D96" w:rsidRPr="00097D52" w14:paraId="0997D2C0" w14:textId="77777777" w:rsidTr="00F3276D">
        <w:tc>
          <w:tcPr>
            <w:tcW w:w="2754" w:type="dxa"/>
          </w:tcPr>
          <w:p w14:paraId="61148652" w14:textId="77777777" w:rsidR="008C0AC7" w:rsidRPr="000D0191" w:rsidRDefault="008C0AC7" w:rsidP="00E164DA">
            <w:pPr>
              <w:pStyle w:val="Instructions"/>
              <w:rPr>
                <w:highlight w:val="yellow"/>
              </w:rPr>
            </w:pPr>
            <w:r w:rsidRPr="000D0191">
              <w:rPr>
                <w:highlight w:val="yellow"/>
              </w:rPr>
              <w:t>Further Detail</w:t>
            </w:r>
          </w:p>
        </w:tc>
        <w:tc>
          <w:tcPr>
            <w:tcW w:w="6798" w:type="dxa"/>
          </w:tcPr>
          <w:p w14:paraId="6B71D8D2" w14:textId="42BF1996" w:rsidR="008C0AC7" w:rsidRPr="00E8635F" w:rsidRDefault="008C0AC7" w:rsidP="00E164DA">
            <w:pPr>
              <w:pStyle w:val="Instructions"/>
              <w:rPr>
                <w:highlight w:val="yellow"/>
              </w:rPr>
            </w:pPr>
            <w:r w:rsidRPr="00E8635F">
              <w:rPr>
                <w:highlight w:val="yellow"/>
              </w:rPr>
              <w:t>&lt;Include Library ‘strategy text’ (below)</w:t>
            </w:r>
            <w:r w:rsidR="00CF3D4A" w:rsidRPr="00E8635F">
              <w:rPr>
                <w:highlight w:val="yellow"/>
              </w:rPr>
              <w:t>; include</w:t>
            </w:r>
            <w:r w:rsidRPr="00E8635F">
              <w:rPr>
                <w:highlight w:val="yellow"/>
              </w:rPr>
              <w:t xml:space="preserve"> other relevant </w:t>
            </w:r>
            <w:r w:rsidR="00CF3D4A" w:rsidRPr="00E8635F">
              <w:rPr>
                <w:highlight w:val="yellow"/>
              </w:rPr>
              <w:t>matters that flow from the potential implementation of your advice</w:t>
            </w:r>
            <w:r w:rsidRPr="00E8635F">
              <w:rPr>
                <w:highlight w:val="yellow"/>
              </w:rPr>
              <w:t>&gt;</w:t>
            </w:r>
          </w:p>
        </w:tc>
      </w:tr>
    </w:tbl>
    <w:p w14:paraId="61648A64" w14:textId="77777777" w:rsidR="008C0AC7" w:rsidRDefault="008C0AC7" w:rsidP="008C7CE9">
      <w:pPr>
        <w:jc w:val="left"/>
        <w:sectPr w:rsidR="008C0AC7" w:rsidSect="005F763D">
          <w:footerReference w:type="default" r:id="rId8"/>
          <w:pgSz w:w="11906" w:h="16838" w:code="9"/>
          <w:pgMar w:top="1134" w:right="566" w:bottom="426" w:left="709" w:header="567" w:footer="95" w:gutter="0"/>
          <w:cols w:space="708"/>
          <w:docGrid w:linePitch="360"/>
        </w:sectPr>
      </w:pPr>
    </w:p>
    <w:p w14:paraId="58193E14" w14:textId="5574155E" w:rsidR="008C0AC7" w:rsidRDefault="008C0AC7" w:rsidP="008C7CE9">
      <w:pPr>
        <w:jc w:val="left"/>
      </w:pPr>
    </w:p>
    <w:p w14:paraId="2D203219" w14:textId="77777777" w:rsidR="00162988" w:rsidRPr="00097D52" w:rsidRDefault="008C0AC7" w:rsidP="00E164DA">
      <w:pPr>
        <w:pStyle w:val="Instructions"/>
        <w:rPr>
          <w:highlight w:val="yellow"/>
        </w:rPr>
      </w:pPr>
      <w:r w:rsidRPr="00097D52">
        <w:rPr>
          <w:highlight w:val="yellow"/>
        </w:rPr>
        <w:t>“Explanation”</w:t>
      </w:r>
      <w:r w:rsidR="00162988" w:rsidRPr="00097D52">
        <w:rPr>
          <w:highlight w:val="yellow"/>
        </w:rPr>
        <w:t xml:space="preserve"> row: </w:t>
      </w:r>
    </w:p>
    <w:p w14:paraId="7C9E5305" w14:textId="36E05834" w:rsidR="00162988" w:rsidRDefault="008C0AC7" w:rsidP="00E164DA">
      <w:pPr>
        <w:pStyle w:val="Instructions"/>
        <w:rPr>
          <w:highlight w:val="yellow"/>
        </w:rPr>
      </w:pPr>
      <w:r w:rsidRPr="00E8635F">
        <w:rPr>
          <w:highlight w:val="yellow"/>
        </w:rPr>
        <w:t>Ideally, we recommend providing a</w:t>
      </w:r>
      <w:r w:rsidR="00162988">
        <w:rPr>
          <w:highlight w:val="yellow"/>
        </w:rPr>
        <w:t>n extremely clear and concise ‘do this’ direction</w:t>
      </w:r>
      <w:r w:rsidRPr="00E8635F">
        <w:rPr>
          <w:highlight w:val="yellow"/>
        </w:rPr>
        <w:t xml:space="preserve"> in your own words, written in plain English and easy to understand for the client.  </w:t>
      </w:r>
    </w:p>
    <w:p w14:paraId="18AC3AE1" w14:textId="39AB3CDE" w:rsidR="008C0AC7" w:rsidRPr="00E8635F" w:rsidRDefault="00162988" w:rsidP="00F265DA">
      <w:pPr>
        <w:pStyle w:val="Instructions"/>
        <w:rPr>
          <w:highlight w:val="yellow"/>
        </w:rPr>
      </w:pPr>
      <w:r>
        <w:rPr>
          <w:highlight w:val="yellow"/>
        </w:rPr>
        <w:t xml:space="preserve">You are not bound to use the wording we may </w:t>
      </w:r>
      <w:r w:rsidR="008C0AC7" w:rsidRPr="0008751D">
        <w:rPr>
          <w:highlight w:val="yellow"/>
        </w:rPr>
        <w:t>provide</w:t>
      </w:r>
      <w:r w:rsidR="001059D7">
        <w:rPr>
          <w:highlight w:val="yellow"/>
        </w:rPr>
        <w:t xml:space="preserve"> below</w:t>
      </w:r>
      <w:r w:rsidR="008C0AC7" w:rsidRPr="00E8635F">
        <w:rPr>
          <w:highlight w:val="yellow"/>
        </w:rPr>
        <w:t>.</w:t>
      </w:r>
    </w:p>
    <w:p w14:paraId="66E1D5F3" w14:textId="794AE5FD" w:rsidR="00162988" w:rsidRDefault="008C0AC7" w:rsidP="00F265DA">
      <w:pPr>
        <w:pStyle w:val="Instructions"/>
        <w:rPr>
          <w:highlight w:val="yellow"/>
        </w:rPr>
      </w:pPr>
      <w:r w:rsidRPr="0094412C">
        <w:rPr>
          <w:highlight w:val="yellow"/>
        </w:rPr>
        <w:t>“In your Best Interest</w:t>
      </w:r>
      <w:r w:rsidRPr="0030411A">
        <w:rPr>
          <w:highlight w:val="yellow"/>
        </w:rPr>
        <w:t>”</w:t>
      </w:r>
      <w:r w:rsidR="00162988">
        <w:rPr>
          <w:highlight w:val="yellow"/>
        </w:rPr>
        <w:t xml:space="preserve"> row:</w:t>
      </w:r>
    </w:p>
    <w:p w14:paraId="4DA4CCBD" w14:textId="45048EA4" w:rsidR="00212793" w:rsidRDefault="008C0AC7" w:rsidP="00FD05E3">
      <w:pPr>
        <w:pStyle w:val="Instructions"/>
        <w:rPr>
          <w:highlight w:val="yellow"/>
        </w:rPr>
      </w:pPr>
      <w:r w:rsidRPr="0008751D">
        <w:rPr>
          <w:highlight w:val="yellow"/>
        </w:rPr>
        <w:t xml:space="preserve">Recommendations need to </w:t>
      </w:r>
      <w:r w:rsidR="001059D7">
        <w:rPr>
          <w:highlight w:val="yellow"/>
        </w:rPr>
        <w:t xml:space="preserve">be justified. This means that </w:t>
      </w:r>
      <w:r w:rsidRPr="0008751D">
        <w:rPr>
          <w:highlight w:val="yellow"/>
        </w:rPr>
        <w:t>the</w:t>
      </w:r>
      <w:r w:rsidR="00CF3D4A">
        <w:rPr>
          <w:highlight w:val="yellow"/>
        </w:rPr>
        <w:t>re is a requirement to evidence</w:t>
      </w:r>
      <w:r w:rsidRPr="0008751D">
        <w:rPr>
          <w:highlight w:val="yellow"/>
        </w:rPr>
        <w:t xml:space="preserve"> </w:t>
      </w:r>
      <w:r w:rsidR="001059D7">
        <w:rPr>
          <w:highlight w:val="yellow"/>
        </w:rPr>
        <w:t>‘</w:t>
      </w:r>
      <w:r w:rsidRPr="0008751D">
        <w:rPr>
          <w:highlight w:val="yellow"/>
        </w:rPr>
        <w:t>WHY</w:t>
      </w:r>
      <w:r w:rsidR="001059D7">
        <w:rPr>
          <w:highlight w:val="yellow"/>
        </w:rPr>
        <w:t>’</w:t>
      </w:r>
      <w:r w:rsidRPr="0008751D">
        <w:rPr>
          <w:highlight w:val="yellow"/>
        </w:rPr>
        <w:t xml:space="preserve"> </w:t>
      </w:r>
      <w:r w:rsidR="001059D7">
        <w:rPr>
          <w:highlight w:val="yellow"/>
        </w:rPr>
        <w:t>your recommendation is appropriate</w:t>
      </w:r>
      <w:r w:rsidR="00CF3D4A">
        <w:rPr>
          <w:highlight w:val="yellow"/>
        </w:rPr>
        <w:t xml:space="preserve">. </w:t>
      </w:r>
      <w:r w:rsidR="001059D7">
        <w:rPr>
          <w:highlight w:val="yellow"/>
        </w:rPr>
        <w:t xml:space="preserve"> </w:t>
      </w:r>
      <w:r w:rsidR="00CF3D4A">
        <w:rPr>
          <w:highlight w:val="yellow"/>
        </w:rPr>
        <w:t xml:space="preserve">This is achieved by showing how the recommendation </w:t>
      </w:r>
      <w:r w:rsidRPr="0008751D">
        <w:rPr>
          <w:highlight w:val="yellow"/>
        </w:rPr>
        <w:t>address</w:t>
      </w:r>
      <w:r w:rsidR="00CF3D4A">
        <w:rPr>
          <w:highlight w:val="yellow"/>
        </w:rPr>
        <w:t>es</w:t>
      </w:r>
      <w:r w:rsidRPr="00E8635F">
        <w:rPr>
          <w:highlight w:val="yellow"/>
        </w:rPr>
        <w:t xml:space="preserve"> the goals</w:t>
      </w:r>
      <w:r w:rsidR="00CF3D4A">
        <w:rPr>
          <w:highlight w:val="yellow"/>
        </w:rPr>
        <w:t xml:space="preserve"> / </w:t>
      </w:r>
      <w:r w:rsidRPr="0008751D">
        <w:rPr>
          <w:highlight w:val="yellow"/>
        </w:rPr>
        <w:t xml:space="preserve">objectives </w:t>
      </w:r>
      <w:r w:rsidR="00CF3D4A">
        <w:rPr>
          <w:highlight w:val="yellow"/>
        </w:rPr>
        <w:t>of</w:t>
      </w:r>
      <w:r w:rsidRPr="0008751D">
        <w:rPr>
          <w:highlight w:val="yellow"/>
        </w:rPr>
        <w:t xml:space="preserve"> your client</w:t>
      </w:r>
      <w:r w:rsidR="00CF3D4A">
        <w:rPr>
          <w:highlight w:val="yellow"/>
        </w:rPr>
        <w:t xml:space="preserve">. </w:t>
      </w:r>
    </w:p>
    <w:p w14:paraId="225B9977" w14:textId="20613E6E" w:rsidR="008C0AC7" w:rsidRPr="0008751D" w:rsidRDefault="00CF3D4A" w:rsidP="008D692B">
      <w:pPr>
        <w:pStyle w:val="Instructions"/>
        <w:rPr>
          <w:highlight w:val="yellow"/>
        </w:rPr>
      </w:pPr>
      <w:r>
        <w:rPr>
          <w:highlight w:val="yellow"/>
        </w:rPr>
        <w:t xml:space="preserve">These goals and objectives flow from the preceding ‘Scope’ and ‘Objectives’ section of the </w:t>
      </w:r>
      <w:proofErr w:type="spellStart"/>
      <w:r>
        <w:rPr>
          <w:highlight w:val="yellow"/>
        </w:rPr>
        <w:t>SoA</w:t>
      </w:r>
      <w:proofErr w:type="spellEnd"/>
      <w:r>
        <w:rPr>
          <w:highlight w:val="yellow"/>
        </w:rPr>
        <w:t xml:space="preserve"> template. </w:t>
      </w:r>
      <w:r w:rsidR="008C0AC7" w:rsidRPr="0008751D">
        <w:rPr>
          <w:highlight w:val="yellow"/>
        </w:rPr>
        <w:t xml:space="preserve"> </w:t>
      </w:r>
    </w:p>
    <w:p w14:paraId="4D9A20A1" w14:textId="5AE1122D" w:rsidR="00162988" w:rsidRDefault="008C0AC7" w:rsidP="00472744">
      <w:pPr>
        <w:pStyle w:val="Instructions"/>
        <w:rPr>
          <w:highlight w:val="yellow"/>
        </w:rPr>
      </w:pPr>
      <w:r w:rsidRPr="0094412C">
        <w:rPr>
          <w:highlight w:val="yellow"/>
        </w:rPr>
        <w:t>“Further Detail”</w:t>
      </w:r>
      <w:r>
        <w:rPr>
          <w:highlight w:val="yellow"/>
        </w:rPr>
        <w:t xml:space="preserve"> </w:t>
      </w:r>
      <w:r w:rsidR="00162988">
        <w:rPr>
          <w:highlight w:val="yellow"/>
        </w:rPr>
        <w:t>row:</w:t>
      </w:r>
    </w:p>
    <w:p w14:paraId="5CE2611F" w14:textId="35404A02" w:rsidR="00CF3D4A" w:rsidRDefault="00CF3D4A" w:rsidP="00472744">
      <w:pPr>
        <w:pStyle w:val="Instructions"/>
        <w:rPr>
          <w:highlight w:val="yellow"/>
        </w:rPr>
      </w:pPr>
      <w:r>
        <w:rPr>
          <w:highlight w:val="yellow"/>
        </w:rPr>
        <w:t xml:space="preserve">This section of the table is meant to include (as relevant): technical explanations, consequences flowing from implementation, caveats, risks, marketing considerations … whatever else fills out the extremely concise ‘Explanation’ &amp; ‘In Your best </w:t>
      </w:r>
      <w:r w:rsidR="00E60927">
        <w:rPr>
          <w:highlight w:val="yellow"/>
        </w:rPr>
        <w:t>Interest’ rows</w:t>
      </w:r>
      <w:r>
        <w:rPr>
          <w:highlight w:val="yellow"/>
        </w:rPr>
        <w:t>.</w:t>
      </w:r>
    </w:p>
    <w:p w14:paraId="2F1B27E6" w14:textId="4AA95302" w:rsidR="008C0AC7" w:rsidRPr="00E8635F" w:rsidRDefault="008C0AC7" w:rsidP="00CD4CD5">
      <w:pPr>
        <w:pStyle w:val="Instructions"/>
        <w:rPr>
          <w:highlight w:val="yellow"/>
        </w:rPr>
      </w:pPr>
      <w:r w:rsidRPr="00E8635F">
        <w:rPr>
          <w:highlight w:val="yellow"/>
        </w:rPr>
        <w:t xml:space="preserve">Use the strategy text library (below) </w:t>
      </w:r>
      <w:r w:rsidR="00CF3D4A">
        <w:rPr>
          <w:highlight w:val="yellow"/>
        </w:rPr>
        <w:t>as a guide or starting point for tailoring.</w:t>
      </w:r>
    </w:p>
    <w:p w14:paraId="3FD668D6" w14:textId="07833812" w:rsidR="008C0AC7" w:rsidRPr="00E8635F" w:rsidRDefault="008C0AC7">
      <w:pPr>
        <w:pStyle w:val="Instructions"/>
        <w:numPr>
          <w:ilvl w:val="0"/>
          <w:numId w:val="128"/>
        </w:numPr>
        <w:rPr>
          <w:highlight w:val="yellow"/>
        </w:rPr>
      </w:pPr>
      <w:r w:rsidRPr="00E8635F">
        <w:rPr>
          <w:highlight w:val="yellow"/>
        </w:rPr>
        <w:t xml:space="preserve">Also touch </w:t>
      </w:r>
      <w:r w:rsidR="00B157EC">
        <w:rPr>
          <w:highlight w:val="yellow"/>
        </w:rPr>
        <w:t>up</w:t>
      </w:r>
      <w:r w:rsidRPr="00E8635F">
        <w:rPr>
          <w:highlight w:val="yellow"/>
        </w:rPr>
        <w:t>on relevant supporting facts like ownership, structures, dates – if relevant.</w:t>
      </w:r>
    </w:p>
    <w:p w14:paraId="1F80C21F" w14:textId="65A9EB03" w:rsidR="008C0AC7" w:rsidRPr="00E8635F" w:rsidRDefault="008C0AC7">
      <w:pPr>
        <w:pStyle w:val="Instructions"/>
        <w:numPr>
          <w:ilvl w:val="0"/>
          <w:numId w:val="128"/>
        </w:numPr>
        <w:rPr>
          <w:highlight w:val="yellow"/>
        </w:rPr>
      </w:pPr>
      <w:r w:rsidRPr="00E8635F">
        <w:rPr>
          <w:highlight w:val="yellow"/>
        </w:rPr>
        <w:t>Also Include any specific risks associated with the advice – for example:</w:t>
      </w:r>
    </w:p>
    <w:p w14:paraId="364571CD" w14:textId="1F0DE1BF" w:rsidR="00B157EC" w:rsidRDefault="008C0AC7" w:rsidP="00E8635F">
      <w:pPr>
        <w:spacing w:line="276" w:lineRule="auto"/>
        <w:ind w:left="1440"/>
        <w:jc w:val="left"/>
        <w:rPr>
          <w:color w:val="auto"/>
          <w:sz w:val="16"/>
          <w:szCs w:val="16"/>
          <w:highlight w:val="yellow"/>
        </w:rPr>
      </w:pPr>
      <w:r>
        <w:rPr>
          <w:color w:val="auto"/>
          <w:sz w:val="16"/>
          <w:szCs w:val="16"/>
          <w:highlight w:val="yellow"/>
        </w:rPr>
        <w:t>&lt;</w:t>
      </w:r>
      <w:r w:rsidRPr="00430F8C">
        <w:rPr>
          <w:color w:val="auto"/>
          <w:sz w:val="16"/>
          <w:szCs w:val="16"/>
          <w:highlight w:val="yellow"/>
        </w:rPr>
        <w:t xml:space="preserve">It is important that before a valid salary sacrifice can </w:t>
      </w:r>
      <w:r w:rsidR="00C0762E">
        <w:rPr>
          <w:color w:val="auto"/>
          <w:sz w:val="16"/>
          <w:szCs w:val="16"/>
          <w:highlight w:val="yellow"/>
        </w:rPr>
        <w:t>be implemented</w:t>
      </w:r>
      <w:r w:rsidRPr="00430F8C">
        <w:rPr>
          <w:color w:val="auto"/>
          <w:sz w:val="16"/>
          <w:szCs w:val="16"/>
          <w:highlight w:val="yellow"/>
        </w:rPr>
        <w:t xml:space="preserve">, there is </w:t>
      </w:r>
      <w:r w:rsidR="00C0762E">
        <w:rPr>
          <w:color w:val="auto"/>
          <w:sz w:val="16"/>
          <w:szCs w:val="16"/>
          <w:highlight w:val="yellow"/>
        </w:rPr>
        <w:t>evidence</w:t>
      </w:r>
      <w:r w:rsidRPr="00430F8C">
        <w:rPr>
          <w:color w:val="auto"/>
          <w:sz w:val="16"/>
          <w:szCs w:val="16"/>
          <w:highlight w:val="yellow"/>
        </w:rPr>
        <w:t xml:space="preserve"> of a previous </w:t>
      </w:r>
      <w:r w:rsidRPr="00E8635F">
        <w:rPr>
          <w:color w:val="auto"/>
          <w:sz w:val="16"/>
          <w:szCs w:val="16"/>
          <w:highlight w:val="yellow"/>
          <w:u w:val="single"/>
        </w:rPr>
        <w:t>request</w:t>
      </w:r>
      <w:r w:rsidRPr="00430F8C">
        <w:rPr>
          <w:color w:val="auto"/>
          <w:sz w:val="16"/>
          <w:szCs w:val="16"/>
          <w:highlight w:val="yellow"/>
        </w:rPr>
        <w:t xml:space="preserve"> </w:t>
      </w:r>
      <w:r w:rsidR="00C0762E">
        <w:rPr>
          <w:color w:val="auto"/>
          <w:sz w:val="16"/>
          <w:szCs w:val="16"/>
          <w:highlight w:val="yellow"/>
        </w:rPr>
        <w:t>from</w:t>
      </w:r>
      <w:r w:rsidRPr="00430F8C">
        <w:rPr>
          <w:color w:val="auto"/>
          <w:sz w:val="16"/>
          <w:szCs w:val="16"/>
          <w:highlight w:val="yellow"/>
        </w:rPr>
        <w:t xml:space="preserve"> the employee </w:t>
      </w:r>
    </w:p>
    <w:p w14:paraId="29A3D3B7" w14:textId="2F9D07EA" w:rsidR="008C0AC7" w:rsidRPr="00430F8C" w:rsidRDefault="008C0AC7" w:rsidP="00E8635F">
      <w:pPr>
        <w:spacing w:line="276" w:lineRule="auto"/>
        <w:ind w:left="1440"/>
        <w:jc w:val="left"/>
        <w:rPr>
          <w:color w:val="auto"/>
          <w:sz w:val="16"/>
          <w:szCs w:val="16"/>
        </w:rPr>
      </w:pPr>
      <w:r w:rsidRPr="00430F8C">
        <w:rPr>
          <w:color w:val="auto"/>
          <w:sz w:val="16"/>
          <w:szCs w:val="16"/>
          <w:highlight w:val="yellow"/>
        </w:rPr>
        <w:t xml:space="preserve">and the </w:t>
      </w:r>
      <w:r w:rsidR="00C0762E">
        <w:rPr>
          <w:color w:val="auto"/>
          <w:sz w:val="16"/>
          <w:szCs w:val="16"/>
          <w:highlight w:val="yellow"/>
        </w:rPr>
        <w:t xml:space="preserve">subsequent </w:t>
      </w:r>
      <w:r w:rsidRPr="00E8635F">
        <w:rPr>
          <w:color w:val="auto"/>
          <w:sz w:val="16"/>
          <w:szCs w:val="16"/>
          <w:highlight w:val="yellow"/>
          <w:u w:val="single"/>
        </w:rPr>
        <w:t>agreement</w:t>
      </w:r>
      <w:r w:rsidRPr="00430F8C">
        <w:rPr>
          <w:color w:val="auto"/>
          <w:sz w:val="16"/>
          <w:szCs w:val="16"/>
          <w:highlight w:val="yellow"/>
        </w:rPr>
        <w:t xml:space="preserve"> of the employer. Otherwise, the tax effectiveness of the strategy may be lost.</w:t>
      </w:r>
      <w:r>
        <w:rPr>
          <w:color w:val="auto"/>
          <w:sz w:val="16"/>
          <w:szCs w:val="16"/>
        </w:rPr>
        <w:t>&gt;</w:t>
      </w:r>
      <w:r w:rsidRPr="00430F8C">
        <w:rPr>
          <w:color w:val="auto"/>
          <w:sz w:val="16"/>
          <w:szCs w:val="16"/>
        </w:rPr>
        <w:t xml:space="preserve"> </w:t>
      </w:r>
    </w:p>
    <w:p w14:paraId="717B02D1" w14:textId="77777777" w:rsidR="00CF24FF" w:rsidRDefault="00CF24FF" w:rsidP="00E164DA">
      <w:pPr>
        <w:pStyle w:val="Instructions"/>
        <w:rPr>
          <w:highlight w:val="yellow"/>
        </w:rPr>
      </w:pPr>
    </w:p>
    <w:p w14:paraId="2BEFC1D9" w14:textId="5E3F1922" w:rsidR="00CF24FF" w:rsidRDefault="00CF24FF" w:rsidP="00E164DA">
      <w:pPr>
        <w:pStyle w:val="Instructions"/>
        <w:rPr>
          <w:highlight w:val="yellow"/>
        </w:rPr>
      </w:pPr>
      <w:r>
        <w:rPr>
          <w:highlight w:val="yellow"/>
        </w:rPr>
        <w:t xml:space="preserve">As convenient, the Further </w:t>
      </w:r>
      <w:r w:rsidR="00E60927">
        <w:rPr>
          <w:highlight w:val="yellow"/>
        </w:rPr>
        <w:t>Detail</w:t>
      </w:r>
      <w:r>
        <w:rPr>
          <w:highlight w:val="yellow"/>
        </w:rPr>
        <w:t xml:space="preserve"> section may be deleted and the same</w:t>
      </w:r>
    </w:p>
    <w:p w14:paraId="13C1F86E" w14:textId="21896F4C" w:rsidR="00C0762E" w:rsidRDefault="00CF24FF" w:rsidP="00F265DA">
      <w:pPr>
        <w:pStyle w:val="Instructions"/>
        <w:rPr>
          <w:highlight w:val="yellow"/>
        </w:rPr>
      </w:pPr>
      <w:r>
        <w:rPr>
          <w:highlight w:val="yellow"/>
        </w:rPr>
        <w:t>information presented in a freeform text format that immediately follows the Table.</w:t>
      </w:r>
    </w:p>
    <w:p w14:paraId="307F7F71" w14:textId="77A2C7D1" w:rsidR="00151544" w:rsidRDefault="00151544" w:rsidP="00F265DA">
      <w:pPr>
        <w:pStyle w:val="Instructions"/>
        <w:rPr>
          <w:highlight w:val="yellow"/>
        </w:rPr>
      </w:pPr>
    </w:p>
    <w:tbl>
      <w:tblPr>
        <w:tblW w:w="0" w:type="auto"/>
        <w:tblInd w:w="76" w:type="dxa"/>
        <w:tblLook w:val="04A0" w:firstRow="1" w:lastRow="0" w:firstColumn="1" w:lastColumn="0" w:noHBand="0" w:noVBand="1"/>
      </w:tblPr>
      <w:tblGrid>
        <w:gridCol w:w="2754"/>
        <w:gridCol w:w="6798"/>
      </w:tblGrid>
      <w:tr w:rsidR="00151544" w:rsidRPr="00E51BEA" w14:paraId="47942E4B" w14:textId="77777777" w:rsidTr="006003A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005CFB6" w14:textId="77777777" w:rsidR="00151544" w:rsidRPr="00AA2CC6" w:rsidRDefault="00151544" w:rsidP="006003A4">
            <w:pPr>
              <w:pStyle w:val="TableHeader2"/>
              <w:rPr>
                <w:szCs w:val="20"/>
              </w:rPr>
            </w:pPr>
            <w:r w:rsidRPr="00AA2CC6">
              <w:rPr>
                <w:rFonts w:ascii="Calibri Light" w:hAnsi="Calibri Light"/>
                <w:color w:val="000000" w:themeColor="text1"/>
              </w:rPr>
              <w:t>Recommendation #&lt;</w:t>
            </w:r>
            <w:commentRangeStart w:id="7"/>
            <w:r w:rsidRPr="00AA2CC6">
              <w:rPr>
                <w:rFonts w:ascii="Calibri Light" w:hAnsi="Calibri Light"/>
                <w:color w:val="000000" w:themeColor="text1"/>
              </w:rPr>
              <w:t>Number</w:t>
            </w:r>
            <w:commentRangeEnd w:id="7"/>
            <w:r>
              <w:rPr>
                <w:rStyle w:val="CommentReference"/>
                <w:rFonts w:eastAsia="MS Mincho"/>
                <w:b w:val="0"/>
                <w:lang w:eastAsia="ja-JP"/>
              </w:rPr>
              <w:commentReference w:id="7"/>
            </w:r>
            <w:r w:rsidRPr="00AA2CC6">
              <w:rPr>
                <w:rFonts w:ascii="Calibri Light" w:hAnsi="Calibri Light"/>
                <w:color w:val="000000" w:themeColor="text1"/>
              </w:rPr>
              <w:t>&gt;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9FE306B" w14:textId="77777777" w:rsidR="00151544" w:rsidRPr="00E51BEA" w:rsidRDefault="00151544" w:rsidP="006003A4">
            <w:pPr>
              <w:pStyle w:val="TableHeader2"/>
              <w:rPr>
                <w:rFonts w:ascii="Calibri Light" w:hAnsi="Calibri Light"/>
              </w:rPr>
            </w:pPr>
          </w:p>
        </w:tc>
      </w:tr>
      <w:tr w:rsidR="00151544" w:rsidRPr="0088114A" w14:paraId="0DD2C69D"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AC0E0A5" w14:textId="77777777" w:rsidR="00151544" w:rsidRPr="00E87AAA" w:rsidRDefault="00151544" w:rsidP="006003A4">
            <w:pPr>
              <w:pStyle w:val="Instructions"/>
            </w:pPr>
            <w:r w:rsidRPr="00E87AAA">
              <w:t>Title</w:t>
            </w:r>
          </w:p>
        </w:tc>
        <w:tc>
          <w:tcPr>
            <w:tcW w:w="6798" w:type="dxa"/>
            <w:shd w:val="clear" w:color="auto" w:fill="auto"/>
          </w:tcPr>
          <w:p w14:paraId="7476D4E8" w14:textId="77777777" w:rsidR="00151544" w:rsidRPr="0088114A" w:rsidRDefault="00151544" w:rsidP="006003A4">
            <w:pPr>
              <w:spacing w:before="120"/>
            </w:pPr>
          </w:p>
        </w:tc>
      </w:tr>
      <w:tr w:rsidR="00151544" w:rsidRPr="0088114A" w14:paraId="603904BC"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A1A3219" w14:textId="77777777" w:rsidR="00151544" w:rsidRPr="00E87AAA" w:rsidRDefault="00151544" w:rsidP="006003A4">
            <w:pPr>
              <w:pStyle w:val="Instructions"/>
            </w:pPr>
            <w:r w:rsidRPr="00E87AAA">
              <w:t>Explanation</w:t>
            </w:r>
          </w:p>
        </w:tc>
        <w:tc>
          <w:tcPr>
            <w:tcW w:w="6798" w:type="dxa"/>
            <w:shd w:val="clear" w:color="auto" w:fill="auto"/>
          </w:tcPr>
          <w:p w14:paraId="0A00EAB6" w14:textId="77777777" w:rsidR="00151544" w:rsidRPr="0088114A" w:rsidRDefault="00151544" w:rsidP="006003A4">
            <w:pPr>
              <w:spacing w:before="120"/>
              <w:rPr>
                <w:sz w:val="18"/>
                <w:szCs w:val="18"/>
                <w:highlight w:val="yellow"/>
              </w:rPr>
            </w:pPr>
          </w:p>
        </w:tc>
      </w:tr>
      <w:tr w:rsidR="00151544" w:rsidRPr="00E87AAA" w14:paraId="4C7F1E4E"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677781E" w14:textId="77777777" w:rsidR="00151544" w:rsidRPr="00E87AAA" w:rsidRDefault="00151544" w:rsidP="006003A4">
            <w:pPr>
              <w:pStyle w:val="Instructions"/>
            </w:pPr>
            <w:r w:rsidRPr="00E87AAA">
              <w:t>In your Best Interest</w:t>
            </w:r>
          </w:p>
        </w:tc>
        <w:tc>
          <w:tcPr>
            <w:tcW w:w="6798" w:type="dxa"/>
            <w:shd w:val="clear" w:color="auto" w:fill="auto"/>
          </w:tcPr>
          <w:p w14:paraId="3047C5E1" w14:textId="77777777" w:rsidR="00151544" w:rsidRPr="00E87AAA" w:rsidRDefault="00151544" w:rsidP="006003A4">
            <w:pPr>
              <w:spacing w:before="120"/>
              <w:jc w:val="left"/>
              <w:rPr>
                <w:sz w:val="18"/>
                <w:szCs w:val="18"/>
                <w:highlight w:val="yellow"/>
              </w:rPr>
            </w:pPr>
          </w:p>
        </w:tc>
      </w:tr>
      <w:tr w:rsidR="00151544" w:rsidRPr="00E87AAA" w14:paraId="5BAAACEF"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3BA80CF" w14:textId="77777777" w:rsidR="00151544" w:rsidRPr="00E87AAA" w:rsidRDefault="00151544" w:rsidP="006003A4">
            <w:pPr>
              <w:pStyle w:val="Instructions"/>
            </w:pPr>
            <w:r>
              <w:t>Further Detail</w:t>
            </w:r>
          </w:p>
        </w:tc>
        <w:tc>
          <w:tcPr>
            <w:tcW w:w="6798" w:type="dxa"/>
            <w:shd w:val="clear" w:color="auto" w:fill="auto"/>
          </w:tcPr>
          <w:p w14:paraId="64EC634F" w14:textId="77777777" w:rsidR="00151544" w:rsidRPr="00E87AAA" w:rsidRDefault="00151544" w:rsidP="006003A4">
            <w:pPr>
              <w:spacing w:before="120"/>
              <w:jc w:val="left"/>
              <w:rPr>
                <w:sz w:val="18"/>
                <w:szCs w:val="18"/>
                <w:highlight w:val="yellow"/>
              </w:rPr>
            </w:pPr>
          </w:p>
        </w:tc>
      </w:tr>
    </w:tbl>
    <w:p w14:paraId="3AD888D3" w14:textId="77777777" w:rsidR="00151544" w:rsidRDefault="00151544" w:rsidP="00F265DA">
      <w:pPr>
        <w:pStyle w:val="Instructions"/>
        <w:rPr>
          <w:highlight w:val="yellow"/>
        </w:rPr>
      </w:pPr>
    </w:p>
    <w:p w14:paraId="0A66A459" w14:textId="77777777" w:rsidR="00223AC7" w:rsidRDefault="00223AC7" w:rsidP="00F265DA">
      <w:pPr>
        <w:pStyle w:val="Instructions"/>
        <w:rPr>
          <w:highlight w:val="yellow"/>
        </w:rPr>
      </w:pPr>
    </w:p>
    <w:p w14:paraId="103AA0B0" w14:textId="77777777" w:rsidR="00212793" w:rsidRDefault="00212793" w:rsidP="00F348D9">
      <w:pPr>
        <w:pStyle w:val="Heading1"/>
      </w:pPr>
      <w:r>
        <w:br w:type="page"/>
      </w:r>
    </w:p>
    <w:p w14:paraId="39256AD6" w14:textId="2EB5D1B4" w:rsidR="00417CBD" w:rsidRPr="00BB0D88" w:rsidRDefault="001A66FE" w:rsidP="00F348D9">
      <w:pPr>
        <w:pStyle w:val="Heading1"/>
      </w:pPr>
      <w:bookmarkStart w:id="8" w:name="_Toc46236019"/>
      <w:r w:rsidRPr="00BB0D88">
        <w:lastRenderedPageBreak/>
        <w:t>Strategy Recommendations</w:t>
      </w:r>
      <w:bookmarkEnd w:id="8"/>
    </w:p>
    <w:p w14:paraId="5D2F9866" w14:textId="1703415E" w:rsidR="002F74F5" w:rsidRPr="0080019B" w:rsidRDefault="002F74F5" w:rsidP="0008751D">
      <w:pPr>
        <w:pStyle w:val="Heading2"/>
      </w:pPr>
      <w:bookmarkStart w:id="9" w:name="_Toc465256275"/>
      <w:bookmarkStart w:id="10" w:name="_Toc46236020"/>
      <w:bookmarkEnd w:id="6"/>
      <w:r w:rsidRPr="0080019B">
        <w:t xml:space="preserve">Debt </w:t>
      </w:r>
      <w:bookmarkEnd w:id="9"/>
      <w:r w:rsidRPr="0080019B">
        <w:t>Management Strategies</w:t>
      </w:r>
      <w:bookmarkEnd w:id="10"/>
    </w:p>
    <w:p w14:paraId="11BF318B" w14:textId="77777777" w:rsidR="004E577F" w:rsidRDefault="004E577F" w:rsidP="002F74F5">
      <w:pPr>
        <w:jc w:val="left"/>
        <w:rPr>
          <w:color w:val="002060"/>
          <w:sz w:val="24"/>
        </w:rPr>
      </w:pPr>
    </w:p>
    <w:p w14:paraId="418A6B07" w14:textId="4A5AA029" w:rsidR="002F74F5" w:rsidRPr="002F74F5" w:rsidRDefault="002F74F5" w:rsidP="002F74F5">
      <w:pPr>
        <w:jc w:val="left"/>
        <w:rPr>
          <w:color w:val="002060"/>
          <w:sz w:val="24"/>
        </w:rPr>
      </w:pPr>
      <w:r w:rsidRPr="00A14911">
        <w:rPr>
          <w:color w:val="002060"/>
          <w:sz w:val="24"/>
        </w:rPr>
        <w:t>Refinance your home loan</w:t>
      </w:r>
    </w:p>
    <w:p w14:paraId="7638C17C" w14:textId="48C3A739" w:rsidR="002F74F5" w:rsidRDefault="002F74F5" w:rsidP="002F74F5">
      <w:pPr>
        <w:jc w:val="left"/>
      </w:pPr>
    </w:p>
    <w:tbl>
      <w:tblPr>
        <w:tblStyle w:val="TableGrid"/>
        <w:tblW w:w="0" w:type="auto"/>
        <w:tblInd w:w="76" w:type="dxa"/>
        <w:tblLook w:val="04A0" w:firstRow="1" w:lastRow="0" w:firstColumn="1" w:lastColumn="0" w:noHBand="0" w:noVBand="1"/>
      </w:tblPr>
      <w:tblGrid>
        <w:gridCol w:w="2754"/>
        <w:gridCol w:w="6798"/>
      </w:tblGrid>
      <w:tr w:rsidR="003B0A71" w:rsidRPr="00E51BEA" w14:paraId="5B3CEEFC" w14:textId="77777777" w:rsidTr="00C07E7A">
        <w:tc>
          <w:tcPr>
            <w:tcW w:w="2754" w:type="dxa"/>
          </w:tcPr>
          <w:p w14:paraId="328228F2"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6699319" w14:textId="77777777" w:rsidR="003B0A71" w:rsidRPr="00E51BEA" w:rsidRDefault="003B0A71" w:rsidP="00C07E7A">
            <w:pPr>
              <w:pStyle w:val="TableHeader2"/>
              <w:rPr>
                <w:rFonts w:ascii="Calibri Light" w:hAnsi="Calibri Light"/>
              </w:rPr>
            </w:pPr>
          </w:p>
        </w:tc>
      </w:tr>
      <w:tr w:rsidR="003B0A71" w:rsidRPr="00E51BEA" w14:paraId="5C73CD62" w14:textId="77777777" w:rsidTr="00C07E7A">
        <w:tc>
          <w:tcPr>
            <w:tcW w:w="2754" w:type="dxa"/>
          </w:tcPr>
          <w:p w14:paraId="4BA92FA2" w14:textId="77777777" w:rsidR="003B0A71" w:rsidRPr="00EA0A06" w:rsidRDefault="003B0A71" w:rsidP="00E164DA">
            <w:pPr>
              <w:pStyle w:val="Instructions"/>
            </w:pPr>
            <w:r w:rsidRPr="00EA0A06">
              <w:t>Title</w:t>
            </w:r>
          </w:p>
        </w:tc>
        <w:tc>
          <w:tcPr>
            <w:tcW w:w="6798" w:type="dxa"/>
          </w:tcPr>
          <w:p w14:paraId="34953DE2" w14:textId="7B18ED50" w:rsidR="003B0A71" w:rsidRPr="006810F2" w:rsidRDefault="00E60927" w:rsidP="00E164DA">
            <w:pPr>
              <w:pStyle w:val="Instructions"/>
            </w:pPr>
            <w:r w:rsidRPr="006810F2">
              <w:t>Refinance Your</w:t>
            </w:r>
            <w:r w:rsidR="003924E8" w:rsidRPr="006810F2">
              <w:t xml:space="preserve"> Home Loan</w:t>
            </w:r>
          </w:p>
        </w:tc>
      </w:tr>
      <w:tr w:rsidR="003B0A71" w:rsidRPr="00E51BEA" w14:paraId="02022364" w14:textId="77777777" w:rsidTr="00C07E7A">
        <w:tc>
          <w:tcPr>
            <w:tcW w:w="2754" w:type="dxa"/>
          </w:tcPr>
          <w:p w14:paraId="619B10FA" w14:textId="77777777" w:rsidR="003B0A71" w:rsidRPr="00EA0A06" w:rsidRDefault="003B0A71" w:rsidP="00E164DA">
            <w:pPr>
              <w:pStyle w:val="Instructions"/>
            </w:pPr>
            <w:r w:rsidRPr="00EA0A06">
              <w:t>Explanation</w:t>
            </w:r>
          </w:p>
        </w:tc>
        <w:tc>
          <w:tcPr>
            <w:tcW w:w="6798" w:type="dxa"/>
          </w:tcPr>
          <w:p w14:paraId="3051F82C" w14:textId="77777777" w:rsidR="006046EF" w:rsidRDefault="006046EF" w:rsidP="006046EF">
            <w:pPr>
              <w:jc w:val="left"/>
            </w:pPr>
            <w:r w:rsidRPr="009B53E1">
              <w:rPr>
                <w:color w:val="FF0000"/>
                <w:szCs w:val="20"/>
              </w:rPr>
              <w:t>[Client]</w:t>
            </w:r>
            <w:r w:rsidRPr="009B53E1">
              <w:rPr>
                <w:szCs w:val="20"/>
              </w:rPr>
              <w:t xml:space="preserve"> </w:t>
            </w:r>
            <w:r w:rsidRPr="009B53E1">
              <w:rPr>
                <w:color w:val="FF0000"/>
                <w:szCs w:val="20"/>
              </w:rPr>
              <w:t>[</w:t>
            </w:r>
            <w:r w:rsidRPr="009B53E1">
              <w:rPr>
                <w:szCs w:val="20"/>
              </w:rPr>
              <w:t xml:space="preserve">and </w:t>
            </w:r>
            <w:r w:rsidRPr="009B53E1">
              <w:rPr>
                <w:color w:val="FF0000"/>
                <w:szCs w:val="20"/>
              </w:rPr>
              <w:t>[Partner]]</w:t>
            </w:r>
            <w:r w:rsidRPr="009B53E1">
              <w:rPr>
                <w:szCs w:val="20"/>
              </w:rPr>
              <w:t>,</w:t>
            </w:r>
            <w:r>
              <w:rPr>
                <w:szCs w:val="20"/>
              </w:rPr>
              <w:t xml:space="preserve"> </w:t>
            </w:r>
            <w:r w:rsidRPr="00A14911">
              <w:t xml:space="preserve">refinance your current home loan </w:t>
            </w:r>
            <w:r>
              <w:t>($</w:t>
            </w:r>
            <w:r w:rsidRPr="00A14911">
              <w:rPr>
                <w:color w:val="FF0000"/>
              </w:rPr>
              <w:t>[__</w:t>
            </w:r>
            <w:proofErr w:type="gramStart"/>
            <w:r w:rsidRPr="00A14911">
              <w:rPr>
                <w:color w:val="FF0000"/>
              </w:rPr>
              <w:t>_,_</w:t>
            </w:r>
            <w:proofErr w:type="gramEnd"/>
            <w:r w:rsidRPr="00A14911">
              <w:rPr>
                <w:color w:val="FF0000"/>
              </w:rPr>
              <w:t>__]</w:t>
            </w:r>
            <w:r w:rsidRPr="007219F5">
              <w:rPr>
                <w:color w:val="000000" w:themeColor="text1"/>
              </w:rPr>
              <w:t>)</w:t>
            </w:r>
            <w:r w:rsidRPr="00A14911">
              <w:t xml:space="preserve"> to increase the balance by</w:t>
            </w:r>
            <w:r>
              <w:t xml:space="preserve"> $</w:t>
            </w:r>
            <w:r w:rsidRPr="00A14911">
              <w:rPr>
                <w:color w:val="FF0000"/>
              </w:rPr>
              <w:t>[___,___]</w:t>
            </w:r>
            <w:r w:rsidRPr="00A14911">
              <w:t xml:space="preserve"> to </w:t>
            </w:r>
            <w:r w:rsidRPr="007219F5">
              <w:rPr>
                <w:color w:val="7030A0"/>
                <w:highlight w:val="yellow"/>
              </w:rPr>
              <w:t>[purchase asset]</w:t>
            </w:r>
            <w:r w:rsidRPr="00A14911">
              <w:t xml:space="preserve"> </w:t>
            </w:r>
            <w:r w:rsidRPr="007219F5">
              <w:rPr>
                <w:color w:val="7030A0"/>
                <w:highlight w:val="yellow"/>
              </w:rPr>
              <w:t>[pay off the credit card]</w:t>
            </w:r>
            <w:r w:rsidRPr="00A14911">
              <w:t>.</w:t>
            </w:r>
          </w:p>
          <w:p w14:paraId="14E721A3" w14:textId="77777777" w:rsidR="003B0A71" w:rsidRPr="00E51BEA" w:rsidRDefault="003B0A71" w:rsidP="00E164DA">
            <w:pPr>
              <w:pStyle w:val="Instructions"/>
            </w:pPr>
          </w:p>
        </w:tc>
      </w:tr>
      <w:tr w:rsidR="003B0A71" w:rsidRPr="00E51BEA" w14:paraId="46F4FE78" w14:textId="77777777" w:rsidTr="00C07E7A">
        <w:tc>
          <w:tcPr>
            <w:tcW w:w="2754" w:type="dxa"/>
          </w:tcPr>
          <w:p w14:paraId="27145725" w14:textId="77777777" w:rsidR="003B0A71" w:rsidRPr="00EA0A06" w:rsidRDefault="003B0A71" w:rsidP="00E164DA">
            <w:pPr>
              <w:pStyle w:val="Instructions"/>
            </w:pPr>
            <w:r w:rsidRPr="00EA0A06">
              <w:t>In your Best Interest</w:t>
            </w:r>
          </w:p>
        </w:tc>
        <w:tc>
          <w:tcPr>
            <w:tcW w:w="6798" w:type="dxa"/>
          </w:tcPr>
          <w:p w14:paraId="525FF98A" w14:textId="77777777" w:rsidR="003B0A71" w:rsidRPr="00E51BEA" w:rsidRDefault="003B0A71" w:rsidP="00E164DA">
            <w:pPr>
              <w:pStyle w:val="Instructions"/>
            </w:pPr>
          </w:p>
        </w:tc>
      </w:tr>
      <w:tr w:rsidR="003B0A71" w:rsidRPr="00E51BEA" w14:paraId="0DC9F886" w14:textId="77777777" w:rsidTr="00C07E7A">
        <w:tc>
          <w:tcPr>
            <w:tcW w:w="2754" w:type="dxa"/>
          </w:tcPr>
          <w:p w14:paraId="3FD32B8B" w14:textId="77777777" w:rsidR="003B0A71" w:rsidRPr="00EA0A06" w:rsidRDefault="003B0A71" w:rsidP="00E164DA">
            <w:pPr>
              <w:pStyle w:val="Instructions"/>
            </w:pPr>
            <w:r w:rsidRPr="00EA0A06">
              <w:t>Further Detail</w:t>
            </w:r>
          </w:p>
        </w:tc>
        <w:tc>
          <w:tcPr>
            <w:tcW w:w="6798" w:type="dxa"/>
          </w:tcPr>
          <w:p w14:paraId="10FDC6F5" w14:textId="72C65B8D" w:rsidR="00CC6302" w:rsidRDefault="00CC6302" w:rsidP="00CC6302">
            <w:pPr>
              <w:jc w:val="center"/>
              <w:rPr>
                <w:b/>
                <w:color w:val="auto"/>
              </w:rPr>
            </w:pPr>
            <w:r w:rsidRPr="00CC6302">
              <w:rPr>
                <w:b/>
                <w:color w:val="auto"/>
              </w:rPr>
              <w:t>Seek expert advice regarding the suitability of this recommendation;</w:t>
            </w:r>
          </w:p>
          <w:p w14:paraId="18141897" w14:textId="445521C8" w:rsidR="00CC6302" w:rsidRPr="00CC6302" w:rsidRDefault="00CC6302" w:rsidP="00CC6302">
            <w:pPr>
              <w:jc w:val="center"/>
              <w:rPr>
                <w:b/>
                <w:color w:val="auto"/>
              </w:rPr>
            </w:pPr>
            <w:r w:rsidRPr="00CC6302">
              <w:rPr>
                <w:b/>
                <w:color w:val="auto"/>
              </w:rPr>
              <w:t xml:space="preserve">especially as it relates to specific loan </w:t>
            </w:r>
            <w:commentRangeStart w:id="11"/>
            <w:r w:rsidRPr="00CC6302">
              <w:rPr>
                <w:b/>
                <w:color w:val="auto"/>
              </w:rPr>
              <w:t>products</w:t>
            </w:r>
            <w:commentRangeEnd w:id="11"/>
            <w:r w:rsidRPr="00CC6302">
              <w:rPr>
                <w:rStyle w:val="CommentReference"/>
                <w:b/>
                <w:color w:val="auto"/>
                <w:lang w:eastAsia="ja-JP"/>
              </w:rPr>
              <w:commentReference w:id="11"/>
            </w:r>
            <w:r w:rsidRPr="00CC6302">
              <w:rPr>
                <w:b/>
                <w:color w:val="auto"/>
              </w:rPr>
              <w:t>.</w:t>
            </w:r>
          </w:p>
          <w:p w14:paraId="5DC8A950" w14:textId="77777777" w:rsidR="00CC6302" w:rsidRDefault="00CC6302" w:rsidP="006046EF">
            <w:pPr>
              <w:jc w:val="left"/>
              <w:rPr>
                <w:color w:val="7030A0"/>
                <w:highlight w:val="yellow"/>
              </w:rPr>
            </w:pPr>
          </w:p>
          <w:p w14:paraId="63A59917" w14:textId="56001F96" w:rsidR="006046EF" w:rsidRDefault="006046EF" w:rsidP="006046EF">
            <w:pPr>
              <w:jc w:val="left"/>
            </w:pPr>
            <w:r w:rsidRPr="004A1106">
              <w:rPr>
                <w:color w:val="7030A0"/>
                <w:highlight w:val="yellow"/>
              </w:rPr>
              <w:t xml:space="preserve">[Taking out a personal </w:t>
            </w:r>
            <w:proofErr w:type="gramStart"/>
            <w:r w:rsidRPr="004A1106">
              <w:rPr>
                <w:color w:val="7030A0"/>
                <w:highlight w:val="yellow"/>
              </w:rPr>
              <w:t>loan][</w:t>
            </w:r>
            <w:proofErr w:type="gramEnd"/>
            <w:r w:rsidRPr="004A1106">
              <w:rPr>
                <w:color w:val="7030A0"/>
                <w:highlight w:val="yellow"/>
              </w:rPr>
              <w:t>Maintaining credit card debt]</w:t>
            </w:r>
            <w:r w:rsidRPr="004A1106">
              <w:rPr>
                <w:color w:val="7030A0"/>
              </w:rPr>
              <w:t xml:space="preserve"> </w:t>
            </w:r>
            <w:r>
              <w:t>will typically attract</w:t>
            </w:r>
            <w:r w:rsidRPr="00A14911">
              <w:t xml:space="preserve"> a higher interest rate compared to </w:t>
            </w:r>
            <w:r>
              <w:t xml:space="preserve">an equivalent </w:t>
            </w:r>
            <w:r w:rsidRPr="00A14911">
              <w:t>home loan</w:t>
            </w:r>
            <w:r>
              <w:t xml:space="preserve"> amount</w:t>
            </w:r>
            <w:r w:rsidRPr="00A14911">
              <w:t xml:space="preserve">. </w:t>
            </w:r>
          </w:p>
          <w:p w14:paraId="62EEF293" w14:textId="77777777" w:rsidR="006046EF" w:rsidRDefault="006046EF" w:rsidP="006046EF">
            <w:pPr>
              <w:jc w:val="left"/>
            </w:pPr>
          </w:p>
          <w:p w14:paraId="03DCEED6" w14:textId="77777777" w:rsidR="006046EF" w:rsidRDefault="006046EF" w:rsidP="006046EF">
            <w:pPr>
              <w:jc w:val="left"/>
            </w:pPr>
            <w:r w:rsidRPr="00A14911">
              <w:t xml:space="preserve">Refinancing refers to the process of paying out your current home loan by taking out a new loan, either with your existing lender or through a different lender. </w:t>
            </w:r>
          </w:p>
          <w:p w14:paraId="4DC33DC4" w14:textId="77777777" w:rsidR="006046EF" w:rsidRDefault="006046EF" w:rsidP="006046EF">
            <w:pPr>
              <w:jc w:val="left"/>
            </w:pPr>
          </w:p>
          <w:p w14:paraId="5625609E" w14:textId="77777777" w:rsidR="006046EF" w:rsidRDefault="006046EF" w:rsidP="006046EF">
            <w:pPr>
              <w:jc w:val="left"/>
            </w:pPr>
            <w:r w:rsidRPr="00A14911">
              <w:t>Refinancing is done to</w:t>
            </w:r>
            <w:r>
              <w:t>:</w:t>
            </w:r>
          </w:p>
          <w:p w14:paraId="72F8741F" w14:textId="77777777" w:rsidR="006046EF" w:rsidRDefault="006046EF" w:rsidP="003812CB">
            <w:pPr>
              <w:pStyle w:val="ListParagraph"/>
              <w:numPr>
                <w:ilvl w:val="0"/>
                <w:numId w:val="70"/>
              </w:numPr>
              <w:contextualSpacing/>
              <w:jc w:val="left"/>
            </w:pPr>
            <w:r>
              <w:t>Increase your loan amount</w:t>
            </w:r>
          </w:p>
          <w:p w14:paraId="408BCA97" w14:textId="77777777" w:rsidR="006046EF" w:rsidRDefault="006046EF" w:rsidP="003812CB">
            <w:pPr>
              <w:pStyle w:val="ListParagraph"/>
              <w:numPr>
                <w:ilvl w:val="0"/>
                <w:numId w:val="70"/>
              </w:numPr>
              <w:contextualSpacing/>
              <w:jc w:val="left"/>
            </w:pPr>
            <w:r>
              <w:t>O</w:t>
            </w:r>
            <w:r w:rsidRPr="00B25614">
              <w:t>btain a better interest</w:t>
            </w:r>
            <w:r>
              <w:t xml:space="preserve"> rate</w:t>
            </w:r>
          </w:p>
          <w:p w14:paraId="4DE7CA1D" w14:textId="77777777" w:rsidR="006046EF" w:rsidRPr="00B25614" w:rsidRDefault="006046EF" w:rsidP="003812CB">
            <w:pPr>
              <w:pStyle w:val="ListParagraph"/>
              <w:numPr>
                <w:ilvl w:val="0"/>
                <w:numId w:val="70"/>
              </w:numPr>
              <w:contextualSpacing/>
              <w:jc w:val="left"/>
            </w:pPr>
            <w:r>
              <w:t>Obtain a longer loan term</w:t>
            </w:r>
            <w:r w:rsidRPr="00B25614">
              <w:t xml:space="preserve">  </w:t>
            </w:r>
          </w:p>
          <w:p w14:paraId="233A4731" w14:textId="77777777" w:rsidR="003B0A71" w:rsidRPr="00E51BEA" w:rsidRDefault="003B0A71" w:rsidP="00E164DA">
            <w:pPr>
              <w:pStyle w:val="Instructions"/>
            </w:pPr>
          </w:p>
        </w:tc>
      </w:tr>
    </w:tbl>
    <w:p w14:paraId="14F31D09" w14:textId="77777777" w:rsidR="003B0A71" w:rsidRDefault="003B0A71" w:rsidP="002F74F5">
      <w:pPr>
        <w:jc w:val="left"/>
      </w:pPr>
    </w:p>
    <w:p w14:paraId="5EB78119" w14:textId="77777777" w:rsidR="002F74F5" w:rsidRPr="00824056" w:rsidRDefault="002F74F5" w:rsidP="002F74F5">
      <w:pPr>
        <w:jc w:val="left"/>
        <w:rPr>
          <w:color w:val="002060"/>
          <w:sz w:val="24"/>
        </w:rPr>
      </w:pPr>
      <w:r w:rsidRPr="00824056">
        <w:rPr>
          <w:color w:val="002060"/>
          <w:sz w:val="24"/>
        </w:rPr>
        <w:t>Direct surplus income into an offset account linked to your home loan</w:t>
      </w:r>
    </w:p>
    <w:p w14:paraId="40E073F9" w14:textId="77777777" w:rsidR="002F74F5" w:rsidRDefault="002F74F5" w:rsidP="002F74F5">
      <w:pPr>
        <w:jc w:val="left"/>
      </w:pPr>
    </w:p>
    <w:tbl>
      <w:tblPr>
        <w:tblStyle w:val="TableGrid"/>
        <w:tblW w:w="0" w:type="auto"/>
        <w:tblInd w:w="76" w:type="dxa"/>
        <w:tblLook w:val="04A0" w:firstRow="1" w:lastRow="0" w:firstColumn="1" w:lastColumn="0" w:noHBand="0" w:noVBand="1"/>
      </w:tblPr>
      <w:tblGrid>
        <w:gridCol w:w="2754"/>
        <w:gridCol w:w="6798"/>
      </w:tblGrid>
      <w:tr w:rsidR="003B0A71" w:rsidRPr="00E51BEA" w14:paraId="6AF89C1B" w14:textId="77777777" w:rsidTr="00C07E7A">
        <w:tc>
          <w:tcPr>
            <w:tcW w:w="2754" w:type="dxa"/>
          </w:tcPr>
          <w:p w14:paraId="7821A25B"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D5E6FED" w14:textId="77777777" w:rsidR="003B0A71" w:rsidRPr="00E51BEA" w:rsidRDefault="003B0A71" w:rsidP="00C07E7A">
            <w:pPr>
              <w:pStyle w:val="TableHeader2"/>
              <w:rPr>
                <w:rFonts w:ascii="Calibri Light" w:hAnsi="Calibri Light"/>
              </w:rPr>
            </w:pPr>
          </w:p>
        </w:tc>
      </w:tr>
      <w:tr w:rsidR="003B0A71" w:rsidRPr="00E51BEA" w14:paraId="383517EB" w14:textId="77777777" w:rsidTr="00C07E7A">
        <w:tc>
          <w:tcPr>
            <w:tcW w:w="2754" w:type="dxa"/>
          </w:tcPr>
          <w:p w14:paraId="5E899CCF" w14:textId="77777777" w:rsidR="003B0A71" w:rsidRPr="00114413" w:rsidRDefault="003B0A71" w:rsidP="00E164DA">
            <w:pPr>
              <w:pStyle w:val="Instructions"/>
            </w:pPr>
            <w:r w:rsidRPr="00114413">
              <w:t>Title</w:t>
            </w:r>
          </w:p>
        </w:tc>
        <w:tc>
          <w:tcPr>
            <w:tcW w:w="6798" w:type="dxa"/>
          </w:tcPr>
          <w:p w14:paraId="6051ABB5" w14:textId="63061BF9" w:rsidR="003B0A71" w:rsidRPr="00B31DB2" w:rsidRDefault="00B31DB2" w:rsidP="00536808">
            <w:pPr>
              <w:jc w:val="left"/>
              <w:rPr>
                <w:szCs w:val="20"/>
              </w:rPr>
            </w:pPr>
            <w:r w:rsidRPr="00B31DB2">
              <w:t xml:space="preserve">Direct </w:t>
            </w:r>
            <w:r w:rsidR="006810F2" w:rsidRPr="00E51767">
              <w:t xml:space="preserve">any </w:t>
            </w:r>
            <w:r w:rsidRPr="00E51767">
              <w:t>surplus</w:t>
            </w:r>
            <w:r w:rsidRPr="00B31DB2">
              <w:t xml:space="preserve"> income into an offset account linked to your home loan</w:t>
            </w:r>
          </w:p>
        </w:tc>
      </w:tr>
      <w:tr w:rsidR="003B0A71" w:rsidRPr="00E51BEA" w14:paraId="3206A4BF" w14:textId="77777777" w:rsidTr="00C07E7A">
        <w:tc>
          <w:tcPr>
            <w:tcW w:w="2754" w:type="dxa"/>
          </w:tcPr>
          <w:p w14:paraId="67E3720D" w14:textId="77777777" w:rsidR="003B0A71" w:rsidRPr="00114413" w:rsidRDefault="003B0A71" w:rsidP="00E164DA">
            <w:pPr>
              <w:pStyle w:val="Instructions"/>
            </w:pPr>
            <w:r w:rsidRPr="00114413">
              <w:t>Explanation</w:t>
            </w:r>
          </w:p>
        </w:tc>
        <w:tc>
          <w:tcPr>
            <w:tcW w:w="6798" w:type="dxa"/>
          </w:tcPr>
          <w:p w14:paraId="16AA0F3F" w14:textId="77777777" w:rsidR="00B31DB2" w:rsidRDefault="00B31DB2" w:rsidP="00B31DB2">
            <w:pPr>
              <w:jc w:val="left"/>
            </w:pPr>
            <w:r w:rsidRPr="009B53E1">
              <w:rPr>
                <w:color w:val="FF0000"/>
                <w:szCs w:val="20"/>
              </w:rPr>
              <w:t>[Client]</w:t>
            </w:r>
            <w:r w:rsidRPr="009B53E1">
              <w:rPr>
                <w:szCs w:val="20"/>
              </w:rPr>
              <w:t xml:space="preserve"> </w:t>
            </w:r>
            <w:r w:rsidRPr="009B53E1">
              <w:rPr>
                <w:color w:val="FF0000"/>
                <w:szCs w:val="20"/>
              </w:rPr>
              <w:t>[</w:t>
            </w:r>
            <w:r w:rsidRPr="009B53E1">
              <w:rPr>
                <w:szCs w:val="20"/>
              </w:rPr>
              <w:t xml:space="preserve">and </w:t>
            </w:r>
            <w:r w:rsidRPr="009B53E1">
              <w:rPr>
                <w:color w:val="FF0000"/>
                <w:szCs w:val="20"/>
              </w:rPr>
              <w:t>[Partner]]</w:t>
            </w:r>
            <w:r w:rsidRPr="009B53E1">
              <w:rPr>
                <w:szCs w:val="20"/>
              </w:rPr>
              <w:t>,</w:t>
            </w:r>
            <w:r>
              <w:rPr>
                <w:szCs w:val="20"/>
              </w:rPr>
              <w:t xml:space="preserve"> </w:t>
            </w:r>
            <w:r w:rsidRPr="00B64DFB">
              <w:t xml:space="preserve">direct </w:t>
            </w:r>
            <w:r>
              <w:t>surplus income ($</w:t>
            </w:r>
            <w:r w:rsidRPr="00A14911">
              <w:rPr>
                <w:color w:val="FF0000"/>
              </w:rPr>
              <w:t>[__</w:t>
            </w:r>
            <w:proofErr w:type="gramStart"/>
            <w:r w:rsidRPr="00A14911">
              <w:rPr>
                <w:color w:val="FF0000"/>
              </w:rPr>
              <w:t>_,_</w:t>
            </w:r>
            <w:proofErr w:type="gramEnd"/>
            <w:r w:rsidRPr="00A14911">
              <w:rPr>
                <w:color w:val="FF0000"/>
              </w:rPr>
              <w:t>__]</w:t>
            </w:r>
            <w:r w:rsidRPr="007219F5">
              <w:rPr>
                <w:color w:val="000000" w:themeColor="text1"/>
              </w:rPr>
              <w:t>)</w:t>
            </w:r>
            <w:r>
              <w:t xml:space="preserve"> </w:t>
            </w:r>
            <w:r w:rsidRPr="00B64DFB">
              <w:t xml:space="preserve">into an offset account </w:t>
            </w:r>
            <w:r>
              <w:t xml:space="preserve">that is </w:t>
            </w:r>
            <w:r w:rsidRPr="00B64DFB">
              <w:t xml:space="preserve">linked to your home loan. </w:t>
            </w:r>
          </w:p>
          <w:p w14:paraId="1B9B5B34" w14:textId="77777777" w:rsidR="003B0A71" w:rsidRPr="00E51BEA" w:rsidRDefault="003B0A71" w:rsidP="00E164DA">
            <w:pPr>
              <w:pStyle w:val="Instructions"/>
            </w:pPr>
          </w:p>
        </w:tc>
      </w:tr>
      <w:tr w:rsidR="003B0A71" w:rsidRPr="00E51BEA" w14:paraId="603B2DB3" w14:textId="77777777" w:rsidTr="00C07E7A">
        <w:tc>
          <w:tcPr>
            <w:tcW w:w="2754" w:type="dxa"/>
          </w:tcPr>
          <w:p w14:paraId="43EAF878" w14:textId="77777777" w:rsidR="003B0A71" w:rsidRPr="00114413" w:rsidRDefault="003B0A71" w:rsidP="00E164DA">
            <w:pPr>
              <w:pStyle w:val="Instructions"/>
            </w:pPr>
            <w:r w:rsidRPr="00114413">
              <w:t>In your Best Interest</w:t>
            </w:r>
          </w:p>
        </w:tc>
        <w:tc>
          <w:tcPr>
            <w:tcW w:w="6798" w:type="dxa"/>
          </w:tcPr>
          <w:p w14:paraId="284AFF91" w14:textId="77777777" w:rsidR="003B0A71" w:rsidRPr="00E51BEA" w:rsidRDefault="003B0A71" w:rsidP="00E164DA">
            <w:pPr>
              <w:pStyle w:val="Instructions"/>
            </w:pPr>
          </w:p>
        </w:tc>
      </w:tr>
      <w:tr w:rsidR="003B0A71" w:rsidRPr="00E51BEA" w14:paraId="3C73669E" w14:textId="77777777" w:rsidTr="00C07E7A">
        <w:tc>
          <w:tcPr>
            <w:tcW w:w="2754" w:type="dxa"/>
          </w:tcPr>
          <w:p w14:paraId="59550591" w14:textId="77777777" w:rsidR="003B0A71" w:rsidRPr="00114413" w:rsidRDefault="003B0A71" w:rsidP="00E164DA">
            <w:pPr>
              <w:pStyle w:val="Instructions"/>
            </w:pPr>
            <w:r w:rsidRPr="00114413">
              <w:t>Further Detail</w:t>
            </w:r>
          </w:p>
        </w:tc>
        <w:tc>
          <w:tcPr>
            <w:tcW w:w="6798" w:type="dxa"/>
          </w:tcPr>
          <w:p w14:paraId="717D1EBF" w14:textId="77777777" w:rsidR="00B31DB2" w:rsidRDefault="00B31DB2" w:rsidP="00B31DB2">
            <w:pPr>
              <w:jc w:val="left"/>
            </w:pPr>
            <w:r>
              <w:t>An</w:t>
            </w:r>
            <w:r w:rsidRPr="00B64DFB">
              <w:t xml:space="preserve"> offset account acts as a normal savings/transaction bank account but the daily balance is linked to your home loan</w:t>
            </w:r>
            <w:r>
              <w:t xml:space="preserve">; reducing the base amount upon which the home loan </w:t>
            </w:r>
            <w:r w:rsidRPr="00B64DFB">
              <w:t xml:space="preserve">interest is calculated. </w:t>
            </w:r>
          </w:p>
          <w:p w14:paraId="68116A50" w14:textId="77777777" w:rsidR="00B31DB2" w:rsidRDefault="00B31DB2" w:rsidP="00B31DB2">
            <w:pPr>
              <w:jc w:val="left"/>
            </w:pPr>
            <w:r w:rsidRPr="00B64DFB">
              <w:t xml:space="preserve">By reducing the amount of interest payable you will reduce the time it takes to pay </w:t>
            </w:r>
            <w:r>
              <w:t xml:space="preserve">off this home </w:t>
            </w:r>
            <w:r w:rsidRPr="00B64DFB">
              <w:t xml:space="preserve">loan </w:t>
            </w:r>
            <w:r>
              <w:t xml:space="preserve">but will </w:t>
            </w:r>
            <w:r w:rsidRPr="00B64DFB">
              <w:t>maintain access to your savings.</w:t>
            </w:r>
          </w:p>
          <w:p w14:paraId="7F2872AC" w14:textId="77777777" w:rsidR="00B31DB2" w:rsidRDefault="00B31DB2" w:rsidP="00B31DB2">
            <w:pPr>
              <w:jc w:val="left"/>
            </w:pPr>
          </w:p>
          <w:p w14:paraId="2DC367D7" w14:textId="77777777" w:rsidR="003B0A71" w:rsidRPr="00E51BEA" w:rsidRDefault="003B0A71" w:rsidP="00E164DA">
            <w:pPr>
              <w:pStyle w:val="Instructions"/>
            </w:pPr>
          </w:p>
        </w:tc>
      </w:tr>
    </w:tbl>
    <w:p w14:paraId="655E8635" w14:textId="77777777" w:rsidR="003B0A71" w:rsidRDefault="003B0A71" w:rsidP="002F74F5">
      <w:pPr>
        <w:jc w:val="left"/>
      </w:pPr>
    </w:p>
    <w:p w14:paraId="6A0E0ECF" w14:textId="4A04A168" w:rsidR="002F74F5" w:rsidRPr="00B64DFB" w:rsidRDefault="00B31DB2" w:rsidP="00E164DA">
      <w:pPr>
        <w:pStyle w:val="Instructions"/>
      </w:pPr>
      <w:r>
        <w:t xml:space="preserve">Further Detail </w:t>
      </w:r>
      <w:r w:rsidR="00C07E7A">
        <w:t>(</w:t>
      </w:r>
      <w:r>
        <w:t>continued</w:t>
      </w:r>
      <w:r w:rsidR="00C07E7A">
        <w:t>)</w:t>
      </w:r>
    </w:p>
    <w:p w14:paraId="385B187B" w14:textId="77777777" w:rsidR="002F74F5" w:rsidRDefault="002F74F5" w:rsidP="002F74F5">
      <w:pPr>
        <w:jc w:val="left"/>
      </w:pPr>
      <w:r w:rsidRPr="00B64DFB">
        <w:t>The following table outlines your home loan details:</w:t>
      </w:r>
    </w:p>
    <w:p w14:paraId="19C6F523" w14:textId="77777777" w:rsidR="002F74F5" w:rsidRPr="00B64DFB" w:rsidRDefault="002F74F5" w:rsidP="002F74F5">
      <w:pPr>
        <w:jc w:val="left"/>
      </w:pPr>
    </w:p>
    <w:tbl>
      <w:tblPr>
        <w:tblStyle w:val="TableGrid"/>
        <w:tblW w:w="4936"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7"/>
        <w:gridCol w:w="1104"/>
        <w:gridCol w:w="1104"/>
        <w:gridCol w:w="1105"/>
        <w:gridCol w:w="1105"/>
        <w:gridCol w:w="1105"/>
        <w:gridCol w:w="1105"/>
        <w:gridCol w:w="1105"/>
        <w:gridCol w:w="1105"/>
      </w:tblGrid>
      <w:tr w:rsidR="002F74F5" w:rsidRPr="00846F98" w14:paraId="5189CA7A" w14:textId="77777777" w:rsidTr="00020C70">
        <w:trPr>
          <w:trHeight w:val="20"/>
          <w:jc w:val="center"/>
        </w:trPr>
        <w:tc>
          <w:tcPr>
            <w:tcW w:w="786" w:type="pct"/>
            <w:shd w:val="clear" w:color="auto" w:fill="D9D9D9"/>
            <w:vAlign w:val="center"/>
          </w:tcPr>
          <w:p w14:paraId="00B6FA03" w14:textId="77777777" w:rsidR="002F74F5" w:rsidRPr="00BA6452" w:rsidRDefault="002F74F5" w:rsidP="00020C70">
            <w:pPr>
              <w:jc w:val="center"/>
              <w:rPr>
                <w:rFonts w:ascii="Arial Narrow" w:hAnsi="Arial Narrow"/>
                <w:b/>
              </w:rPr>
            </w:pPr>
            <w:r w:rsidRPr="00BA6452">
              <w:rPr>
                <w:rFonts w:ascii="Arial Narrow" w:hAnsi="Arial Narrow"/>
                <w:b/>
              </w:rPr>
              <w:t>Financial year</w:t>
            </w:r>
          </w:p>
        </w:tc>
        <w:tc>
          <w:tcPr>
            <w:tcW w:w="0" w:type="auto"/>
            <w:shd w:val="clear" w:color="auto" w:fill="D9D9D9"/>
            <w:vAlign w:val="center"/>
          </w:tcPr>
          <w:p w14:paraId="06A204B5" w14:textId="77777777" w:rsidR="002F74F5" w:rsidRPr="00307F70" w:rsidRDefault="002F74F5" w:rsidP="00020C70">
            <w:pPr>
              <w:jc w:val="center"/>
              <w:rPr>
                <w:rFonts w:ascii="Arial Narrow" w:hAnsi="Arial Narrow"/>
                <w:b/>
                <w:color w:val="7030A0"/>
                <w:highlight w:val="yellow"/>
              </w:rPr>
            </w:pPr>
            <w:r w:rsidRPr="00307F70">
              <w:rPr>
                <w:rFonts w:ascii="Arial Narrow" w:hAnsi="Arial Narrow"/>
                <w:b/>
                <w:color w:val="7030A0"/>
                <w:highlight w:val="yellow"/>
              </w:rPr>
              <w:t>&lt;Year&gt;</w:t>
            </w:r>
          </w:p>
        </w:tc>
        <w:tc>
          <w:tcPr>
            <w:tcW w:w="0" w:type="auto"/>
            <w:shd w:val="clear" w:color="auto" w:fill="D9D9D9"/>
          </w:tcPr>
          <w:p w14:paraId="109B4F67"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3141D182"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450F2D71"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724F2376"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611056C8"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4ADE2CAB"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4864792F"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r>
      <w:tr w:rsidR="002F74F5" w:rsidRPr="00846F98" w14:paraId="45A52A8D" w14:textId="77777777" w:rsidTr="00020C70">
        <w:trPr>
          <w:trHeight w:val="20"/>
          <w:jc w:val="center"/>
        </w:trPr>
        <w:tc>
          <w:tcPr>
            <w:tcW w:w="786" w:type="pct"/>
            <w:shd w:val="clear" w:color="auto" w:fill="EEEEEE"/>
            <w:vAlign w:val="center"/>
          </w:tcPr>
          <w:p w14:paraId="2E299252" w14:textId="77777777" w:rsidR="002F74F5" w:rsidRPr="00BA6452" w:rsidRDefault="002F74F5" w:rsidP="00020C70">
            <w:pPr>
              <w:jc w:val="center"/>
              <w:rPr>
                <w:sz w:val="18"/>
                <w:szCs w:val="18"/>
              </w:rPr>
            </w:pPr>
            <w:r w:rsidRPr="00BA6452">
              <w:rPr>
                <w:rFonts w:ascii="Arial Narrow" w:hAnsi="Arial Narrow"/>
                <w:b/>
                <w:sz w:val="18"/>
                <w:szCs w:val="18"/>
              </w:rPr>
              <w:t>Start of year loan balance</w:t>
            </w:r>
          </w:p>
        </w:tc>
        <w:tc>
          <w:tcPr>
            <w:tcW w:w="0" w:type="auto"/>
            <w:shd w:val="clear" w:color="auto" w:fill="EEEEEE"/>
            <w:vAlign w:val="center"/>
          </w:tcPr>
          <w:p w14:paraId="0BDF3221" w14:textId="77777777" w:rsidR="002F74F5" w:rsidRPr="00330FFD" w:rsidRDefault="002F74F5" w:rsidP="008E5C03">
            <w:pPr>
              <w:jc w:val="center"/>
              <w:rPr>
                <w:rFonts w:ascii="Arial Narrow" w:hAnsi="Arial Narrow"/>
                <w:b/>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0C92C36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55F0EB9"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5AC4B3E9"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4736D04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1CE11D72"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0333563D"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638021FF"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r>
      <w:tr w:rsidR="002F74F5" w:rsidRPr="00846F98" w14:paraId="350E7C84" w14:textId="77777777" w:rsidTr="00020C70">
        <w:trPr>
          <w:trHeight w:val="20"/>
          <w:jc w:val="center"/>
        </w:trPr>
        <w:tc>
          <w:tcPr>
            <w:tcW w:w="786" w:type="pct"/>
            <w:shd w:val="clear" w:color="auto" w:fill="EEEEEE"/>
            <w:vAlign w:val="center"/>
          </w:tcPr>
          <w:p w14:paraId="6C5E37D0" w14:textId="77777777" w:rsidR="002F74F5" w:rsidRPr="00BA6452" w:rsidRDefault="002F74F5" w:rsidP="00020C70">
            <w:pPr>
              <w:jc w:val="left"/>
              <w:rPr>
                <w:rFonts w:ascii="Arial Narrow" w:hAnsi="Arial Narrow"/>
                <w:sz w:val="18"/>
                <w:szCs w:val="18"/>
              </w:rPr>
            </w:pPr>
            <w:r w:rsidRPr="00BA6452">
              <w:rPr>
                <w:rFonts w:ascii="Arial Narrow" w:hAnsi="Arial Narrow"/>
                <w:sz w:val="18"/>
                <w:szCs w:val="18"/>
              </w:rPr>
              <w:t>Interest and fees</w:t>
            </w:r>
          </w:p>
        </w:tc>
        <w:tc>
          <w:tcPr>
            <w:tcW w:w="0" w:type="auto"/>
            <w:shd w:val="clear" w:color="auto" w:fill="EEEEEE"/>
            <w:vAlign w:val="center"/>
          </w:tcPr>
          <w:p w14:paraId="75902989"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36965A17"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410AFECB"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DDD94CD"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18A25B42"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2793C433"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ADAAE78"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264188B"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r>
      <w:tr w:rsidR="002F74F5" w:rsidRPr="00846F98" w14:paraId="685F7EAA" w14:textId="77777777" w:rsidTr="00020C70">
        <w:trPr>
          <w:trHeight w:val="20"/>
          <w:jc w:val="center"/>
        </w:trPr>
        <w:tc>
          <w:tcPr>
            <w:tcW w:w="786" w:type="pct"/>
            <w:shd w:val="clear" w:color="auto" w:fill="EEEEEE"/>
            <w:vAlign w:val="center"/>
          </w:tcPr>
          <w:p w14:paraId="07CB9CA3" w14:textId="77777777" w:rsidR="002F74F5" w:rsidRPr="00BA6452" w:rsidRDefault="002F74F5" w:rsidP="00020C70">
            <w:pPr>
              <w:jc w:val="left"/>
              <w:rPr>
                <w:rFonts w:ascii="Arial Narrow" w:hAnsi="Arial Narrow"/>
                <w:sz w:val="18"/>
                <w:szCs w:val="18"/>
              </w:rPr>
            </w:pPr>
            <w:r w:rsidRPr="00BA6452">
              <w:rPr>
                <w:rFonts w:ascii="Arial Narrow" w:hAnsi="Arial Narrow"/>
                <w:sz w:val="18"/>
                <w:szCs w:val="18"/>
              </w:rPr>
              <w:t>Yearly repayments</w:t>
            </w:r>
          </w:p>
        </w:tc>
        <w:tc>
          <w:tcPr>
            <w:tcW w:w="0" w:type="auto"/>
            <w:shd w:val="clear" w:color="auto" w:fill="EEEEEE"/>
            <w:vAlign w:val="center"/>
          </w:tcPr>
          <w:p w14:paraId="2944D409"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087274C"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BFB7A21"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298936EE"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100D1484"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0D8CD70"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784E3872"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BD869CB"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r>
      <w:tr w:rsidR="002F74F5" w:rsidRPr="00846F98" w14:paraId="5CE5C85F" w14:textId="77777777" w:rsidTr="00020C70">
        <w:trPr>
          <w:trHeight w:val="20"/>
          <w:jc w:val="center"/>
        </w:trPr>
        <w:tc>
          <w:tcPr>
            <w:tcW w:w="786" w:type="pct"/>
            <w:shd w:val="clear" w:color="auto" w:fill="EEEEEE"/>
            <w:vAlign w:val="center"/>
          </w:tcPr>
          <w:p w14:paraId="328B2B95" w14:textId="77777777" w:rsidR="002F74F5" w:rsidRPr="00BA6452" w:rsidRDefault="002F74F5" w:rsidP="00020C70">
            <w:pPr>
              <w:jc w:val="left"/>
              <w:rPr>
                <w:rFonts w:ascii="Arial Narrow" w:hAnsi="Arial Narrow"/>
                <w:sz w:val="18"/>
                <w:szCs w:val="18"/>
              </w:rPr>
            </w:pPr>
            <w:r w:rsidRPr="00BA6452">
              <w:rPr>
                <w:rFonts w:ascii="Arial Narrow" w:hAnsi="Arial Narrow"/>
                <w:sz w:val="18"/>
                <w:szCs w:val="18"/>
              </w:rPr>
              <w:t>Surplus/Deficit allocation</w:t>
            </w:r>
          </w:p>
        </w:tc>
        <w:tc>
          <w:tcPr>
            <w:tcW w:w="0" w:type="auto"/>
            <w:shd w:val="clear" w:color="auto" w:fill="EEEEEE"/>
            <w:vAlign w:val="center"/>
          </w:tcPr>
          <w:p w14:paraId="2013B538"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2F1BE0C3"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B8A7440"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99AAC2A"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DCBBD31"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3C25FD42"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18719B94"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96A44FF"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r>
      <w:tr w:rsidR="002F74F5" w:rsidRPr="00846F98" w14:paraId="36F2276F" w14:textId="77777777" w:rsidTr="00020C70">
        <w:trPr>
          <w:trHeight w:val="20"/>
          <w:jc w:val="center"/>
        </w:trPr>
        <w:tc>
          <w:tcPr>
            <w:tcW w:w="786" w:type="pct"/>
            <w:shd w:val="clear" w:color="auto" w:fill="EEEEEE"/>
            <w:vAlign w:val="center"/>
          </w:tcPr>
          <w:p w14:paraId="7644C744" w14:textId="77777777" w:rsidR="002F74F5" w:rsidRPr="00BA6452" w:rsidRDefault="002F74F5" w:rsidP="00020C70">
            <w:pPr>
              <w:jc w:val="center"/>
              <w:rPr>
                <w:rFonts w:ascii="Arial Narrow" w:hAnsi="Arial Narrow"/>
                <w:b/>
                <w:sz w:val="18"/>
                <w:szCs w:val="18"/>
              </w:rPr>
            </w:pPr>
            <w:r w:rsidRPr="00BA6452">
              <w:rPr>
                <w:rFonts w:ascii="Arial Narrow" w:hAnsi="Arial Narrow"/>
                <w:b/>
                <w:sz w:val="18"/>
                <w:szCs w:val="18"/>
              </w:rPr>
              <w:t>End of year loan balance</w:t>
            </w:r>
          </w:p>
        </w:tc>
        <w:tc>
          <w:tcPr>
            <w:tcW w:w="0" w:type="auto"/>
            <w:shd w:val="clear" w:color="auto" w:fill="EEEEEE"/>
            <w:vAlign w:val="center"/>
          </w:tcPr>
          <w:p w14:paraId="479D64FA" w14:textId="77777777" w:rsidR="002F74F5" w:rsidRPr="00330FFD" w:rsidRDefault="002F74F5" w:rsidP="008E5C03">
            <w:pPr>
              <w:jc w:val="center"/>
              <w:rPr>
                <w:rFonts w:ascii="Arial Narrow" w:hAnsi="Arial Narrow"/>
                <w:b/>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C37AC99"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EE56B5B"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425472FA"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3CCBB078"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6D3DC8A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6479F6F"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34BC4D6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r>
    </w:tbl>
    <w:p w14:paraId="02DF9DF3" w14:textId="77777777" w:rsidR="002F74F5" w:rsidRDefault="002F74F5" w:rsidP="002F74F5">
      <w:pPr>
        <w:jc w:val="left"/>
      </w:pPr>
    </w:p>
    <w:p w14:paraId="57BB37D6" w14:textId="57447B07" w:rsidR="002F74F5" w:rsidRDefault="002F74F5" w:rsidP="002F74F5">
      <w:pPr>
        <w:jc w:val="left"/>
      </w:pPr>
      <w:r w:rsidRPr="009E4D8E">
        <w:t xml:space="preserve">According to our projection, your home loan is expected to be paid off </w:t>
      </w:r>
      <w:r>
        <w:rPr>
          <w:color w:val="7030A0"/>
          <w:highlight w:val="yellow"/>
        </w:rPr>
        <w:t>[timeframe</w:t>
      </w:r>
      <w:r w:rsidR="00CE0F25">
        <w:rPr>
          <w:color w:val="7030A0"/>
          <w:highlight w:val="yellow"/>
        </w:rPr>
        <w:t>]</w:t>
      </w:r>
      <w:r>
        <w:rPr>
          <w:color w:val="7030A0"/>
          <w:highlight w:val="yellow"/>
        </w:rPr>
        <w:t xml:space="preserve"> </w:t>
      </w:r>
      <w:r w:rsidR="00210F51">
        <w:rPr>
          <w:color w:val="7030A0"/>
          <w:highlight w:val="yellow"/>
        </w:rPr>
        <w:t>[</w:t>
      </w:r>
      <w:r>
        <w:rPr>
          <w:color w:val="7030A0"/>
          <w:highlight w:val="yellow"/>
        </w:rPr>
        <w:t>or year</w:t>
      </w:r>
      <w:r w:rsidRPr="009E4D8E">
        <w:rPr>
          <w:color w:val="7030A0"/>
          <w:highlight w:val="yellow"/>
        </w:rPr>
        <w:t>]</w:t>
      </w:r>
      <w:r w:rsidRPr="009E4D8E">
        <w:t>.</w:t>
      </w:r>
    </w:p>
    <w:p w14:paraId="4459EE4D" w14:textId="77777777" w:rsidR="002F74F5" w:rsidRDefault="002F74F5" w:rsidP="002F74F5">
      <w:pPr>
        <w:jc w:val="left"/>
      </w:pPr>
    </w:p>
    <w:p w14:paraId="3398ABE6" w14:textId="77777777" w:rsidR="002F74F5" w:rsidRPr="00824056" w:rsidRDefault="002F74F5" w:rsidP="002F74F5">
      <w:pPr>
        <w:jc w:val="left"/>
        <w:rPr>
          <w:color w:val="002060"/>
          <w:sz w:val="24"/>
        </w:rPr>
      </w:pPr>
      <w:r w:rsidRPr="00824056">
        <w:rPr>
          <w:color w:val="002060"/>
          <w:sz w:val="24"/>
        </w:rPr>
        <w:t>Direct surplus inco</w:t>
      </w:r>
      <w:r>
        <w:rPr>
          <w:color w:val="002060"/>
          <w:sz w:val="24"/>
        </w:rPr>
        <w:t>me into superannuation; deferring the early repayment</w:t>
      </w:r>
      <w:r w:rsidRPr="00824056">
        <w:rPr>
          <w:color w:val="002060"/>
          <w:sz w:val="24"/>
        </w:rPr>
        <w:t xml:space="preserve"> </w:t>
      </w:r>
      <w:r>
        <w:rPr>
          <w:color w:val="002060"/>
          <w:sz w:val="24"/>
        </w:rPr>
        <w:t xml:space="preserve">of the </w:t>
      </w:r>
      <w:r w:rsidRPr="00824056">
        <w:rPr>
          <w:color w:val="002060"/>
          <w:sz w:val="24"/>
        </w:rPr>
        <w:t>home loan</w:t>
      </w:r>
    </w:p>
    <w:p w14:paraId="030765D5" w14:textId="77777777" w:rsidR="002F74F5" w:rsidRDefault="002F74F5" w:rsidP="002F74F5">
      <w:pPr>
        <w:jc w:val="left"/>
      </w:pPr>
    </w:p>
    <w:tbl>
      <w:tblPr>
        <w:tblStyle w:val="TableGrid"/>
        <w:tblW w:w="0" w:type="auto"/>
        <w:tblInd w:w="76" w:type="dxa"/>
        <w:tblLook w:val="04A0" w:firstRow="1" w:lastRow="0" w:firstColumn="1" w:lastColumn="0" w:noHBand="0" w:noVBand="1"/>
      </w:tblPr>
      <w:tblGrid>
        <w:gridCol w:w="2754"/>
        <w:gridCol w:w="6798"/>
      </w:tblGrid>
      <w:tr w:rsidR="00771F2D" w:rsidRPr="00E51BEA" w14:paraId="0EEE3F99" w14:textId="77777777" w:rsidTr="00B45A3A">
        <w:tc>
          <w:tcPr>
            <w:tcW w:w="2754" w:type="dxa"/>
          </w:tcPr>
          <w:p w14:paraId="2EF97954" w14:textId="77777777" w:rsidR="00771F2D" w:rsidRPr="00EA0A06" w:rsidRDefault="00771F2D"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3B0565F" w14:textId="77777777" w:rsidR="00771F2D" w:rsidRPr="00E51BEA" w:rsidRDefault="00771F2D" w:rsidP="00B45A3A">
            <w:pPr>
              <w:pStyle w:val="TableHeader2"/>
              <w:rPr>
                <w:rFonts w:ascii="Calibri Light" w:hAnsi="Calibri Light"/>
              </w:rPr>
            </w:pPr>
          </w:p>
        </w:tc>
      </w:tr>
      <w:tr w:rsidR="00771F2D" w:rsidRPr="00E51BEA" w14:paraId="7F566930" w14:textId="77777777" w:rsidTr="00B45A3A">
        <w:tc>
          <w:tcPr>
            <w:tcW w:w="2754" w:type="dxa"/>
          </w:tcPr>
          <w:p w14:paraId="650A9630" w14:textId="77777777" w:rsidR="00771F2D" w:rsidRPr="00EA0A06" w:rsidRDefault="00771F2D" w:rsidP="00E164DA">
            <w:pPr>
              <w:pStyle w:val="Instructions"/>
            </w:pPr>
            <w:r w:rsidRPr="00EA0A06">
              <w:t>Title</w:t>
            </w:r>
          </w:p>
        </w:tc>
        <w:tc>
          <w:tcPr>
            <w:tcW w:w="6798" w:type="dxa"/>
          </w:tcPr>
          <w:p w14:paraId="6230A5D3" w14:textId="783A2E96" w:rsidR="00771F2D" w:rsidRPr="00E51BEA" w:rsidRDefault="00771F2D" w:rsidP="00771F2D">
            <w:pPr>
              <w:jc w:val="left"/>
            </w:pPr>
            <w:r w:rsidRPr="00B31DB2">
              <w:t xml:space="preserve">Direct surplus income into </w:t>
            </w:r>
            <w:r>
              <w:t>superannuation; deferring the early repayments of the home loan.</w:t>
            </w:r>
          </w:p>
        </w:tc>
      </w:tr>
      <w:tr w:rsidR="00771F2D" w:rsidRPr="00E51BEA" w14:paraId="22F639FE" w14:textId="77777777" w:rsidTr="00B45A3A">
        <w:tc>
          <w:tcPr>
            <w:tcW w:w="2754" w:type="dxa"/>
          </w:tcPr>
          <w:p w14:paraId="310E58F7" w14:textId="77777777" w:rsidR="00771F2D" w:rsidRPr="00EA0A06" w:rsidRDefault="00771F2D" w:rsidP="00E164DA">
            <w:pPr>
              <w:pStyle w:val="Instructions"/>
            </w:pPr>
            <w:r w:rsidRPr="00EA0A06">
              <w:t>Explanation</w:t>
            </w:r>
          </w:p>
        </w:tc>
        <w:tc>
          <w:tcPr>
            <w:tcW w:w="6798" w:type="dxa"/>
          </w:tcPr>
          <w:p w14:paraId="0E77BF65" w14:textId="571FCAAB" w:rsidR="00771F2D" w:rsidRPr="006810F2" w:rsidRDefault="00771F2D" w:rsidP="00E164DA">
            <w:pPr>
              <w:pStyle w:val="Instructions"/>
              <w:rPr>
                <w:highlight w:val="green"/>
              </w:rPr>
            </w:pPr>
          </w:p>
        </w:tc>
      </w:tr>
      <w:tr w:rsidR="00771F2D" w:rsidRPr="00E51BEA" w14:paraId="285E63AC" w14:textId="77777777" w:rsidTr="00B45A3A">
        <w:tc>
          <w:tcPr>
            <w:tcW w:w="2754" w:type="dxa"/>
          </w:tcPr>
          <w:p w14:paraId="5B1B96DE" w14:textId="77777777" w:rsidR="00771F2D" w:rsidRPr="00EA0A06" w:rsidRDefault="00771F2D" w:rsidP="00E164DA">
            <w:pPr>
              <w:pStyle w:val="Instructions"/>
            </w:pPr>
            <w:r w:rsidRPr="00EA0A06">
              <w:t>In your Best Interest</w:t>
            </w:r>
          </w:p>
        </w:tc>
        <w:tc>
          <w:tcPr>
            <w:tcW w:w="6798" w:type="dxa"/>
          </w:tcPr>
          <w:p w14:paraId="4C77BB6F" w14:textId="6964C8F2" w:rsidR="00771F2D" w:rsidRPr="006810F2" w:rsidRDefault="00771F2D" w:rsidP="00E164DA">
            <w:pPr>
              <w:pStyle w:val="Instructions"/>
              <w:rPr>
                <w:highlight w:val="green"/>
              </w:rPr>
            </w:pPr>
          </w:p>
        </w:tc>
      </w:tr>
      <w:tr w:rsidR="00771F2D" w:rsidRPr="00E51BEA" w14:paraId="658CCF24" w14:textId="77777777" w:rsidTr="00B45A3A">
        <w:tc>
          <w:tcPr>
            <w:tcW w:w="2754" w:type="dxa"/>
          </w:tcPr>
          <w:p w14:paraId="482288DD" w14:textId="77777777" w:rsidR="00771F2D" w:rsidRPr="00EA0A06" w:rsidRDefault="00771F2D" w:rsidP="00E164DA">
            <w:pPr>
              <w:pStyle w:val="Instructions"/>
            </w:pPr>
            <w:r w:rsidRPr="00EA0A06">
              <w:t>Further Detail</w:t>
            </w:r>
          </w:p>
        </w:tc>
        <w:tc>
          <w:tcPr>
            <w:tcW w:w="6798" w:type="dxa"/>
          </w:tcPr>
          <w:p w14:paraId="20EDB9B2" w14:textId="3746E784" w:rsidR="007E0F48" w:rsidRDefault="007E0F48" w:rsidP="007E0F48">
            <w:pPr>
              <w:jc w:val="left"/>
            </w:pPr>
            <w:r>
              <w:t xml:space="preserve">Paying surplus monies (from income or savings) into superannuation, rather than prioritising the repayment of the home loan, is justified if the value of this strategy exceeds the value of the potential reduction in debt. </w:t>
            </w:r>
            <w:r w:rsidR="009A0C87" w:rsidRPr="009D6003">
              <w:rPr>
                <w:i/>
                <w:sz w:val="18"/>
                <w:szCs w:val="18"/>
              </w:rPr>
              <w:t>(</w:t>
            </w:r>
            <w:r w:rsidR="009A0C87">
              <w:rPr>
                <w:i/>
                <w:sz w:val="18"/>
                <w:szCs w:val="18"/>
              </w:rPr>
              <w:t>s</w:t>
            </w:r>
            <w:r w:rsidR="009A0C87" w:rsidRPr="009D6003">
              <w:rPr>
                <w:i/>
                <w:sz w:val="18"/>
                <w:szCs w:val="18"/>
              </w:rPr>
              <w:t xml:space="preserve">ee the </w:t>
            </w:r>
            <w:r w:rsidR="009A0C87">
              <w:rPr>
                <w:i/>
                <w:sz w:val="18"/>
                <w:szCs w:val="18"/>
              </w:rPr>
              <w:t>calculation</w:t>
            </w:r>
            <w:r w:rsidR="009A0C87" w:rsidRPr="009D6003">
              <w:rPr>
                <w:i/>
                <w:sz w:val="18"/>
                <w:szCs w:val="18"/>
              </w:rPr>
              <w:t xml:space="preserve"> provided</w:t>
            </w:r>
            <w:r w:rsidR="009A0C87">
              <w:rPr>
                <w:i/>
                <w:sz w:val="18"/>
                <w:szCs w:val="18"/>
              </w:rPr>
              <w:t xml:space="preserve"> below</w:t>
            </w:r>
            <w:r w:rsidR="009A0C87" w:rsidRPr="009D6003">
              <w:rPr>
                <w:i/>
                <w:sz w:val="18"/>
                <w:szCs w:val="18"/>
              </w:rPr>
              <w:t>.)</w:t>
            </w:r>
          </w:p>
          <w:p w14:paraId="5AF9B2E3" w14:textId="77777777" w:rsidR="007E0F48" w:rsidRDefault="007E0F48" w:rsidP="007E0F48">
            <w:pPr>
              <w:jc w:val="left"/>
            </w:pPr>
          </w:p>
          <w:p w14:paraId="38508469" w14:textId="77777777" w:rsidR="007E0F48" w:rsidRDefault="007E0F48" w:rsidP="007E0F48">
            <w:pPr>
              <w:jc w:val="left"/>
            </w:pPr>
            <w:r>
              <w:t>This should be rechecked by an expert annually using conservative investment assumptions.</w:t>
            </w:r>
          </w:p>
          <w:p w14:paraId="03F470BD" w14:textId="77777777" w:rsidR="007E0F48" w:rsidRDefault="007E0F48" w:rsidP="007E0F48">
            <w:pPr>
              <w:jc w:val="left"/>
            </w:pPr>
          </w:p>
          <w:p w14:paraId="5395A5CD" w14:textId="77777777" w:rsidR="007E0F48" w:rsidRDefault="007E0F48" w:rsidP="007E0F48">
            <w:pPr>
              <w:jc w:val="left"/>
            </w:pPr>
            <w:r>
              <w:t>It is assumed that a portion of this extra, accrued superannuation will eventually be applied to any outstanding home loan balance when a superannuation condition of release is met.</w:t>
            </w:r>
          </w:p>
          <w:p w14:paraId="6FE955C8" w14:textId="77777777" w:rsidR="00771F2D" w:rsidRPr="006810F2" w:rsidRDefault="00771F2D" w:rsidP="00E164DA">
            <w:pPr>
              <w:pStyle w:val="Instructions"/>
              <w:rPr>
                <w:highlight w:val="green"/>
              </w:rPr>
            </w:pPr>
          </w:p>
        </w:tc>
      </w:tr>
    </w:tbl>
    <w:p w14:paraId="42607F97" w14:textId="77777777" w:rsidR="007E0F48" w:rsidRDefault="007E0F48" w:rsidP="00E164DA">
      <w:pPr>
        <w:pStyle w:val="Instructions"/>
      </w:pPr>
    </w:p>
    <w:p w14:paraId="4FF6FFBC" w14:textId="77777777" w:rsidR="007E0F48" w:rsidRDefault="007E0F48" w:rsidP="00E164DA">
      <w:pPr>
        <w:pStyle w:val="Instructions"/>
      </w:pPr>
    </w:p>
    <w:p w14:paraId="391895A6" w14:textId="2F8D049E" w:rsidR="007E0F48" w:rsidRPr="00B64DFB" w:rsidRDefault="007E0F48" w:rsidP="00882850">
      <w:pPr>
        <w:pStyle w:val="Instructions"/>
      </w:pPr>
      <w:bookmarkStart w:id="12" w:name="_Hlk503533147"/>
      <w:r>
        <w:t>Further Detail (continued)</w:t>
      </w:r>
    </w:p>
    <w:tbl>
      <w:tblPr>
        <w:tblStyle w:val="TableGrid"/>
        <w:tblW w:w="0" w:type="auto"/>
        <w:tblLook w:val="04A0" w:firstRow="1" w:lastRow="0" w:firstColumn="1" w:lastColumn="0" w:noHBand="0" w:noVBand="1"/>
      </w:tblPr>
      <w:tblGrid>
        <w:gridCol w:w="3823"/>
        <w:gridCol w:w="2693"/>
        <w:gridCol w:w="2500"/>
      </w:tblGrid>
      <w:tr w:rsidR="002F74F5" w14:paraId="7B77CB25" w14:textId="77777777" w:rsidTr="00020C70">
        <w:tc>
          <w:tcPr>
            <w:tcW w:w="3823" w:type="dxa"/>
            <w:shd w:val="clear" w:color="auto" w:fill="D9D9D9" w:themeFill="background1" w:themeFillShade="D9"/>
          </w:tcPr>
          <w:bookmarkEnd w:id="12"/>
          <w:p w14:paraId="522256BA" w14:textId="77777777" w:rsidR="002F74F5" w:rsidRPr="00BD7080" w:rsidRDefault="002F74F5" w:rsidP="00020C70">
            <w:pPr>
              <w:jc w:val="center"/>
              <w:rPr>
                <w:color w:val="7030A0"/>
                <w:highlight w:val="yellow"/>
              </w:rPr>
            </w:pPr>
            <w:r w:rsidRPr="00BD7080">
              <w:rPr>
                <w:rFonts w:ascii="Arial Narrow" w:hAnsi="Arial Narrow"/>
                <w:b/>
                <w:color w:val="7030A0"/>
                <w:highlight w:val="yellow"/>
              </w:rPr>
              <w:t>[Relevant Financial Year]</w:t>
            </w:r>
          </w:p>
        </w:tc>
        <w:tc>
          <w:tcPr>
            <w:tcW w:w="2693" w:type="dxa"/>
            <w:shd w:val="clear" w:color="auto" w:fill="D9D9D9" w:themeFill="background1" w:themeFillShade="D9"/>
          </w:tcPr>
          <w:p w14:paraId="0A65FE62" w14:textId="77777777" w:rsidR="002F74F5" w:rsidRPr="00CE2EA1" w:rsidRDefault="002F74F5" w:rsidP="00020C70">
            <w:pPr>
              <w:jc w:val="center"/>
              <w:rPr>
                <w:rFonts w:ascii="Arial Narrow" w:hAnsi="Arial Narrow"/>
                <w:b/>
              </w:rPr>
            </w:pPr>
            <w:r w:rsidRPr="00CE2EA1">
              <w:rPr>
                <w:rFonts w:ascii="Arial Narrow" w:hAnsi="Arial Narrow"/>
                <w:b/>
              </w:rPr>
              <w:t>Home Loan</w:t>
            </w:r>
          </w:p>
        </w:tc>
        <w:tc>
          <w:tcPr>
            <w:tcW w:w="2500" w:type="dxa"/>
            <w:shd w:val="clear" w:color="auto" w:fill="D9D9D9" w:themeFill="background1" w:themeFillShade="D9"/>
          </w:tcPr>
          <w:p w14:paraId="05DC9CCB" w14:textId="77777777" w:rsidR="002F74F5" w:rsidRPr="00CE2EA1" w:rsidRDefault="002F74F5" w:rsidP="00020C70">
            <w:pPr>
              <w:jc w:val="center"/>
              <w:rPr>
                <w:rFonts w:ascii="Arial Narrow" w:hAnsi="Arial Narrow"/>
                <w:b/>
              </w:rPr>
            </w:pPr>
            <w:r w:rsidRPr="00CE2EA1">
              <w:rPr>
                <w:rFonts w:ascii="Arial Narrow" w:hAnsi="Arial Narrow"/>
                <w:b/>
              </w:rPr>
              <w:t>Superannuation</w:t>
            </w:r>
          </w:p>
        </w:tc>
      </w:tr>
      <w:tr w:rsidR="002F74F5" w14:paraId="7EFA4B61" w14:textId="77777777" w:rsidTr="00020C70">
        <w:tc>
          <w:tcPr>
            <w:tcW w:w="3823" w:type="dxa"/>
            <w:shd w:val="clear" w:color="auto" w:fill="F2F2F2" w:themeFill="background1" w:themeFillShade="F2"/>
          </w:tcPr>
          <w:p w14:paraId="3DB93B82" w14:textId="77777777" w:rsidR="002F74F5" w:rsidRPr="00CE2EA1" w:rsidRDefault="002F74F5" w:rsidP="00020C70">
            <w:pPr>
              <w:jc w:val="left"/>
              <w:rPr>
                <w:rFonts w:ascii="Arial Narrow" w:hAnsi="Arial Narrow"/>
              </w:rPr>
            </w:pPr>
            <w:r>
              <w:rPr>
                <w:rFonts w:ascii="Arial Narrow" w:hAnsi="Arial Narrow"/>
              </w:rPr>
              <w:t xml:space="preserve">Pre-tax value of Surplus Payment </w:t>
            </w:r>
            <w:r w:rsidRPr="00572FBE">
              <w:rPr>
                <w:rFonts w:ascii="Arial Narrow" w:hAnsi="Arial Narrow"/>
                <w:b/>
                <w:highlight w:val="yellow"/>
                <w:vertAlign w:val="superscript"/>
              </w:rPr>
              <w:t>[1]</w:t>
            </w:r>
          </w:p>
        </w:tc>
        <w:tc>
          <w:tcPr>
            <w:tcW w:w="5193" w:type="dxa"/>
            <w:gridSpan w:val="2"/>
          </w:tcPr>
          <w:p w14:paraId="062CC7D1"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$[___</w:t>
            </w:r>
            <w:r>
              <w:rPr>
                <w:rFonts w:ascii="Arial Narrow" w:hAnsi="Arial Narrow"/>
                <w:color w:val="7030A0"/>
                <w:sz w:val="18"/>
                <w:szCs w:val="18"/>
                <w:highlight w:val="yellow"/>
              </w:rPr>
              <w:t>X</w:t>
            </w:r>
            <w:r w:rsidRPr="00330FFD">
              <w:rPr>
                <w:rFonts w:ascii="Arial Narrow" w:hAnsi="Arial Narrow"/>
                <w:color w:val="7030A0"/>
                <w:sz w:val="18"/>
                <w:szCs w:val="18"/>
                <w:highlight w:val="yellow"/>
              </w:rPr>
              <w:t>__</w:t>
            </w:r>
            <w:r>
              <w:rPr>
                <w:rFonts w:ascii="Arial Narrow" w:hAnsi="Arial Narrow"/>
                <w:color w:val="7030A0"/>
                <w:sz w:val="18"/>
                <w:szCs w:val="18"/>
                <w:highlight w:val="yellow"/>
              </w:rPr>
              <w:t>_</w:t>
            </w:r>
            <w:r w:rsidRPr="00330FFD">
              <w:rPr>
                <w:rFonts w:ascii="Arial Narrow" w:hAnsi="Arial Narrow"/>
                <w:color w:val="7030A0"/>
                <w:sz w:val="18"/>
                <w:szCs w:val="18"/>
                <w:highlight w:val="yellow"/>
              </w:rPr>
              <w:t>_]</w:t>
            </w:r>
          </w:p>
        </w:tc>
      </w:tr>
      <w:tr w:rsidR="002F74F5" w14:paraId="1B97701C" w14:textId="77777777" w:rsidTr="00020C70">
        <w:tc>
          <w:tcPr>
            <w:tcW w:w="3823" w:type="dxa"/>
            <w:shd w:val="clear" w:color="auto" w:fill="F2F2F2" w:themeFill="background1" w:themeFillShade="F2"/>
          </w:tcPr>
          <w:p w14:paraId="632AB9C1" w14:textId="77777777" w:rsidR="002F74F5" w:rsidRPr="00CE2EA1" w:rsidRDefault="002F74F5" w:rsidP="00020C70">
            <w:pPr>
              <w:jc w:val="left"/>
              <w:rPr>
                <w:rFonts w:ascii="Arial Narrow" w:hAnsi="Arial Narrow"/>
              </w:rPr>
            </w:pPr>
            <w:r>
              <w:rPr>
                <w:rFonts w:ascii="Arial Narrow" w:hAnsi="Arial Narrow"/>
              </w:rPr>
              <w:t>Post-tax value of Surplus Payment</w:t>
            </w:r>
          </w:p>
        </w:tc>
        <w:tc>
          <w:tcPr>
            <w:tcW w:w="2693" w:type="dxa"/>
          </w:tcPr>
          <w:p w14:paraId="79250224"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$[_</w:t>
            </w:r>
            <w:r>
              <w:rPr>
                <w:rFonts w:ascii="Arial Narrow" w:hAnsi="Arial Narrow"/>
                <w:color w:val="7030A0"/>
                <w:sz w:val="18"/>
                <w:szCs w:val="18"/>
                <w:highlight w:val="yellow"/>
              </w:rPr>
              <w:t>X * (1-</w:t>
            </w:r>
            <w:proofErr w:type="gramStart"/>
            <w:r>
              <w:rPr>
                <w:rFonts w:ascii="Arial Narrow" w:hAnsi="Arial Narrow"/>
                <w:color w:val="7030A0"/>
                <w:sz w:val="18"/>
                <w:szCs w:val="18"/>
                <w:highlight w:val="yellow"/>
              </w:rPr>
              <w:t>MTR)_</w:t>
            </w:r>
            <w:proofErr w:type="gramEnd"/>
            <w:r w:rsidRPr="00330FFD">
              <w:rPr>
                <w:rFonts w:ascii="Arial Narrow" w:hAnsi="Arial Narrow"/>
                <w:color w:val="7030A0"/>
                <w:sz w:val="18"/>
                <w:szCs w:val="18"/>
                <w:highlight w:val="yellow"/>
              </w:rPr>
              <w:t>]</w:t>
            </w:r>
            <w:r>
              <w:rPr>
                <w:rFonts w:ascii="Arial Narrow" w:hAnsi="Arial Narrow"/>
                <w:color w:val="7030A0"/>
                <w:sz w:val="18"/>
                <w:szCs w:val="18"/>
              </w:rPr>
              <w:t xml:space="preserve"> </w:t>
            </w:r>
            <w:r w:rsidRPr="00572FBE">
              <w:rPr>
                <w:rFonts w:ascii="Arial Narrow" w:hAnsi="Arial Narrow"/>
                <w:b/>
                <w:sz w:val="18"/>
                <w:szCs w:val="18"/>
                <w:highlight w:val="yellow"/>
                <w:vertAlign w:val="superscript"/>
              </w:rPr>
              <w:t>[1]</w:t>
            </w:r>
          </w:p>
        </w:tc>
        <w:tc>
          <w:tcPr>
            <w:tcW w:w="2500" w:type="dxa"/>
          </w:tcPr>
          <w:p w14:paraId="1BD027E6"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[_X * (1-0.</w:t>
            </w:r>
            <w:proofErr w:type="gramStart"/>
            <w:r>
              <w:rPr>
                <w:rFonts w:ascii="Arial Narrow" w:hAnsi="Arial Narrow"/>
                <w:color w:val="7030A0"/>
                <w:sz w:val="18"/>
                <w:szCs w:val="18"/>
                <w:highlight w:val="yellow"/>
              </w:rPr>
              <w:t>15)</w:t>
            </w:r>
            <w:r w:rsidRPr="00330FFD">
              <w:rPr>
                <w:rFonts w:ascii="Arial Narrow" w:hAnsi="Arial Narrow"/>
                <w:color w:val="7030A0"/>
                <w:sz w:val="18"/>
                <w:szCs w:val="18"/>
                <w:highlight w:val="yellow"/>
              </w:rPr>
              <w:t>_</w:t>
            </w:r>
            <w:proofErr w:type="gramEnd"/>
            <w:r w:rsidRPr="00330FFD">
              <w:rPr>
                <w:rFonts w:ascii="Arial Narrow" w:hAnsi="Arial Narrow"/>
                <w:color w:val="7030A0"/>
                <w:sz w:val="18"/>
                <w:szCs w:val="18"/>
                <w:highlight w:val="yellow"/>
              </w:rPr>
              <w:t>]</w:t>
            </w:r>
            <w:r>
              <w:rPr>
                <w:rFonts w:ascii="Arial Narrow" w:hAnsi="Arial Narrow"/>
                <w:color w:val="7030A0"/>
                <w:sz w:val="18"/>
                <w:szCs w:val="18"/>
              </w:rPr>
              <w:t xml:space="preserve"> </w:t>
            </w:r>
            <w:r w:rsidRPr="000C72F4">
              <w:rPr>
                <w:rFonts w:ascii="Arial Narrow" w:hAnsi="Arial Narrow"/>
                <w:sz w:val="18"/>
                <w:szCs w:val="18"/>
                <w:highlight w:val="yellow"/>
                <w:vertAlign w:val="superscript"/>
              </w:rPr>
              <w:t>[1]</w:t>
            </w:r>
          </w:p>
        </w:tc>
      </w:tr>
      <w:tr w:rsidR="002F74F5" w14:paraId="122387A5" w14:textId="77777777" w:rsidTr="00020C70">
        <w:tc>
          <w:tcPr>
            <w:tcW w:w="3823" w:type="dxa"/>
            <w:shd w:val="clear" w:color="auto" w:fill="F2F2F2" w:themeFill="background1" w:themeFillShade="F2"/>
          </w:tcPr>
          <w:p w14:paraId="1BB49593" w14:textId="77777777" w:rsidR="002F74F5" w:rsidRPr="00CE2EA1" w:rsidRDefault="002F74F5" w:rsidP="00020C70">
            <w:pPr>
              <w:jc w:val="left"/>
              <w:rPr>
                <w:rFonts w:ascii="Arial Narrow" w:hAnsi="Arial Narrow"/>
              </w:rPr>
            </w:pPr>
            <w:r>
              <w:rPr>
                <w:rFonts w:ascii="Arial Narrow" w:hAnsi="Arial Narrow"/>
              </w:rPr>
              <w:t xml:space="preserve">Increase in Home Equity </w:t>
            </w:r>
            <w:r w:rsidRPr="001B4BE6">
              <w:rPr>
                <w:rFonts w:ascii="Arial Narrow" w:hAnsi="Arial Narrow"/>
                <w:b/>
                <w:highlight w:val="yellow"/>
                <w:vertAlign w:val="superscript"/>
              </w:rPr>
              <w:t>[2]</w:t>
            </w:r>
          </w:p>
        </w:tc>
        <w:tc>
          <w:tcPr>
            <w:tcW w:w="2693" w:type="dxa"/>
          </w:tcPr>
          <w:p w14:paraId="79DAF31A"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$[_</w:t>
            </w:r>
            <w:r>
              <w:rPr>
                <w:rFonts w:ascii="Arial Narrow" w:hAnsi="Arial Narrow"/>
                <w:color w:val="7030A0"/>
                <w:sz w:val="18"/>
                <w:szCs w:val="18"/>
                <w:highlight w:val="yellow"/>
              </w:rPr>
              <w:t>X * (1-</w:t>
            </w:r>
            <w:proofErr w:type="gramStart"/>
            <w:r>
              <w:rPr>
                <w:rFonts w:ascii="Arial Narrow" w:hAnsi="Arial Narrow"/>
                <w:color w:val="7030A0"/>
                <w:sz w:val="18"/>
                <w:szCs w:val="18"/>
                <w:highlight w:val="yellow"/>
              </w:rPr>
              <w:t>MTR)_</w:t>
            </w:r>
            <w:proofErr w:type="gramEnd"/>
            <w:r w:rsidRPr="00330FFD">
              <w:rPr>
                <w:rFonts w:ascii="Arial Narrow" w:hAnsi="Arial Narrow"/>
                <w:color w:val="7030A0"/>
                <w:sz w:val="18"/>
                <w:szCs w:val="18"/>
                <w:highlight w:val="yellow"/>
              </w:rPr>
              <w:t>]</w:t>
            </w:r>
          </w:p>
        </w:tc>
        <w:tc>
          <w:tcPr>
            <w:tcW w:w="2500" w:type="dxa"/>
            <w:shd w:val="clear" w:color="auto" w:fill="D9D9D9" w:themeFill="background1" w:themeFillShade="D9"/>
          </w:tcPr>
          <w:p w14:paraId="5FAD3051" w14:textId="77777777" w:rsidR="002F74F5" w:rsidRPr="00CE2EA1" w:rsidRDefault="002F74F5" w:rsidP="00020C70">
            <w:pPr>
              <w:jc w:val="center"/>
              <w:rPr>
                <w:rFonts w:ascii="Arial Narrow" w:hAnsi="Arial Narrow"/>
              </w:rPr>
            </w:pPr>
          </w:p>
        </w:tc>
      </w:tr>
      <w:tr w:rsidR="002F74F5" w14:paraId="77E1E0F8" w14:textId="77777777" w:rsidTr="00020C70">
        <w:tc>
          <w:tcPr>
            <w:tcW w:w="3823" w:type="dxa"/>
            <w:shd w:val="clear" w:color="auto" w:fill="F2F2F2" w:themeFill="background1" w:themeFillShade="F2"/>
          </w:tcPr>
          <w:p w14:paraId="78176DD9" w14:textId="77777777" w:rsidR="002F74F5" w:rsidRPr="00CE2EA1" w:rsidRDefault="002F74F5" w:rsidP="00020C70">
            <w:pPr>
              <w:jc w:val="left"/>
              <w:rPr>
                <w:rFonts w:ascii="Arial Narrow" w:hAnsi="Arial Narrow"/>
              </w:rPr>
            </w:pPr>
            <w:r>
              <w:rPr>
                <w:rFonts w:ascii="Arial Narrow" w:hAnsi="Arial Narrow"/>
              </w:rPr>
              <w:t xml:space="preserve">Increase in Superannuation Balance </w:t>
            </w:r>
            <w:r w:rsidRPr="001B4BE6">
              <w:rPr>
                <w:rFonts w:ascii="Arial Narrow" w:hAnsi="Arial Narrow"/>
                <w:b/>
                <w:highlight w:val="yellow"/>
                <w:vertAlign w:val="superscript"/>
              </w:rPr>
              <w:t>[2]</w:t>
            </w:r>
          </w:p>
        </w:tc>
        <w:tc>
          <w:tcPr>
            <w:tcW w:w="2693" w:type="dxa"/>
            <w:shd w:val="clear" w:color="auto" w:fill="D9D9D9" w:themeFill="background1" w:themeFillShade="D9"/>
          </w:tcPr>
          <w:p w14:paraId="35DE24C7" w14:textId="77777777" w:rsidR="002F74F5" w:rsidRPr="00CE2EA1" w:rsidRDefault="002F74F5" w:rsidP="00020C70">
            <w:pPr>
              <w:jc w:val="center"/>
              <w:rPr>
                <w:rFonts w:ascii="Arial Narrow" w:hAnsi="Arial Narrow"/>
              </w:rPr>
            </w:pPr>
          </w:p>
        </w:tc>
        <w:tc>
          <w:tcPr>
            <w:tcW w:w="2500" w:type="dxa"/>
          </w:tcPr>
          <w:p w14:paraId="2635C561"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[_X * (1-0.</w:t>
            </w:r>
            <w:proofErr w:type="gramStart"/>
            <w:r>
              <w:rPr>
                <w:rFonts w:ascii="Arial Narrow" w:hAnsi="Arial Narrow"/>
                <w:color w:val="7030A0"/>
                <w:sz w:val="18"/>
                <w:szCs w:val="18"/>
                <w:highlight w:val="yellow"/>
              </w:rPr>
              <w:t>15)</w:t>
            </w:r>
            <w:r w:rsidRPr="00330FFD">
              <w:rPr>
                <w:rFonts w:ascii="Arial Narrow" w:hAnsi="Arial Narrow"/>
                <w:color w:val="7030A0"/>
                <w:sz w:val="18"/>
                <w:szCs w:val="18"/>
                <w:highlight w:val="yellow"/>
              </w:rPr>
              <w:t>_</w:t>
            </w:r>
            <w:proofErr w:type="gramEnd"/>
            <w:r w:rsidRPr="00330FFD">
              <w:rPr>
                <w:rFonts w:ascii="Arial Narrow" w:hAnsi="Arial Narrow"/>
                <w:color w:val="7030A0"/>
                <w:sz w:val="18"/>
                <w:szCs w:val="18"/>
                <w:highlight w:val="yellow"/>
              </w:rPr>
              <w:t>]</w:t>
            </w:r>
          </w:p>
        </w:tc>
      </w:tr>
      <w:tr w:rsidR="002F74F5" w14:paraId="299081F9" w14:textId="77777777" w:rsidTr="00020C70">
        <w:tc>
          <w:tcPr>
            <w:tcW w:w="3823" w:type="dxa"/>
          </w:tcPr>
          <w:p w14:paraId="2F8075EB" w14:textId="77777777" w:rsidR="002F74F5" w:rsidRPr="00CE2EA1" w:rsidRDefault="002F74F5" w:rsidP="00020C70">
            <w:pPr>
              <w:jc w:val="left"/>
              <w:rPr>
                <w:rFonts w:ascii="Arial Narrow" w:hAnsi="Arial Narrow"/>
              </w:rPr>
            </w:pPr>
            <w:r>
              <w:rPr>
                <w:rFonts w:ascii="Arial Narrow" w:hAnsi="Arial Narrow"/>
              </w:rPr>
              <w:t xml:space="preserve">Reduction in Ongoing Interest Repayments </w:t>
            </w:r>
            <w:r w:rsidRPr="001B4BE6">
              <w:rPr>
                <w:rFonts w:ascii="Arial Narrow" w:hAnsi="Arial Narrow"/>
                <w:b/>
                <w:highlight w:val="yellow"/>
                <w:vertAlign w:val="superscript"/>
              </w:rPr>
              <w:t>[3]</w:t>
            </w:r>
          </w:p>
        </w:tc>
        <w:tc>
          <w:tcPr>
            <w:tcW w:w="2693" w:type="dxa"/>
          </w:tcPr>
          <w:p w14:paraId="6E387A88"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[_X * (1-MTR) * Existing Home Loan Rate pa</w:t>
            </w:r>
            <w:r w:rsidRPr="00330FFD">
              <w:rPr>
                <w:rFonts w:ascii="Arial Narrow" w:hAnsi="Arial Narrow"/>
                <w:color w:val="7030A0"/>
                <w:sz w:val="18"/>
                <w:szCs w:val="18"/>
                <w:highlight w:val="yellow"/>
              </w:rPr>
              <w:t>_]</w:t>
            </w:r>
          </w:p>
        </w:tc>
        <w:tc>
          <w:tcPr>
            <w:tcW w:w="2500" w:type="dxa"/>
            <w:shd w:val="clear" w:color="auto" w:fill="D9D9D9" w:themeFill="background1" w:themeFillShade="D9"/>
          </w:tcPr>
          <w:p w14:paraId="07C19C29" w14:textId="77777777" w:rsidR="002F74F5" w:rsidRPr="00CE2EA1" w:rsidRDefault="002F74F5" w:rsidP="00020C70">
            <w:pPr>
              <w:jc w:val="center"/>
              <w:rPr>
                <w:rFonts w:ascii="Arial Narrow" w:hAnsi="Arial Narrow"/>
              </w:rPr>
            </w:pPr>
          </w:p>
        </w:tc>
      </w:tr>
      <w:tr w:rsidR="002F74F5" w14:paraId="03D7AD74" w14:textId="77777777" w:rsidTr="00020C70">
        <w:tc>
          <w:tcPr>
            <w:tcW w:w="3823" w:type="dxa"/>
          </w:tcPr>
          <w:p w14:paraId="27D70653" w14:textId="77777777" w:rsidR="002F74F5" w:rsidRPr="00CE2EA1" w:rsidRDefault="002F74F5" w:rsidP="00020C70">
            <w:pPr>
              <w:jc w:val="left"/>
              <w:rPr>
                <w:rFonts w:ascii="Arial Narrow" w:hAnsi="Arial Narrow"/>
              </w:rPr>
            </w:pPr>
            <w:r>
              <w:rPr>
                <w:rFonts w:ascii="Arial Narrow" w:hAnsi="Arial Narrow"/>
              </w:rPr>
              <w:t xml:space="preserve">Superannuation Earnings </w:t>
            </w:r>
            <w:r w:rsidRPr="001B4BE6">
              <w:rPr>
                <w:rFonts w:ascii="Arial Narrow" w:hAnsi="Arial Narrow"/>
                <w:b/>
                <w:highlight w:val="yellow"/>
                <w:vertAlign w:val="superscript"/>
              </w:rPr>
              <w:t>[3]</w:t>
            </w:r>
          </w:p>
        </w:tc>
        <w:tc>
          <w:tcPr>
            <w:tcW w:w="2693" w:type="dxa"/>
            <w:shd w:val="clear" w:color="auto" w:fill="D9D9D9" w:themeFill="background1" w:themeFillShade="D9"/>
          </w:tcPr>
          <w:p w14:paraId="7F1A61F5" w14:textId="77777777" w:rsidR="002F74F5" w:rsidRPr="00CE2EA1" w:rsidRDefault="002F74F5" w:rsidP="00020C70">
            <w:pPr>
              <w:jc w:val="left"/>
              <w:rPr>
                <w:rFonts w:ascii="Arial Narrow" w:hAnsi="Arial Narrow"/>
              </w:rPr>
            </w:pPr>
          </w:p>
        </w:tc>
        <w:tc>
          <w:tcPr>
            <w:tcW w:w="2500" w:type="dxa"/>
          </w:tcPr>
          <w:p w14:paraId="322D02F8" w14:textId="77777777" w:rsidR="002F74F5" w:rsidRPr="00CE2EA1" w:rsidRDefault="002F74F5" w:rsidP="00020C70">
            <w:pPr>
              <w:jc w:val="left"/>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 xml:space="preserve">[_X * (1-0.15) * Conservative earnings assumption pa </w:t>
            </w:r>
            <w:r w:rsidRPr="004401A5">
              <w:rPr>
                <w:rFonts w:ascii="Arial Narrow" w:hAnsi="Arial Narrow"/>
                <w:b/>
                <w:sz w:val="18"/>
                <w:szCs w:val="18"/>
                <w:vertAlign w:val="superscript"/>
              </w:rPr>
              <w:t>[</w:t>
            </w:r>
            <w:proofErr w:type="gramStart"/>
            <w:r w:rsidRPr="004401A5">
              <w:rPr>
                <w:rFonts w:ascii="Arial Narrow" w:hAnsi="Arial Narrow"/>
                <w:b/>
                <w:sz w:val="18"/>
                <w:szCs w:val="18"/>
                <w:vertAlign w:val="superscript"/>
              </w:rPr>
              <w:t>4]</w:t>
            </w:r>
            <w:r w:rsidRPr="00330FFD">
              <w:rPr>
                <w:rFonts w:ascii="Arial Narrow" w:hAnsi="Arial Narrow"/>
                <w:color w:val="7030A0"/>
                <w:sz w:val="18"/>
                <w:szCs w:val="18"/>
                <w:highlight w:val="yellow"/>
              </w:rPr>
              <w:t>_</w:t>
            </w:r>
            <w:proofErr w:type="gramEnd"/>
            <w:r w:rsidRPr="00330FFD">
              <w:rPr>
                <w:rFonts w:ascii="Arial Narrow" w:hAnsi="Arial Narrow"/>
                <w:color w:val="7030A0"/>
                <w:sz w:val="18"/>
                <w:szCs w:val="18"/>
                <w:highlight w:val="yellow"/>
              </w:rPr>
              <w:t>]</w:t>
            </w:r>
          </w:p>
        </w:tc>
      </w:tr>
      <w:tr w:rsidR="002F74F5" w14:paraId="46CC17DD" w14:textId="77777777" w:rsidTr="00020C70">
        <w:trPr>
          <w:trHeight w:val="862"/>
        </w:trPr>
        <w:tc>
          <w:tcPr>
            <w:tcW w:w="3823" w:type="dxa"/>
            <w:shd w:val="clear" w:color="auto" w:fill="BFBFBF" w:themeFill="background1" w:themeFillShade="BF"/>
          </w:tcPr>
          <w:p w14:paraId="0425E7F4" w14:textId="77777777" w:rsidR="002F74F5" w:rsidRPr="00CE2EA1" w:rsidRDefault="002F74F5" w:rsidP="00020C70">
            <w:pPr>
              <w:jc w:val="right"/>
              <w:rPr>
                <w:rFonts w:ascii="Arial Narrow" w:hAnsi="Arial Narrow"/>
              </w:rPr>
            </w:pPr>
            <w:r>
              <w:rPr>
                <w:rFonts w:ascii="Arial Narrow" w:hAnsi="Arial Narrow"/>
                <w:b/>
              </w:rPr>
              <w:t xml:space="preserve">Total Value </w:t>
            </w:r>
            <w:r w:rsidRPr="00E11BDB">
              <w:rPr>
                <w:rFonts w:ascii="Arial Narrow" w:hAnsi="Arial Narrow"/>
                <w:b/>
                <w:highlight w:val="yellow"/>
                <w:vertAlign w:val="superscript"/>
              </w:rPr>
              <w:t>[5]</w:t>
            </w:r>
            <w:r>
              <w:rPr>
                <w:rFonts w:ascii="Arial Narrow" w:hAnsi="Arial Narrow"/>
                <w:b/>
              </w:rPr>
              <w:t xml:space="preserve"> (for this period)</w:t>
            </w:r>
          </w:p>
        </w:tc>
        <w:tc>
          <w:tcPr>
            <w:tcW w:w="2693" w:type="dxa"/>
            <w:shd w:val="clear" w:color="auto" w:fill="BFBFBF" w:themeFill="background1" w:themeFillShade="BF"/>
          </w:tcPr>
          <w:p w14:paraId="3D402095"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$[_X * (1-</w:t>
            </w:r>
            <w:proofErr w:type="gramStart"/>
            <w:r w:rsidRPr="003665C5">
              <w:rPr>
                <w:rFonts w:ascii="Arial Narrow" w:hAnsi="Arial Narrow"/>
                <w:b/>
                <w:color w:val="7030A0"/>
                <w:sz w:val="18"/>
                <w:szCs w:val="18"/>
                <w:highlight w:val="yellow"/>
              </w:rPr>
              <w:t>MTR)_</w:t>
            </w:r>
            <w:proofErr w:type="gramEnd"/>
            <w:r w:rsidRPr="003665C5">
              <w:rPr>
                <w:rFonts w:ascii="Arial Narrow" w:hAnsi="Arial Narrow"/>
                <w:b/>
                <w:color w:val="7030A0"/>
                <w:sz w:val="18"/>
                <w:szCs w:val="18"/>
                <w:highlight w:val="yellow"/>
              </w:rPr>
              <w:t xml:space="preserve">] </w:t>
            </w:r>
          </w:p>
          <w:p w14:paraId="602EBCA8"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 xml:space="preserve">+ </w:t>
            </w:r>
          </w:p>
          <w:p w14:paraId="7C0872A3" w14:textId="77777777" w:rsidR="002F74F5" w:rsidRPr="003665C5" w:rsidRDefault="002F74F5" w:rsidP="00020C70">
            <w:pPr>
              <w:jc w:val="center"/>
              <w:rPr>
                <w:rFonts w:ascii="Arial Narrow" w:hAnsi="Arial Narrow"/>
                <w:b/>
              </w:rPr>
            </w:pPr>
            <w:r w:rsidRPr="003665C5">
              <w:rPr>
                <w:rFonts w:ascii="Arial Narrow" w:hAnsi="Arial Narrow"/>
                <w:b/>
                <w:color w:val="7030A0"/>
                <w:sz w:val="18"/>
                <w:szCs w:val="18"/>
                <w:highlight w:val="yellow"/>
              </w:rPr>
              <w:t>[_X * (1-MTR) * Existing Home Loan Rate pa_]</w:t>
            </w:r>
          </w:p>
        </w:tc>
        <w:tc>
          <w:tcPr>
            <w:tcW w:w="2500" w:type="dxa"/>
            <w:shd w:val="clear" w:color="auto" w:fill="BFBFBF" w:themeFill="background1" w:themeFillShade="BF"/>
          </w:tcPr>
          <w:p w14:paraId="6B22CFD9"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$[_X * (1-0.</w:t>
            </w:r>
            <w:proofErr w:type="gramStart"/>
            <w:r w:rsidRPr="003665C5">
              <w:rPr>
                <w:rFonts w:ascii="Arial Narrow" w:hAnsi="Arial Narrow"/>
                <w:b/>
                <w:color w:val="7030A0"/>
                <w:sz w:val="18"/>
                <w:szCs w:val="18"/>
                <w:highlight w:val="yellow"/>
              </w:rPr>
              <w:t>15)_</w:t>
            </w:r>
            <w:proofErr w:type="gramEnd"/>
            <w:r w:rsidRPr="003665C5">
              <w:rPr>
                <w:rFonts w:ascii="Arial Narrow" w:hAnsi="Arial Narrow"/>
                <w:b/>
                <w:color w:val="7030A0"/>
                <w:sz w:val="18"/>
                <w:szCs w:val="18"/>
                <w:highlight w:val="yellow"/>
              </w:rPr>
              <w:t>]</w:t>
            </w:r>
          </w:p>
          <w:p w14:paraId="318CA2C2"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w:t>
            </w:r>
          </w:p>
          <w:p w14:paraId="7B4CA7BE" w14:textId="77777777" w:rsidR="002F74F5" w:rsidRPr="003665C5" w:rsidRDefault="002F74F5" w:rsidP="00020C70">
            <w:pPr>
              <w:jc w:val="center"/>
              <w:rPr>
                <w:rFonts w:ascii="Arial Narrow" w:hAnsi="Arial Narrow"/>
                <w:b/>
              </w:rPr>
            </w:pPr>
            <w:r w:rsidRPr="003665C5">
              <w:rPr>
                <w:rFonts w:ascii="Arial Narrow" w:hAnsi="Arial Narrow"/>
                <w:b/>
                <w:color w:val="7030A0"/>
                <w:sz w:val="18"/>
                <w:szCs w:val="18"/>
                <w:highlight w:val="yellow"/>
              </w:rPr>
              <w:t xml:space="preserve">[_X * (1-0.15) * Conservative earnings assumption pa </w:t>
            </w:r>
            <w:r w:rsidRPr="003665C5">
              <w:rPr>
                <w:rFonts w:ascii="Arial Narrow" w:hAnsi="Arial Narrow"/>
                <w:b/>
                <w:sz w:val="18"/>
                <w:szCs w:val="18"/>
                <w:vertAlign w:val="superscript"/>
              </w:rPr>
              <w:t>[</w:t>
            </w:r>
            <w:proofErr w:type="gramStart"/>
            <w:r w:rsidRPr="003665C5">
              <w:rPr>
                <w:rFonts w:ascii="Arial Narrow" w:hAnsi="Arial Narrow"/>
                <w:b/>
                <w:sz w:val="18"/>
                <w:szCs w:val="18"/>
                <w:vertAlign w:val="superscript"/>
              </w:rPr>
              <w:t>4]</w:t>
            </w:r>
            <w:r w:rsidRPr="003665C5">
              <w:rPr>
                <w:rFonts w:ascii="Arial Narrow" w:hAnsi="Arial Narrow"/>
                <w:b/>
                <w:color w:val="7030A0"/>
                <w:sz w:val="18"/>
                <w:szCs w:val="18"/>
                <w:highlight w:val="yellow"/>
              </w:rPr>
              <w:t>_</w:t>
            </w:r>
            <w:proofErr w:type="gramEnd"/>
            <w:r w:rsidRPr="003665C5">
              <w:rPr>
                <w:rFonts w:ascii="Arial Narrow" w:hAnsi="Arial Narrow"/>
                <w:b/>
                <w:color w:val="7030A0"/>
                <w:sz w:val="18"/>
                <w:szCs w:val="18"/>
                <w:highlight w:val="yellow"/>
              </w:rPr>
              <w:t>]</w:t>
            </w:r>
          </w:p>
        </w:tc>
      </w:tr>
    </w:tbl>
    <w:p w14:paraId="1EBC4C3C" w14:textId="77777777" w:rsidR="002F74F5" w:rsidRDefault="002F74F5" w:rsidP="002F74F5">
      <w:pPr>
        <w:jc w:val="left"/>
      </w:pPr>
    </w:p>
    <w:p w14:paraId="6B81F975" w14:textId="77777777" w:rsidR="00C220B2" w:rsidRDefault="002F74F5" w:rsidP="002F74F5">
      <w:pPr>
        <w:jc w:val="left"/>
        <w:rPr>
          <w:b/>
          <w:sz w:val="18"/>
          <w:szCs w:val="18"/>
          <w:highlight w:val="yellow"/>
        </w:rPr>
      </w:pPr>
      <w:r w:rsidRPr="00572FBE">
        <w:rPr>
          <w:b/>
          <w:sz w:val="18"/>
          <w:szCs w:val="18"/>
          <w:highlight w:val="yellow"/>
        </w:rPr>
        <w:t xml:space="preserve">[1] Only relevant if surplus </w:t>
      </w:r>
      <w:r w:rsidR="00D569B3">
        <w:rPr>
          <w:b/>
          <w:sz w:val="18"/>
          <w:szCs w:val="18"/>
          <w:highlight w:val="yellow"/>
        </w:rPr>
        <w:t xml:space="preserve">potentially </w:t>
      </w:r>
      <w:r w:rsidRPr="00572FBE">
        <w:rPr>
          <w:b/>
          <w:sz w:val="18"/>
          <w:szCs w:val="18"/>
          <w:highlight w:val="yellow"/>
        </w:rPr>
        <w:t xml:space="preserve">taxable income is used for this strategy. </w:t>
      </w:r>
    </w:p>
    <w:p w14:paraId="1EFE00C9" w14:textId="4CA9482C" w:rsidR="00C220B2" w:rsidRDefault="002F74F5" w:rsidP="002F74F5">
      <w:pPr>
        <w:jc w:val="left"/>
        <w:rPr>
          <w:b/>
          <w:sz w:val="18"/>
          <w:szCs w:val="18"/>
          <w:highlight w:val="yellow"/>
        </w:rPr>
      </w:pPr>
      <w:r w:rsidRPr="00572FBE">
        <w:rPr>
          <w:b/>
          <w:sz w:val="18"/>
          <w:szCs w:val="18"/>
          <w:highlight w:val="yellow"/>
        </w:rPr>
        <w:t xml:space="preserve">If post-tax savings ($Y) are to be used for this strategy, then the </w:t>
      </w:r>
      <w:r>
        <w:rPr>
          <w:b/>
          <w:sz w:val="18"/>
          <w:szCs w:val="18"/>
          <w:highlight w:val="yellow"/>
        </w:rPr>
        <w:t>‘</w:t>
      </w:r>
      <w:r w:rsidRPr="00572FBE">
        <w:rPr>
          <w:b/>
          <w:sz w:val="18"/>
          <w:szCs w:val="18"/>
          <w:highlight w:val="yellow"/>
        </w:rPr>
        <w:t>Pre-tax</w:t>
      </w:r>
      <w:r>
        <w:rPr>
          <w:b/>
          <w:sz w:val="18"/>
          <w:szCs w:val="18"/>
          <w:highlight w:val="yellow"/>
        </w:rPr>
        <w:t>’</w:t>
      </w:r>
      <w:r w:rsidRPr="00572FBE">
        <w:rPr>
          <w:b/>
          <w:sz w:val="18"/>
          <w:szCs w:val="18"/>
          <w:highlight w:val="yellow"/>
        </w:rPr>
        <w:t xml:space="preserve"> $[__X__] </w:t>
      </w:r>
      <w:r w:rsidR="00D569B3">
        <w:rPr>
          <w:b/>
          <w:sz w:val="18"/>
          <w:szCs w:val="18"/>
          <w:highlight w:val="yellow"/>
        </w:rPr>
        <w:t>can be</w:t>
      </w:r>
      <w:r w:rsidRPr="00572FBE">
        <w:rPr>
          <w:b/>
          <w:sz w:val="18"/>
          <w:szCs w:val="18"/>
          <w:highlight w:val="yellow"/>
        </w:rPr>
        <w:t xml:space="preserve"> left blank. </w:t>
      </w:r>
    </w:p>
    <w:p w14:paraId="38C55032" w14:textId="1B79E437" w:rsidR="002F74F5" w:rsidRPr="00572FBE" w:rsidRDefault="002F74F5" w:rsidP="002F74F5">
      <w:pPr>
        <w:jc w:val="left"/>
        <w:rPr>
          <w:b/>
          <w:sz w:val="18"/>
          <w:szCs w:val="18"/>
        </w:rPr>
      </w:pPr>
      <w:r w:rsidRPr="00572FBE">
        <w:rPr>
          <w:b/>
          <w:sz w:val="18"/>
          <w:szCs w:val="18"/>
          <w:highlight w:val="yellow"/>
        </w:rPr>
        <w:t xml:space="preserve">The </w:t>
      </w:r>
      <w:r>
        <w:rPr>
          <w:b/>
          <w:sz w:val="18"/>
          <w:szCs w:val="18"/>
          <w:highlight w:val="yellow"/>
        </w:rPr>
        <w:t>‘</w:t>
      </w:r>
      <w:r w:rsidRPr="00572FBE">
        <w:rPr>
          <w:b/>
          <w:sz w:val="18"/>
          <w:szCs w:val="18"/>
          <w:highlight w:val="yellow"/>
        </w:rPr>
        <w:t>Post-tax</w:t>
      </w:r>
      <w:r>
        <w:rPr>
          <w:b/>
          <w:sz w:val="18"/>
          <w:szCs w:val="18"/>
          <w:highlight w:val="yellow"/>
        </w:rPr>
        <w:t>’</w:t>
      </w:r>
      <w:r w:rsidRPr="00572FBE">
        <w:rPr>
          <w:b/>
          <w:sz w:val="18"/>
          <w:szCs w:val="18"/>
          <w:highlight w:val="yellow"/>
        </w:rPr>
        <w:t xml:space="preserve"> fields </w:t>
      </w:r>
      <w:r w:rsidR="00D569B3">
        <w:rPr>
          <w:b/>
          <w:sz w:val="18"/>
          <w:szCs w:val="18"/>
          <w:highlight w:val="yellow"/>
        </w:rPr>
        <w:t xml:space="preserve">would then both be filled </w:t>
      </w:r>
      <w:r w:rsidRPr="00572FBE">
        <w:rPr>
          <w:b/>
          <w:sz w:val="18"/>
          <w:szCs w:val="18"/>
          <w:highlight w:val="yellow"/>
        </w:rPr>
        <w:t>with $</w:t>
      </w:r>
      <w:r w:rsidR="00D569B3">
        <w:rPr>
          <w:b/>
          <w:sz w:val="18"/>
          <w:szCs w:val="18"/>
          <w:highlight w:val="yellow"/>
        </w:rPr>
        <w:t>[__</w:t>
      </w:r>
      <w:r w:rsidRPr="00572FBE">
        <w:rPr>
          <w:b/>
          <w:sz w:val="18"/>
          <w:szCs w:val="18"/>
          <w:highlight w:val="yellow"/>
        </w:rPr>
        <w:t>Y</w:t>
      </w:r>
      <w:r w:rsidR="00D569B3">
        <w:rPr>
          <w:b/>
          <w:sz w:val="18"/>
          <w:szCs w:val="18"/>
          <w:highlight w:val="yellow"/>
        </w:rPr>
        <w:t>__]</w:t>
      </w:r>
      <w:r w:rsidRPr="00572FBE">
        <w:rPr>
          <w:b/>
          <w:sz w:val="18"/>
          <w:szCs w:val="18"/>
          <w:highlight w:val="yellow"/>
        </w:rPr>
        <w:t xml:space="preserve"> </w:t>
      </w:r>
      <w:r w:rsidR="00C220B2">
        <w:rPr>
          <w:b/>
          <w:sz w:val="18"/>
          <w:szCs w:val="18"/>
          <w:highlight w:val="yellow"/>
        </w:rPr>
        <w:t>and</w:t>
      </w:r>
      <w:r w:rsidRPr="001B4BE6">
        <w:rPr>
          <w:b/>
          <w:sz w:val="18"/>
          <w:szCs w:val="18"/>
          <w:highlight w:val="yellow"/>
        </w:rPr>
        <w:t xml:space="preserve"> </w:t>
      </w:r>
      <w:r w:rsidR="00C220B2">
        <w:rPr>
          <w:b/>
          <w:sz w:val="18"/>
          <w:szCs w:val="18"/>
          <w:highlight w:val="yellow"/>
        </w:rPr>
        <w:t>t</w:t>
      </w:r>
      <w:r w:rsidRPr="001B4BE6">
        <w:rPr>
          <w:b/>
          <w:sz w:val="18"/>
          <w:szCs w:val="18"/>
          <w:highlight w:val="yellow"/>
        </w:rPr>
        <w:t xml:space="preserve">he remaining </w:t>
      </w:r>
      <w:r w:rsidR="00C220B2">
        <w:rPr>
          <w:b/>
          <w:sz w:val="18"/>
          <w:szCs w:val="18"/>
          <w:highlight w:val="yellow"/>
        </w:rPr>
        <w:t>figures</w:t>
      </w:r>
      <w:r w:rsidRPr="001B4BE6">
        <w:rPr>
          <w:b/>
          <w:sz w:val="18"/>
          <w:szCs w:val="18"/>
          <w:highlight w:val="yellow"/>
        </w:rPr>
        <w:t xml:space="preserve"> would flow from th</w:t>
      </w:r>
      <w:r w:rsidR="00D569B3">
        <w:rPr>
          <w:b/>
          <w:sz w:val="18"/>
          <w:szCs w:val="18"/>
          <w:highlight w:val="yellow"/>
        </w:rPr>
        <w:t>is changed expression</w:t>
      </w:r>
      <w:r w:rsidRPr="001B4BE6">
        <w:rPr>
          <w:b/>
          <w:sz w:val="18"/>
          <w:szCs w:val="18"/>
          <w:highlight w:val="yellow"/>
        </w:rPr>
        <w:t>.</w:t>
      </w:r>
    </w:p>
    <w:p w14:paraId="418AA379" w14:textId="77777777" w:rsidR="003533B4" w:rsidRDefault="002F74F5" w:rsidP="002F74F5">
      <w:pPr>
        <w:jc w:val="left"/>
        <w:rPr>
          <w:b/>
          <w:sz w:val="18"/>
          <w:szCs w:val="18"/>
          <w:highlight w:val="yellow"/>
        </w:rPr>
      </w:pPr>
      <w:r w:rsidRPr="003A5B1F">
        <w:rPr>
          <w:b/>
          <w:sz w:val="18"/>
          <w:szCs w:val="18"/>
          <w:highlight w:val="yellow"/>
        </w:rPr>
        <w:t xml:space="preserve">[2] These amounts represent </w:t>
      </w:r>
      <w:r>
        <w:rPr>
          <w:b/>
          <w:sz w:val="18"/>
          <w:szCs w:val="18"/>
          <w:highlight w:val="yellow"/>
        </w:rPr>
        <w:t xml:space="preserve">the </w:t>
      </w:r>
      <w:r w:rsidRPr="003A5B1F">
        <w:rPr>
          <w:b/>
          <w:sz w:val="18"/>
          <w:szCs w:val="18"/>
          <w:highlight w:val="yellow"/>
        </w:rPr>
        <w:t xml:space="preserve">‘capital’ impact resulting from the strategy. </w:t>
      </w:r>
    </w:p>
    <w:p w14:paraId="04A26310" w14:textId="7287BCCB" w:rsidR="002F74F5" w:rsidRPr="003A5B1F" w:rsidRDefault="003533B4" w:rsidP="002F74F5">
      <w:pPr>
        <w:jc w:val="left"/>
        <w:rPr>
          <w:b/>
          <w:sz w:val="18"/>
          <w:szCs w:val="18"/>
          <w:highlight w:val="yellow"/>
        </w:rPr>
      </w:pPr>
      <w:r>
        <w:rPr>
          <w:b/>
          <w:sz w:val="18"/>
          <w:szCs w:val="18"/>
          <w:highlight w:val="yellow"/>
        </w:rPr>
        <w:t>For example, t</w:t>
      </w:r>
      <w:r w:rsidR="002F74F5" w:rsidRPr="003A5B1F">
        <w:rPr>
          <w:b/>
          <w:sz w:val="18"/>
          <w:szCs w:val="18"/>
          <w:highlight w:val="yellow"/>
        </w:rPr>
        <w:t xml:space="preserve">he </w:t>
      </w:r>
      <w:r w:rsidR="00717337">
        <w:rPr>
          <w:b/>
          <w:sz w:val="18"/>
          <w:szCs w:val="18"/>
          <w:highlight w:val="yellow"/>
        </w:rPr>
        <w:t>mortgagee</w:t>
      </w:r>
      <w:r w:rsidR="002F74F5" w:rsidRPr="003A5B1F">
        <w:rPr>
          <w:b/>
          <w:sz w:val="18"/>
          <w:szCs w:val="18"/>
          <w:highlight w:val="yellow"/>
        </w:rPr>
        <w:t xml:space="preserve"> forgoes a</w:t>
      </w:r>
      <w:r w:rsidR="00717337">
        <w:rPr>
          <w:b/>
          <w:sz w:val="18"/>
          <w:szCs w:val="18"/>
          <w:highlight w:val="yellow"/>
        </w:rPr>
        <w:t>n increase in equity</w:t>
      </w:r>
      <w:r>
        <w:rPr>
          <w:b/>
          <w:sz w:val="18"/>
          <w:szCs w:val="18"/>
          <w:highlight w:val="yellow"/>
        </w:rPr>
        <w:t xml:space="preserve"> by preferentially increasing the superannuation balance</w:t>
      </w:r>
      <w:r w:rsidR="002F74F5" w:rsidRPr="003A5B1F">
        <w:rPr>
          <w:b/>
          <w:sz w:val="18"/>
          <w:szCs w:val="18"/>
          <w:highlight w:val="yellow"/>
        </w:rPr>
        <w:t>.</w:t>
      </w:r>
    </w:p>
    <w:p w14:paraId="7AF99820" w14:textId="77777777" w:rsidR="003533B4" w:rsidRDefault="002F74F5" w:rsidP="002F74F5">
      <w:pPr>
        <w:jc w:val="left"/>
        <w:rPr>
          <w:b/>
          <w:sz w:val="18"/>
          <w:szCs w:val="18"/>
          <w:highlight w:val="yellow"/>
        </w:rPr>
      </w:pPr>
      <w:r w:rsidRPr="003A5B1F">
        <w:rPr>
          <w:b/>
          <w:sz w:val="18"/>
          <w:szCs w:val="18"/>
          <w:highlight w:val="yellow"/>
        </w:rPr>
        <w:t xml:space="preserve">[3] These amounts represent the ‘income’ impact resulting from the strategy. </w:t>
      </w:r>
      <w:r w:rsidR="003533B4">
        <w:rPr>
          <w:b/>
          <w:sz w:val="18"/>
          <w:szCs w:val="18"/>
          <w:highlight w:val="yellow"/>
        </w:rPr>
        <w:t xml:space="preserve"> </w:t>
      </w:r>
    </w:p>
    <w:p w14:paraId="64BF0892" w14:textId="00240FD5" w:rsidR="002F74F5" w:rsidRDefault="003533B4" w:rsidP="002F74F5">
      <w:pPr>
        <w:jc w:val="left"/>
        <w:rPr>
          <w:b/>
          <w:sz w:val="18"/>
          <w:szCs w:val="18"/>
          <w:highlight w:val="yellow"/>
        </w:rPr>
      </w:pPr>
      <w:r>
        <w:rPr>
          <w:b/>
          <w:sz w:val="18"/>
          <w:szCs w:val="18"/>
          <w:highlight w:val="yellow"/>
        </w:rPr>
        <w:t>For example, t</w:t>
      </w:r>
      <w:r w:rsidR="002F74F5" w:rsidRPr="003A5B1F">
        <w:rPr>
          <w:b/>
          <w:sz w:val="18"/>
          <w:szCs w:val="18"/>
          <w:highlight w:val="yellow"/>
        </w:rPr>
        <w:t>he</w:t>
      </w:r>
      <w:r w:rsidR="002F74F5">
        <w:rPr>
          <w:b/>
          <w:sz w:val="18"/>
          <w:szCs w:val="18"/>
          <w:highlight w:val="yellow"/>
        </w:rPr>
        <w:t xml:space="preserve"> periodic</w:t>
      </w:r>
      <w:r w:rsidR="002F74F5" w:rsidRPr="003A5B1F">
        <w:rPr>
          <w:b/>
          <w:sz w:val="18"/>
          <w:szCs w:val="18"/>
          <w:highlight w:val="yellow"/>
        </w:rPr>
        <w:t xml:space="preserve"> home loan repayment</w:t>
      </w:r>
      <w:r w:rsidR="002F74F5">
        <w:rPr>
          <w:b/>
          <w:sz w:val="18"/>
          <w:szCs w:val="18"/>
          <w:highlight w:val="yellow"/>
        </w:rPr>
        <w:t xml:space="preserve">s </w:t>
      </w:r>
      <w:r>
        <w:rPr>
          <w:b/>
          <w:sz w:val="18"/>
          <w:szCs w:val="18"/>
          <w:highlight w:val="yellow"/>
        </w:rPr>
        <w:t xml:space="preserve">from cashflow </w:t>
      </w:r>
      <w:r w:rsidR="00717337">
        <w:rPr>
          <w:b/>
          <w:sz w:val="18"/>
          <w:szCs w:val="18"/>
          <w:highlight w:val="yellow"/>
        </w:rPr>
        <w:t>would</w:t>
      </w:r>
      <w:r w:rsidR="002F74F5">
        <w:rPr>
          <w:b/>
          <w:sz w:val="18"/>
          <w:szCs w:val="18"/>
          <w:highlight w:val="yellow"/>
        </w:rPr>
        <w:t xml:space="preserve"> not </w:t>
      </w:r>
      <w:r w:rsidR="00717337">
        <w:rPr>
          <w:b/>
          <w:sz w:val="18"/>
          <w:szCs w:val="18"/>
          <w:highlight w:val="yellow"/>
        </w:rPr>
        <w:t xml:space="preserve">be </w:t>
      </w:r>
      <w:r w:rsidR="002F74F5">
        <w:rPr>
          <w:b/>
          <w:sz w:val="18"/>
          <w:szCs w:val="18"/>
          <w:highlight w:val="yellow"/>
        </w:rPr>
        <w:t>reduced</w:t>
      </w:r>
      <w:r>
        <w:rPr>
          <w:b/>
          <w:sz w:val="18"/>
          <w:szCs w:val="18"/>
          <w:highlight w:val="yellow"/>
        </w:rPr>
        <w:t xml:space="preserve"> but</w:t>
      </w:r>
      <w:r w:rsidR="002F74F5">
        <w:rPr>
          <w:b/>
          <w:sz w:val="18"/>
          <w:szCs w:val="18"/>
          <w:highlight w:val="yellow"/>
        </w:rPr>
        <w:t xml:space="preserve"> the superannuation </w:t>
      </w:r>
      <w:r w:rsidR="00717337">
        <w:rPr>
          <w:b/>
          <w:sz w:val="18"/>
          <w:szCs w:val="18"/>
          <w:highlight w:val="yellow"/>
        </w:rPr>
        <w:t xml:space="preserve">would </w:t>
      </w:r>
      <w:r w:rsidR="002F74F5">
        <w:rPr>
          <w:b/>
          <w:sz w:val="18"/>
          <w:szCs w:val="18"/>
          <w:highlight w:val="yellow"/>
        </w:rPr>
        <w:t xml:space="preserve">receive </w:t>
      </w:r>
      <w:r>
        <w:rPr>
          <w:b/>
          <w:sz w:val="18"/>
          <w:szCs w:val="18"/>
          <w:highlight w:val="yellow"/>
        </w:rPr>
        <w:t>increased</w:t>
      </w:r>
      <w:r w:rsidR="002F74F5">
        <w:rPr>
          <w:b/>
          <w:sz w:val="18"/>
          <w:szCs w:val="18"/>
          <w:highlight w:val="yellow"/>
        </w:rPr>
        <w:t xml:space="preserve"> earnings. </w:t>
      </w:r>
      <w:r w:rsidR="002F74F5" w:rsidRPr="003A5B1F">
        <w:rPr>
          <w:b/>
          <w:sz w:val="18"/>
          <w:szCs w:val="18"/>
          <w:highlight w:val="yellow"/>
        </w:rPr>
        <w:t xml:space="preserve"> </w:t>
      </w:r>
    </w:p>
    <w:p w14:paraId="0FB8A5E1" w14:textId="0683C037" w:rsidR="002F74F5" w:rsidRDefault="002F74F5" w:rsidP="002F74F5">
      <w:pPr>
        <w:jc w:val="left"/>
        <w:rPr>
          <w:b/>
          <w:sz w:val="18"/>
          <w:szCs w:val="18"/>
          <w:highlight w:val="yellow"/>
        </w:rPr>
      </w:pPr>
      <w:r>
        <w:rPr>
          <w:b/>
          <w:sz w:val="18"/>
          <w:szCs w:val="18"/>
          <w:highlight w:val="yellow"/>
        </w:rPr>
        <w:t>[4] This should be a ‘risk free’ rate of return</w:t>
      </w:r>
      <w:r w:rsidR="00642CEC">
        <w:rPr>
          <w:b/>
          <w:sz w:val="18"/>
          <w:szCs w:val="18"/>
          <w:highlight w:val="yellow"/>
        </w:rPr>
        <w:t>.</w:t>
      </w:r>
      <w:r>
        <w:rPr>
          <w:b/>
          <w:sz w:val="18"/>
          <w:szCs w:val="18"/>
          <w:highlight w:val="yellow"/>
        </w:rPr>
        <w:t xml:space="preserve"> </w:t>
      </w:r>
      <w:r w:rsidR="00642CEC">
        <w:rPr>
          <w:b/>
          <w:sz w:val="18"/>
          <w:szCs w:val="18"/>
          <w:highlight w:val="yellow"/>
        </w:rPr>
        <w:t>P</w:t>
      </w:r>
      <w:r>
        <w:rPr>
          <w:b/>
          <w:sz w:val="18"/>
          <w:szCs w:val="18"/>
          <w:highlight w:val="yellow"/>
        </w:rPr>
        <w:t>ractically,</w:t>
      </w:r>
      <w:r w:rsidR="000E58CD">
        <w:rPr>
          <w:b/>
          <w:sz w:val="18"/>
          <w:szCs w:val="18"/>
          <w:highlight w:val="yellow"/>
        </w:rPr>
        <w:t xml:space="preserve"> use</w:t>
      </w:r>
      <w:r>
        <w:rPr>
          <w:b/>
          <w:sz w:val="18"/>
          <w:szCs w:val="18"/>
          <w:highlight w:val="yellow"/>
        </w:rPr>
        <w:t xml:space="preserve"> a commonly available, current, </w:t>
      </w:r>
      <w:r w:rsidR="00E60927">
        <w:rPr>
          <w:b/>
          <w:sz w:val="18"/>
          <w:szCs w:val="18"/>
          <w:highlight w:val="yellow"/>
        </w:rPr>
        <w:t>12-month</w:t>
      </w:r>
      <w:r>
        <w:rPr>
          <w:b/>
          <w:sz w:val="18"/>
          <w:szCs w:val="18"/>
          <w:highlight w:val="yellow"/>
        </w:rPr>
        <w:t xml:space="preserve"> TD rate.</w:t>
      </w:r>
    </w:p>
    <w:p w14:paraId="39C05E3D" w14:textId="77777777" w:rsidR="002F74F5" w:rsidRDefault="002F74F5" w:rsidP="002F74F5">
      <w:pPr>
        <w:jc w:val="left"/>
        <w:rPr>
          <w:b/>
          <w:sz w:val="18"/>
          <w:szCs w:val="18"/>
          <w:highlight w:val="yellow"/>
        </w:rPr>
      </w:pPr>
      <w:r>
        <w:rPr>
          <w:b/>
          <w:sz w:val="18"/>
          <w:szCs w:val="18"/>
          <w:highlight w:val="yellow"/>
        </w:rPr>
        <w:t>[5] Comparison of the sum of ‘capital’ + ’income’ impacts</w:t>
      </w:r>
    </w:p>
    <w:p w14:paraId="23EC182A" w14:textId="77777777" w:rsidR="002F74F5" w:rsidRDefault="002F74F5" w:rsidP="002F74F5">
      <w:pPr>
        <w:jc w:val="left"/>
        <w:rPr>
          <w:b/>
          <w:sz w:val="18"/>
          <w:szCs w:val="18"/>
          <w:highlight w:val="yellow"/>
        </w:rPr>
      </w:pPr>
    </w:p>
    <w:p w14:paraId="3367BA1B" w14:textId="2A72354B" w:rsidR="002F74F5" w:rsidRDefault="002F74F5" w:rsidP="002F74F5">
      <w:pPr>
        <w:jc w:val="left"/>
      </w:pPr>
      <w:r w:rsidRPr="007F36A7">
        <w:t xml:space="preserve">The benefit of </w:t>
      </w:r>
      <w:r>
        <w:t xml:space="preserve">investing </w:t>
      </w:r>
      <w:r w:rsidR="0086611A" w:rsidRPr="0008751D">
        <w:rPr>
          <w:color w:val="FF0000"/>
        </w:rPr>
        <w:t>[$X]</w:t>
      </w:r>
      <w:r w:rsidR="0086611A">
        <w:t xml:space="preserve"> </w:t>
      </w:r>
      <w:r w:rsidR="0086611A" w:rsidRPr="0008751D">
        <w:rPr>
          <w:color w:val="FF0000"/>
        </w:rPr>
        <w:t xml:space="preserve">[or $Y] </w:t>
      </w:r>
      <w:r>
        <w:t xml:space="preserve">in superannuation </w:t>
      </w:r>
      <w:r w:rsidR="0086611A" w:rsidRPr="00E11BDB">
        <w:rPr>
          <w:color w:val="FF0000"/>
        </w:rPr>
        <w:t>[</w:t>
      </w:r>
      <w:r w:rsidRPr="00E11BDB">
        <w:rPr>
          <w:color w:val="FF0000"/>
        </w:rPr>
        <w:t>exceeds</w:t>
      </w:r>
      <w:r w:rsidR="0086611A" w:rsidRPr="00E11BDB">
        <w:rPr>
          <w:color w:val="FF0000"/>
        </w:rPr>
        <w:t xml:space="preserve"> / does not exceed]</w:t>
      </w:r>
      <w:r w:rsidRPr="00E11BDB">
        <w:rPr>
          <w:color w:val="FF0000"/>
        </w:rPr>
        <w:t xml:space="preserve"> </w:t>
      </w:r>
      <w:r>
        <w:t>the merit of applying th</w:t>
      </w:r>
      <w:r w:rsidR="0086611A">
        <w:t>e equivalent</w:t>
      </w:r>
      <w:r>
        <w:t xml:space="preserve"> amount to your home loan. This may not be the case in the next financial period and this calculation should be performed again.</w:t>
      </w:r>
    </w:p>
    <w:p w14:paraId="6CE87887" w14:textId="77777777" w:rsidR="00B16C55" w:rsidRDefault="00B16C55" w:rsidP="002F74F5">
      <w:pPr>
        <w:jc w:val="left"/>
      </w:pPr>
    </w:p>
    <w:p w14:paraId="473EEAA4" w14:textId="77777777" w:rsidR="00B16C55" w:rsidRPr="00E11BDB" w:rsidRDefault="00B16C55" w:rsidP="00B16C55">
      <w:pPr>
        <w:jc w:val="left"/>
      </w:pPr>
      <w:r w:rsidRPr="00E11BDB">
        <w:t>Additionally, changing home loan interest rates, feasible earnings assumptions and any variance in the applicable marginal tax rate may reverse the comparative advantage of superannuation from period to period. The strategy is not ‘set-and-forget’.</w:t>
      </w:r>
    </w:p>
    <w:p w14:paraId="2D5B7627" w14:textId="77777777" w:rsidR="002F74F5" w:rsidRDefault="002F74F5" w:rsidP="002F74F5">
      <w:pPr>
        <w:jc w:val="left"/>
      </w:pPr>
    </w:p>
    <w:p w14:paraId="28D06F91" w14:textId="77777777" w:rsidR="002F74F5" w:rsidRPr="00DA3146" w:rsidRDefault="002F74F5" w:rsidP="0008751D">
      <w:pPr>
        <w:rPr>
          <w:b/>
        </w:rPr>
      </w:pPr>
      <w:bookmarkStart w:id="13" w:name="_Hlk489015635"/>
      <w:r w:rsidRPr="00DA3146">
        <w:rPr>
          <w:b/>
        </w:rPr>
        <w:t>It is important that to note that contributions to superannuation are typically subject to Preservation Rules and cannot be accessed unless a formal condition of release is met. In comparison to the typical freedom available to redraw funds at need which are applied to a home loan, this is a key risk factor in accepting this strategy.</w:t>
      </w:r>
    </w:p>
    <w:p w14:paraId="5F54C665" w14:textId="77777777" w:rsidR="002F74F5" w:rsidRPr="00DA3146" w:rsidRDefault="002F74F5" w:rsidP="00E11BDB">
      <w:pPr>
        <w:jc w:val="left"/>
        <w:rPr>
          <w:b/>
        </w:rPr>
      </w:pPr>
    </w:p>
    <w:bookmarkEnd w:id="13"/>
    <w:p w14:paraId="3D813D96" w14:textId="77777777" w:rsidR="002F74F5" w:rsidRDefault="002F74F5" w:rsidP="002F74F5">
      <w:pPr>
        <w:jc w:val="left"/>
        <w:rPr>
          <w:color w:val="002060"/>
          <w:sz w:val="24"/>
        </w:rPr>
      </w:pPr>
    </w:p>
    <w:p w14:paraId="5B3A04A0" w14:textId="2C5CC554" w:rsidR="002F74F5" w:rsidRPr="002F74F5" w:rsidRDefault="002F74F5" w:rsidP="002F74F5">
      <w:pPr>
        <w:jc w:val="left"/>
        <w:rPr>
          <w:color w:val="002060"/>
          <w:sz w:val="24"/>
        </w:rPr>
      </w:pPr>
      <w:r>
        <w:rPr>
          <w:color w:val="002060"/>
          <w:sz w:val="24"/>
        </w:rPr>
        <w:t>Commencing a pre-retirement S</w:t>
      </w:r>
      <w:r w:rsidRPr="001D3E2D">
        <w:rPr>
          <w:color w:val="002060"/>
          <w:sz w:val="24"/>
        </w:rPr>
        <w:t>uperannu</w:t>
      </w:r>
      <w:r>
        <w:rPr>
          <w:color w:val="002060"/>
          <w:sz w:val="24"/>
        </w:rPr>
        <w:t>ation Income Str</w:t>
      </w:r>
      <w:r w:rsidRPr="001D3E2D">
        <w:rPr>
          <w:color w:val="002060"/>
          <w:sz w:val="24"/>
        </w:rPr>
        <w:t>eam</w:t>
      </w:r>
      <w:r w:rsidR="00AC6FDA">
        <w:rPr>
          <w:color w:val="002060"/>
          <w:sz w:val="24"/>
        </w:rPr>
        <w:t xml:space="preserve"> _ reducing debt</w:t>
      </w:r>
    </w:p>
    <w:p w14:paraId="5BD044E4" w14:textId="77777777" w:rsidR="002F74F5" w:rsidRDefault="002F74F5" w:rsidP="002F74F5">
      <w:pPr>
        <w:spacing w:line="284" w:lineRule="exact"/>
        <w:rPr>
          <w:rFonts w:ascii="Times New Roman" w:eastAsia="Times New Roman" w:hAnsi="Times New Roman"/>
        </w:rPr>
      </w:pPr>
    </w:p>
    <w:tbl>
      <w:tblPr>
        <w:tblStyle w:val="TableGrid"/>
        <w:tblW w:w="0" w:type="auto"/>
        <w:tblInd w:w="76" w:type="dxa"/>
        <w:tblLook w:val="04A0" w:firstRow="1" w:lastRow="0" w:firstColumn="1" w:lastColumn="0" w:noHBand="0" w:noVBand="1"/>
      </w:tblPr>
      <w:tblGrid>
        <w:gridCol w:w="2754"/>
        <w:gridCol w:w="6798"/>
      </w:tblGrid>
      <w:tr w:rsidR="003B0A71" w:rsidRPr="00E51BEA" w14:paraId="3715D2B9" w14:textId="77777777" w:rsidTr="00C07E7A">
        <w:tc>
          <w:tcPr>
            <w:tcW w:w="2754" w:type="dxa"/>
          </w:tcPr>
          <w:p w14:paraId="798FA459"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16A0EFA2" w14:textId="1D64FF4C" w:rsidR="003B0A71" w:rsidRPr="00E51BEA" w:rsidRDefault="003B0A71" w:rsidP="001A708C">
            <w:pPr>
              <w:jc w:val="left"/>
              <w:rPr>
                <w:rFonts w:ascii="Calibri Light" w:hAnsi="Calibri Light"/>
              </w:rPr>
            </w:pPr>
          </w:p>
        </w:tc>
      </w:tr>
      <w:tr w:rsidR="003B0A71" w:rsidRPr="00E51BEA" w14:paraId="0BB66CD8" w14:textId="77777777" w:rsidTr="00C07E7A">
        <w:tc>
          <w:tcPr>
            <w:tcW w:w="2754" w:type="dxa"/>
          </w:tcPr>
          <w:p w14:paraId="5B41D7E0" w14:textId="77777777" w:rsidR="003B0A71" w:rsidRPr="00EA0A06" w:rsidRDefault="003B0A71" w:rsidP="00E164DA">
            <w:pPr>
              <w:pStyle w:val="Instructions"/>
            </w:pPr>
            <w:r w:rsidRPr="00EA0A06">
              <w:t>Title</w:t>
            </w:r>
          </w:p>
        </w:tc>
        <w:tc>
          <w:tcPr>
            <w:tcW w:w="6798" w:type="dxa"/>
          </w:tcPr>
          <w:p w14:paraId="08038FF5" w14:textId="0856A4CE" w:rsidR="003B0A71" w:rsidRPr="00E51BEA" w:rsidRDefault="001A708C" w:rsidP="0083403C">
            <w:r w:rsidRPr="0089137E">
              <w:t>Commencing a pre-retirement Superannuation Income Stream _ reducing debt</w:t>
            </w:r>
          </w:p>
        </w:tc>
      </w:tr>
      <w:tr w:rsidR="0083403C" w:rsidRPr="00E51BEA" w14:paraId="7E4260B7" w14:textId="77777777" w:rsidTr="00C07E7A">
        <w:tc>
          <w:tcPr>
            <w:tcW w:w="2754" w:type="dxa"/>
          </w:tcPr>
          <w:p w14:paraId="707A4ED7" w14:textId="77777777" w:rsidR="0083403C" w:rsidRPr="00EA0A06" w:rsidRDefault="0083403C" w:rsidP="00E164DA">
            <w:pPr>
              <w:pStyle w:val="Instructions"/>
            </w:pPr>
            <w:r w:rsidRPr="00EA0A06">
              <w:t>Explanation</w:t>
            </w:r>
          </w:p>
        </w:tc>
        <w:tc>
          <w:tcPr>
            <w:tcW w:w="6798" w:type="dxa"/>
          </w:tcPr>
          <w:p w14:paraId="1F2F8D09" w14:textId="3FA02144" w:rsidR="0083403C" w:rsidRPr="00E51BEA" w:rsidRDefault="0083403C" w:rsidP="001A708C">
            <w:r w:rsidRPr="005F763D">
              <w:rPr>
                <w:color w:val="FF0000"/>
              </w:rPr>
              <w:t>[Client]</w:t>
            </w:r>
            <w:r w:rsidRPr="0023572C">
              <w:t xml:space="preserve">, we recommend that you commence a </w:t>
            </w:r>
            <w:r w:rsidR="000D0EE5">
              <w:t>superannuation</w:t>
            </w:r>
            <w:r w:rsidRPr="0023572C">
              <w:t xml:space="preserve"> pension</w:t>
            </w:r>
            <w:r>
              <w:t xml:space="preserve"> of $</w:t>
            </w:r>
            <w:r w:rsidRPr="00A14911">
              <w:rPr>
                <w:color w:val="FF0000"/>
              </w:rPr>
              <w:t>[__</w:t>
            </w:r>
            <w:proofErr w:type="gramStart"/>
            <w:r w:rsidRPr="00A14911">
              <w:rPr>
                <w:color w:val="FF0000"/>
              </w:rPr>
              <w:t>_,_</w:t>
            </w:r>
            <w:proofErr w:type="gramEnd"/>
            <w:r w:rsidRPr="00A14911">
              <w:rPr>
                <w:color w:val="FF0000"/>
              </w:rPr>
              <w:t>__]</w:t>
            </w:r>
            <w:r w:rsidRPr="00C20794">
              <w:t xml:space="preserve"> per annum, paid</w:t>
            </w:r>
            <w:r>
              <w:rPr>
                <w:color w:val="FF0000"/>
              </w:rPr>
              <w:t xml:space="preserve"> [frequency]</w:t>
            </w:r>
            <w:r w:rsidRPr="0023572C">
              <w:t xml:space="preserve"> </w:t>
            </w:r>
            <w:r>
              <w:t>from</w:t>
            </w:r>
            <w:r w:rsidRPr="0023572C">
              <w:t xml:space="preserve"> your existing </w:t>
            </w:r>
            <w:r w:rsidRPr="0023572C">
              <w:rPr>
                <w:color w:val="FF0000"/>
              </w:rPr>
              <w:t>[fund]</w:t>
            </w:r>
            <w:r w:rsidRPr="0023572C">
              <w:t xml:space="preserve">. </w:t>
            </w:r>
          </w:p>
        </w:tc>
      </w:tr>
      <w:tr w:rsidR="0083403C" w:rsidRPr="00E51BEA" w14:paraId="27B95912" w14:textId="77777777" w:rsidTr="00C07E7A">
        <w:tc>
          <w:tcPr>
            <w:tcW w:w="2754" w:type="dxa"/>
          </w:tcPr>
          <w:p w14:paraId="53855380" w14:textId="77777777" w:rsidR="0083403C" w:rsidRPr="00EA0A06" w:rsidRDefault="0083403C" w:rsidP="00E164DA">
            <w:pPr>
              <w:pStyle w:val="Instructions"/>
            </w:pPr>
            <w:r w:rsidRPr="00EA0A06">
              <w:t>In your Best Interest</w:t>
            </w:r>
          </w:p>
        </w:tc>
        <w:tc>
          <w:tcPr>
            <w:tcW w:w="6798" w:type="dxa"/>
          </w:tcPr>
          <w:p w14:paraId="3CE13BA1" w14:textId="77777777" w:rsidR="0083403C" w:rsidRPr="00E51BEA" w:rsidRDefault="0083403C" w:rsidP="00E164DA">
            <w:pPr>
              <w:pStyle w:val="Instructions"/>
            </w:pPr>
          </w:p>
        </w:tc>
      </w:tr>
      <w:tr w:rsidR="0083403C" w:rsidRPr="00E51BEA" w14:paraId="6BA1EE3D" w14:textId="77777777" w:rsidTr="00C07E7A">
        <w:tc>
          <w:tcPr>
            <w:tcW w:w="2754" w:type="dxa"/>
          </w:tcPr>
          <w:p w14:paraId="0C9AC941" w14:textId="77777777" w:rsidR="0083403C" w:rsidRPr="00EA0A06" w:rsidRDefault="0083403C" w:rsidP="00E164DA">
            <w:pPr>
              <w:pStyle w:val="Instructions"/>
            </w:pPr>
            <w:r w:rsidRPr="00EA0A06">
              <w:t>Further Detail</w:t>
            </w:r>
          </w:p>
        </w:tc>
        <w:tc>
          <w:tcPr>
            <w:tcW w:w="6798" w:type="dxa"/>
          </w:tcPr>
          <w:p w14:paraId="466B960A" w14:textId="5B44E243" w:rsidR="000D0EE5" w:rsidRDefault="000D0EE5" w:rsidP="0083403C">
            <w:r>
              <w:t xml:space="preserve">Tax free component: </w:t>
            </w:r>
            <w:r w:rsidRPr="00E11BDB">
              <w:rPr>
                <w:color w:val="FF0000"/>
              </w:rPr>
              <w:t>[$]</w:t>
            </w:r>
            <w:r>
              <w:t xml:space="preserve"> </w:t>
            </w:r>
            <w:r w:rsidRPr="00E11BDB">
              <w:rPr>
                <w:color w:val="FF0000"/>
              </w:rPr>
              <w:t>[or %]</w:t>
            </w:r>
          </w:p>
          <w:p w14:paraId="28A6653A" w14:textId="4F08547C" w:rsidR="008E57FE" w:rsidRDefault="008E57FE" w:rsidP="008E57FE">
            <w:r>
              <w:t xml:space="preserve">Taxable component – already taxed: </w:t>
            </w:r>
            <w:r w:rsidRPr="009D6003">
              <w:rPr>
                <w:color w:val="FF0000"/>
              </w:rPr>
              <w:t>[$]</w:t>
            </w:r>
            <w:r>
              <w:t xml:space="preserve"> </w:t>
            </w:r>
            <w:r w:rsidRPr="009D6003">
              <w:rPr>
                <w:color w:val="FF0000"/>
              </w:rPr>
              <w:t>[or %]</w:t>
            </w:r>
          </w:p>
          <w:p w14:paraId="60C4C934" w14:textId="219CD98D" w:rsidR="008E57FE" w:rsidRDefault="008E57FE" w:rsidP="008E57FE">
            <w:r>
              <w:t xml:space="preserve">Taxable component – not previously taxed: </w:t>
            </w:r>
            <w:r w:rsidRPr="009D6003">
              <w:rPr>
                <w:color w:val="FF0000"/>
              </w:rPr>
              <w:t>[$]</w:t>
            </w:r>
            <w:r>
              <w:t xml:space="preserve"> </w:t>
            </w:r>
            <w:r w:rsidRPr="009D6003">
              <w:rPr>
                <w:color w:val="FF0000"/>
              </w:rPr>
              <w:t>[or %]</w:t>
            </w:r>
          </w:p>
          <w:p w14:paraId="425C0F53" w14:textId="7ACB0C52" w:rsidR="008E57FE" w:rsidRDefault="008E57FE" w:rsidP="0083403C"/>
          <w:p w14:paraId="79A63143" w14:textId="2B8725BC" w:rsidR="0061290F" w:rsidRPr="00AA1D9D" w:rsidRDefault="0061290F" w:rsidP="0061290F">
            <w:pPr>
              <w:rPr>
                <w:i/>
                <w:sz w:val="18"/>
                <w:szCs w:val="18"/>
              </w:rPr>
            </w:pPr>
            <w:r w:rsidRPr="005A3646">
              <w:t xml:space="preserve">Clients who </w:t>
            </w:r>
            <w:r>
              <w:t>have retired, or met another condition of release</w:t>
            </w:r>
            <w:r w:rsidRPr="005A3646">
              <w:t xml:space="preserve">, can access their superannuation to create a tax effective income stream.  </w:t>
            </w:r>
            <w:r w:rsidRPr="00AA1D9D">
              <w:rPr>
                <w:i/>
                <w:sz w:val="18"/>
                <w:szCs w:val="18"/>
              </w:rPr>
              <w:t>(see Appendix for more information regarding eligibility)</w:t>
            </w:r>
          </w:p>
          <w:p w14:paraId="5AA4A6F7" w14:textId="7ABF66CC" w:rsidR="0061290F" w:rsidRDefault="0061290F" w:rsidP="0083403C"/>
          <w:p w14:paraId="1BD7A795" w14:textId="57DA9B14" w:rsidR="0061290F" w:rsidRPr="00E11BDB" w:rsidRDefault="0061290F" w:rsidP="0083403C">
            <w:pPr>
              <w:rPr>
                <w:color w:val="7030A0"/>
              </w:rPr>
            </w:pPr>
            <w:r w:rsidRPr="00E11BDB">
              <w:rPr>
                <w:color w:val="7030A0"/>
                <w:highlight w:val="yellow"/>
              </w:rPr>
              <w:t>OR</w:t>
            </w:r>
          </w:p>
          <w:p w14:paraId="6AD92603" w14:textId="77777777" w:rsidR="0061290F" w:rsidRDefault="0061290F" w:rsidP="0083403C"/>
          <w:p w14:paraId="40D47EF7" w14:textId="2867DD3E" w:rsidR="0083403C" w:rsidRPr="00AA1D9D" w:rsidRDefault="0083403C" w:rsidP="0083403C">
            <w:pPr>
              <w:rPr>
                <w:i/>
                <w:sz w:val="18"/>
                <w:szCs w:val="18"/>
              </w:rPr>
            </w:pPr>
            <w:r w:rsidRPr="005A3646">
              <w:t xml:space="preserve">Clients who are eligible pre-retirees, can access their superannuation to create a tax effective income stream.  </w:t>
            </w:r>
            <w:r w:rsidRPr="00AA1D9D">
              <w:rPr>
                <w:i/>
                <w:sz w:val="18"/>
                <w:szCs w:val="18"/>
              </w:rPr>
              <w:t>(see Appendix for more information regarding eligibility)</w:t>
            </w:r>
          </w:p>
          <w:p w14:paraId="33179782" w14:textId="77777777" w:rsidR="0083403C" w:rsidRPr="005A3646" w:rsidRDefault="0083403C" w:rsidP="0083403C"/>
          <w:p w14:paraId="2B1C1E89" w14:textId="77777777" w:rsidR="0083403C" w:rsidRPr="0023572C" w:rsidRDefault="0083403C" w:rsidP="0083403C">
            <w:r w:rsidRPr="0023572C">
              <w:t>For eligible pre-retirees, the Transition to Retirement provisions in superannuation law allow the commencement of a superannuation pension to supplement income.</w:t>
            </w:r>
            <w:r>
              <w:t xml:space="preserve"> These income payments can be used for any lifestyle purpose including the reduction of non-deductible debt (</w:t>
            </w:r>
            <w:proofErr w:type="spellStart"/>
            <w:r>
              <w:t>eg.</w:t>
            </w:r>
            <w:proofErr w:type="spellEnd"/>
            <w:r>
              <w:t xml:space="preserve"> home loan).</w:t>
            </w:r>
          </w:p>
          <w:p w14:paraId="3A36A282" w14:textId="77777777" w:rsidR="003A5B48" w:rsidRDefault="003A5B48" w:rsidP="003A5B48"/>
          <w:p w14:paraId="027AF99B" w14:textId="049A9AF0" w:rsidR="003A5B48" w:rsidRDefault="003A5B48" w:rsidP="003A5B48">
            <w:r>
              <w:t>In isolation, there is no personal tax advantage in commencing such a pre-retirement income stream; it may even result in increased personal income tax, but it will supply funds for your goal of accelerating debt reduction.</w:t>
            </w:r>
          </w:p>
          <w:p w14:paraId="42C66183" w14:textId="1419FEB1" w:rsidR="003A5B48" w:rsidRDefault="003A5B48" w:rsidP="003A5B48"/>
          <w:p w14:paraId="444C86BF" w14:textId="473D5558" w:rsidR="0061290F" w:rsidRPr="0008751D" w:rsidRDefault="0061290F" w:rsidP="003A5B48">
            <w:pPr>
              <w:rPr>
                <w:color w:val="7030A0"/>
                <w:highlight w:val="yellow"/>
              </w:rPr>
            </w:pPr>
            <w:r w:rsidRPr="0008751D">
              <w:rPr>
                <w:color w:val="7030A0"/>
                <w:highlight w:val="yellow"/>
              </w:rPr>
              <w:t>AND</w:t>
            </w:r>
          </w:p>
          <w:p w14:paraId="06F8778A" w14:textId="27615035" w:rsidR="009A0C87" w:rsidRDefault="003A5B48" w:rsidP="009A0C87">
            <w:r>
              <w:t xml:space="preserve">In consideration of the consequences of this debt reduction goal, it is important to also understand the impact of reducing your superannuation balance </w:t>
            </w:r>
            <w:r w:rsidRPr="0008751D">
              <w:rPr>
                <w:u w:val="single"/>
              </w:rPr>
              <w:t>now</w:t>
            </w:r>
            <w:r>
              <w:t xml:space="preserve"> versus deferring the use of superannuation </w:t>
            </w:r>
            <w:r w:rsidR="0061290F">
              <w:t>in favour of reducing debt</w:t>
            </w:r>
            <w:r>
              <w:t xml:space="preserve"> </w:t>
            </w:r>
            <w:r w:rsidRPr="0008751D">
              <w:rPr>
                <w:u w:val="single"/>
              </w:rPr>
              <w:t>at retirement</w:t>
            </w:r>
            <w:r>
              <w:t>.</w:t>
            </w:r>
            <w:r w:rsidR="006F505E">
              <w:t xml:space="preserve">  </w:t>
            </w:r>
            <w:r w:rsidR="006F505E" w:rsidRPr="0008751D">
              <w:rPr>
                <w:i/>
                <w:sz w:val="18"/>
                <w:szCs w:val="18"/>
              </w:rPr>
              <w:t>(</w:t>
            </w:r>
            <w:r w:rsidR="006F505E">
              <w:rPr>
                <w:i/>
                <w:sz w:val="18"/>
                <w:szCs w:val="18"/>
              </w:rPr>
              <w:t>s</w:t>
            </w:r>
            <w:r w:rsidR="006F505E" w:rsidRPr="00E11BDB">
              <w:rPr>
                <w:i/>
                <w:sz w:val="18"/>
                <w:szCs w:val="18"/>
              </w:rPr>
              <w:t>ee the projection provided.)</w:t>
            </w:r>
            <w:r w:rsidR="009A0C87">
              <w:rPr>
                <w:i/>
                <w:sz w:val="18"/>
                <w:szCs w:val="18"/>
              </w:rPr>
              <w:t xml:space="preserve">  </w:t>
            </w:r>
            <w:r w:rsidR="009A0C87" w:rsidRPr="009D6003">
              <w:rPr>
                <w:i/>
                <w:sz w:val="18"/>
                <w:szCs w:val="18"/>
              </w:rPr>
              <w:t>(</w:t>
            </w:r>
            <w:r w:rsidR="009A0C87">
              <w:rPr>
                <w:i/>
                <w:sz w:val="18"/>
                <w:szCs w:val="18"/>
              </w:rPr>
              <w:t>s</w:t>
            </w:r>
            <w:r w:rsidR="009A0C87" w:rsidRPr="009D6003">
              <w:rPr>
                <w:i/>
                <w:sz w:val="18"/>
                <w:szCs w:val="18"/>
              </w:rPr>
              <w:t xml:space="preserve">ee the </w:t>
            </w:r>
            <w:r w:rsidR="009A0C87">
              <w:rPr>
                <w:i/>
                <w:sz w:val="18"/>
                <w:szCs w:val="18"/>
              </w:rPr>
              <w:t>calculation</w:t>
            </w:r>
            <w:r w:rsidR="009A0C87" w:rsidRPr="009D6003">
              <w:rPr>
                <w:i/>
                <w:sz w:val="18"/>
                <w:szCs w:val="18"/>
              </w:rPr>
              <w:t xml:space="preserve"> provided</w:t>
            </w:r>
            <w:r w:rsidR="009A0C87">
              <w:rPr>
                <w:i/>
                <w:sz w:val="18"/>
                <w:szCs w:val="18"/>
              </w:rPr>
              <w:t xml:space="preserve"> below</w:t>
            </w:r>
            <w:r w:rsidR="009A0C87" w:rsidRPr="009D6003">
              <w:rPr>
                <w:i/>
                <w:sz w:val="18"/>
                <w:szCs w:val="18"/>
              </w:rPr>
              <w:t>.)</w:t>
            </w:r>
          </w:p>
          <w:p w14:paraId="4F97ACE4" w14:textId="4F122A95" w:rsidR="003A5B48" w:rsidRDefault="003A5B48" w:rsidP="003A5B48"/>
          <w:p w14:paraId="2927818E" w14:textId="77777777" w:rsidR="0083403C" w:rsidRPr="00E51BEA" w:rsidRDefault="0083403C" w:rsidP="00E164DA">
            <w:pPr>
              <w:pStyle w:val="Instructions"/>
            </w:pPr>
          </w:p>
        </w:tc>
      </w:tr>
    </w:tbl>
    <w:p w14:paraId="6644BDB7" w14:textId="77777777" w:rsidR="003B0A71" w:rsidRDefault="003B0A71" w:rsidP="002F74F5"/>
    <w:p w14:paraId="446FDA43" w14:textId="77777777" w:rsidR="002F74F5" w:rsidRDefault="002F74F5" w:rsidP="002F74F5"/>
    <w:p w14:paraId="62E42F27" w14:textId="77777777" w:rsidR="00DE5689" w:rsidRPr="00B64DFB" w:rsidRDefault="00DE5689" w:rsidP="00E164DA">
      <w:pPr>
        <w:pStyle w:val="Instructions"/>
      </w:pPr>
      <w:r>
        <w:t>Further Detail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693"/>
        <w:gridCol w:w="2500"/>
      </w:tblGrid>
      <w:tr w:rsidR="002F74F5" w14:paraId="7F1CE1E9" w14:textId="77777777" w:rsidTr="00020C70">
        <w:tc>
          <w:tcPr>
            <w:tcW w:w="3823" w:type="dxa"/>
            <w:shd w:val="clear" w:color="auto" w:fill="D9D9D9"/>
          </w:tcPr>
          <w:p w14:paraId="4EDE216D" w14:textId="77777777" w:rsidR="002F74F5" w:rsidRPr="00D43D02" w:rsidRDefault="002F74F5" w:rsidP="00020C70">
            <w:pPr>
              <w:jc w:val="center"/>
              <w:rPr>
                <w:color w:val="7030A0"/>
                <w:highlight w:val="yellow"/>
              </w:rPr>
            </w:pPr>
            <w:r w:rsidRPr="00D43D02">
              <w:rPr>
                <w:rFonts w:ascii="Arial Narrow" w:hAnsi="Arial Narrow"/>
                <w:b/>
                <w:color w:val="7030A0"/>
                <w:highlight w:val="yellow"/>
              </w:rPr>
              <w:t>[Relevant Financial Year]</w:t>
            </w:r>
          </w:p>
        </w:tc>
        <w:tc>
          <w:tcPr>
            <w:tcW w:w="2693" w:type="dxa"/>
            <w:shd w:val="clear" w:color="auto" w:fill="D9D9D9"/>
          </w:tcPr>
          <w:p w14:paraId="3AB53EDF" w14:textId="77777777" w:rsidR="002F74F5" w:rsidRPr="00D43D02" w:rsidRDefault="002F74F5" w:rsidP="00020C70">
            <w:pPr>
              <w:jc w:val="center"/>
              <w:rPr>
                <w:rFonts w:ascii="Arial Narrow" w:hAnsi="Arial Narrow"/>
                <w:b/>
              </w:rPr>
            </w:pPr>
            <w:r w:rsidRPr="00D43D02">
              <w:rPr>
                <w:rFonts w:ascii="Arial Narrow" w:hAnsi="Arial Narrow"/>
                <w:b/>
              </w:rPr>
              <w:t>Home Loan</w:t>
            </w:r>
          </w:p>
        </w:tc>
        <w:tc>
          <w:tcPr>
            <w:tcW w:w="2500" w:type="dxa"/>
            <w:shd w:val="clear" w:color="auto" w:fill="D9D9D9"/>
          </w:tcPr>
          <w:p w14:paraId="5639B68B" w14:textId="77777777" w:rsidR="002F74F5" w:rsidRPr="00D43D02" w:rsidRDefault="002F74F5" w:rsidP="00020C70">
            <w:pPr>
              <w:jc w:val="center"/>
              <w:rPr>
                <w:rFonts w:ascii="Arial Narrow" w:hAnsi="Arial Narrow"/>
                <w:b/>
              </w:rPr>
            </w:pPr>
            <w:r w:rsidRPr="00D43D02">
              <w:rPr>
                <w:rFonts w:ascii="Arial Narrow" w:hAnsi="Arial Narrow"/>
                <w:b/>
              </w:rPr>
              <w:t>Superannuation</w:t>
            </w:r>
          </w:p>
        </w:tc>
      </w:tr>
      <w:tr w:rsidR="002F74F5" w14:paraId="7A22636A" w14:textId="77777777" w:rsidTr="00020C70">
        <w:tc>
          <w:tcPr>
            <w:tcW w:w="3823" w:type="dxa"/>
            <w:shd w:val="clear" w:color="auto" w:fill="F2F2F2"/>
          </w:tcPr>
          <w:p w14:paraId="1213ABAC" w14:textId="5B4ED266" w:rsidR="002F74F5" w:rsidRPr="00D43D02" w:rsidRDefault="002F74F5" w:rsidP="00020C70">
            <w:pPr>
              <w:rPr>
                <w:rFonts w:ascii="Arial Narrow" w:hAnsi="Arial Narrow"/>
              </w:rPr>
            </w:pPr>
            <w:r w:rsidRPr="00D43D02">
              <w:rPr>
                <w:rFonts w:ascii="Arial Narrow" w:hAnsi="Arial Narrow"/>
              </w:rPr>
              <w:t xml:space="preserve">Pre-tax value of </w:t>
            </w:r>
            <w:r w:rsidR="008D7484">
              <w:rPr>
                <w:rFonts w:ascii="Arial Narrow" w:hAnsi="Arial Narrow"/>
              </w:rPr>
              <w:t>a</w:t>
            </w:r>
            <w:r w:rsidRPr="00D43D02">
              <w:rPr>
                <w:rFonts w:ascii="Arial Narrow" w:hAnsi="Arial Narrow"/>
              </w:rPr>
              <w:t>nnual</w:t>
            </w:r>
            <w:r w:rsidR="008D7484">
              <w:rPr>
                <w:rFonts w:ascii="Arial Narrow" w:hAnsi="Arial Narrow"/>
              </w:rPr>
              <w:t>ised</w:t>
            </w:r>
            <w:r w:rsidRPr="00D43D02">
              <w:rPr>
                <w:rFonts w:ascii="Arial Narrow" w:hAnsi="Arial Narrow"/>
              </w:rPr>
              <w:t xml:space="preserve"> Superannuation Income Stream Payment</w:t>
            </w:r>
          </w:p>
        </w:tc>
        <w:tc>
          <w:tcPr>
            <w:tcW w:w="5193" w:type="dxa"/>
            <w:gridSpan w:val="2"/>
            <w:shd w:val="clear" w:color="auto" w:fill="auto"/>
          </w:tcPr>
          <w:p w14:paraId="17AD9B10" w14:textId="77777777"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$[___X____]</w:t>
            </w:r>
          </w:p>
        </w:tc>
      </w:tr>
      <w:tr w:rsidR="002F74F5" w14:paraId="0C10F405" w14:textId="77777777" w:rsidTr="00020C70">
        <w:tc>
          <w:tcPr>
            <w:tcW w:w="3823" w:type="dxa"/>
            <w:shd w:val="clear" w:color="auto" w:fill="F2F2F2"/>
          </w:tcPr>
          <w:p w14:paraId="144CD8F7" w14:textId="359E8EF2" w:rsidR="002F74F5" w:rsidRPr="00D43D02" w:rsidRDefault="002F74F5" w:rsidP="00020C70">
            <w:pPr>
              <w:rPr>
                <w:rFonts w:ascii="Arial Narrow" w:hAnsi="Arial Narrow"/>
              </w:rPr>
            </w:pPr>
            <w:r w:rsidRPr="00D43D02">
              <w:rPr>
                <w:rFonts w:ascii="Arial Narrow" w:hAnsi="Arial Narrow"/>
              </w:rPr>
              <w:t>Post-tax value of Superannuation Payment</w:t>
            </w:r>
            <w:r w:rsidR="00BC4FF6">
              <w:rPr>
                <w:rFonts w:ascii="Arial Narrow" w:hAnsi="Arial Narrow"/>
              </w:rPr>
              <w:t xml:space="preserve"> </w:t>
            </w:r>
            <w:r w:rsidR="00BC4FF6" w:rsidRPr="0008751D">
              <w:rPr>
                <w:rFonts w:ascii="Arial Narrow" w:hAnsi="Arial Narrow"/>
                <w:b/>
                <w:highlight w:val="yellow"/>
                <w:vertAlign w:val="superscript"/>
              </w:rPr>
              <w:t>[1]</w:t>
            </w:r>
          </w:p>
        </w:tc>
        <w:tc>
          <w:tcPr>
            <w:tcW w:w="2693" w:type="dxa"/>
            <w:shd w:val="clear" w:color="auto" w:fill="auto"/>
          </w:tcPr>
          <w:p w14:paraId="632C2E28" w14:textId="79EA8864"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w:t>
            </w:r>
            <w:r w:rsidR="0027116F">
              <w:rPr>
                <w:rFonts w:ascii="Arial Narrow" w:hAnsi="Arial Narrow"/>
                <w:color w:val="7030A0"/>
                <w:sz w:val="18"/>
                <w:szCs w:val="18"/>
                <w:highlight w:val="yellow"/>
              </w:rPr>
              <w:t>Y</w:t>
            </w:r>
            <w:r w:rsidRPr="00D43D02">
              <w:rPr>
                <w:rFonts w:ascii="Arial Narrow" w:hAnsi="Arial Narrow"/>
                <w:color w:val="7030A0"/>
                <w:sz w:val="18"/>
                <w:szCs w:val="18"/>
                <w:highlight w:val="yellow"/>
              </w:rPr>
              <w:t xml:space="preserve"> * (1-MTR+0.</w:t>
            </w:r>
            <w:proofErr w:type="gramStart"/>
            <w:r w:rsidRPr="00D43D02">
              <w:rPr>
                <w:rFonts w:ascii="Arial Narrow" w:hAnsi="Arial Narrow"/>
                <w:color w:val="7030A0"/>
                <w:sz w:val="18"/>
                <w:szCs w:val="18"/>
                <w:highlight w:val="yellow"/>
              </w:rPr>
              <w:t>15)_</w:t>
            </w:r>
            <w:proofErr w:type="gramEnd"/>
            <w:r w:rsidRPr="00D43D02">
              <w:rPr>
                <w:rFonts w:ascii="Arial Narrow" w:hAnsi="Arial Narrow"/>
                <w:color w:val="7030A0"/>
                <w:sz w:val="18"/>
                <w:szCs w:val="18"/>
                <w:highlight w:val="yellow"/>
              </w:rPr>
              <w:t>]</w:t>
            </w:r>
          </w:p>
        </w:tc>
        <w:tc>
          <w:tcPr>
            <w:tcW w:w="2500" w:type="dxa"/>
            <w:shd w:val="clear" w:color="auto" w:fill="D9D9D9"/>
          </w:tcPr>
          <w:p w14:paraId="30F397BD" w14:textId="77777777" w:rsidR="002F74F5" w:rsidRPr="00D43D02" w:rsidRDefault="002F74F5" w:rsidP="00020C70">
            <w:pPr>
              <w:jc w:val="center"/>
              <w:rPr>
                <w:rFonts w:ascii="Arial Narrow" w:hAnsi="Arial Narrow"/>
              </w:rPr>
            </w:pPr>
          </w:p>
        </w:tc>
      </w:tr>
      <w:tr w:rsidR="002F74F5" w14:paraId="48E53DCC" w14:textId="77777777" w:rsidTr="00020C70">
        <w:tc>
          <w:tcPr>
            <w:tcW w:w="3823" w:type="dxa"/>
            <w:shd w:val="clear" w:color="auto" w:fill="F2F2F2"/>
          </w:tcPr>
          <w:p w14:paraId="016E2CCD" w14:textId="357F4F67" w:rsidR="002F74F5" w:rsidRPr="00D43D02" w:rsidRDefault="002F74F5" w:rsidP="00020C70">
            <w:pPr>
              <w:rPr>
                <w:rFonts w:ascii="Arial Narrow" w:hAnsi="Arial Narrow"/>
              </w:rPr>
            </w:pPr>
            <w:r w:rsidRPr="00D43D02">
              <w:rPr>
                <w:rFonts w:ascii="Arial Narrow" w:hAnsi="Arial Narrow"/>
              </w:rPr>
              <w:t xml:space="preserve">Increase in Home Equity </w:t>
            </w:r>
            <w:r w:rsidRPr="00D43D02">
              <w:rPr>
                <w:rFonts w:ascii="Arial Narrow" w:hAnsi="Arial Narrow"/>
                <w:b/>
                <w:highlight w:val="yellow"/>
                <w:vertAlign w:val="superscript"/>
              </w:rPr>
              <w:t>[</w:t>
            </w:r>
            <w:r w:rsidR="0027116F">
              <w:rPr>
                <w:rFonts w:ascii="Arial Narrow" w:hAnsi="Arial Narrow"/>
                <w:b/>
                <w:highlight w:val="yellow"/>
                <w:vertAlign w:val="superscript"/>
              </w:rPr>
              <w:t>2</w:t>
            </w:r>
            <w:r w:rsidRPr="00D43D02">
              <w:rPr>
                <w:rFonts w:ascii="Arial Narrow" w:hAnsi="Arial Narrow"/>
                <w:b/>
                <w:highlight w:val="yellow"/>
                <w:vertAlign w:val="superscript"/>
              </w:rPr>
              <w:t>]</w:t>
            </w:r>
          </w:p>
        </w:tc>
        <w:tc>
          <w:tcPr>
            <w:tcW w:w="2693" w:type="dxa"/>
            <w:shd w:val="clear" w:color="auto" w:fill="auto"/>
          </w:tcPr>
          <w:p w14:paraId="7AB964CC" w14:textId="7015EB9F"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w:t>
            </w:r>
            <w:r w:rsidR="0027116F">
              <w:rPr>
                <w:rFonts w:ascii="Arial Narrow" w:hAnsi="Arial Narrow"/>
                <w:color w:val="7030A0"/>
                <w:sz w:val="18"/>
                <w:szCs w:val="18"/>
                <w:highlight w:val="yellow"/>
              </w:rPr>
              <w:t>Y</w:t>
            </w:r>
            <w:r w:rsidRPr="00D43D02">
              <w:rPr>
                <w:rFonts w:ascii="Arial Narrow" w:hAnsi="Arial Narrow"/>
                <w:color w:val="7030A0"/>
                <w:sz w:val="18"/>
                <w:szCs w:val="18"/>
                <w:highlight w:val="yellow"/>
              </w:rPr>
              <w:t xml:space="preserve"> * (1-MTR+0.</w:t>
            </w:r>
            <w:proofErr w:type="gramStart"/>
            <w:r w:rsidRPr="00D43D02">
              <w:rPr>
                <w:rFonts w:ascii="Arial Narrow" w:hAnsi="Arial Narrow"/>
                <w:color w:val="7030A0"/>
                <w:sz w:val="18"/>
                <w:szCs w:val="18"/>
                <w:highlight w:val="yellow"/>
              </w:rPr>
              <w:t>15)_</w:t>
            </w:r>
            <w:proofErr w:type="gramEnd"/>
            <w:r w:rsidRPr="00D43D02">
              <w:rPr>
                <w:rFonts w:ascii="Arial Narrow" w:hAnsi="Arial Narrow"/>
                <w:color w:val="7030A0"/>
                <w:sz w:val="18"/>
                <w:szCs w:val="18"/>
                <w:highlight w:val="yellow"/>
              </w:rPr>
              <w:t>]</w:t>
            </w:r>
          </w:p>
        </w:tc>
        <w:tc>
          <w:tcPr>
            <w:tcW w:w="2500" w:type="dxa"/>
            <w:shd w:val="clear" w:color="auto" w:fill="D9D9D9"/>
          </w:tcPr>
          <w:p w14:paraId="355CEC62" w14:textId="77777777" w:rsidR="002F74F5" w:rsidRPr="00D43D02" w:rsidRDefault="002F74F5" w:rsidP="00020C70">
            <w:pPr>
              <w:jc w:val="center"/>
              <w:rPr>
                <w:rFonts w:ascii="Arial Narrow" w:hAnsi="Arial Narrow"/>
              </w:rPr>
            </w:pPr>
          </w:p>
        </w:tc>
      </w:tr>
      <w:tr w:rsidR="002F74F5" w14:paraId="3CFCA751" w14:textId="77777777" w:rsidTr="00020C70">
        <w:tc>
          <w:tcPr>
            <w:tcW w:w="3823" w:type="dxa"/>
            <w:shd w:val="clear" w:color="auto" w:fill="F2F2F2"/>
          </w:tcPr>
          <w:p w14:paraId="1D809EEB" w14:textId="13FD1E5D" w:rsidR="002F74F5" w:rsidRPr="00D43D02" w:rsidRDefault="002F74F5" w:rsidP="00020C70">
            <w:pPr>
              <w:rPr>
                <w:rFonts w:ascii="Arial Narrow" w:hAnsi="Arial Narrow"/>
              </w:rPr>
            </w:pPr>
            <w:r w:rsidRPr="00D43D02">
              <w:rPr>
                <w:rFonts w:ascii="Arial Narrow" w:hAnsi="Arial Narrow"/>
              </w:rPr>
              <w:t xml:space="preserve">Retained Superannuation Balance </w:t>
            </w:r>
            <w:r w:rsidRPr="00D43D02">
              <w:rPr>
                <w:rFonts w:ascii="Arial Narrow" w:hAnsi="Arial Narrow"/>
                <w:b/>
                <w:highlight w:val="yellow"/>
                <w:vertAlign w:val="superscript"/>
              </w:rPr>
              <w:t>[</w:t>
            </w:r>
            <w:r w:rsidR="0027116F">
              <w:rPr>
                <w:rFonts w:ascii="Arial Narrow" w:hAnsi="Arial Narrow"/>
                <w:b/>
                <w:highlight w:val="yellow"/>
                <w:vertAlign w:val="superscript"/>
              </w:rPr>
              <w:t>2</w:t>
            </w:r>
            <w:r w:rsidRPr="00D43D02">
              <w:rPr>
                <w:rFonts w:ascii="Arial Narrow" w:hAnsi="Arial Narrow"/>
                <w:b/>
                <w:highlight w:val="yellow"/>
                <w:vertAlign w:val="superscript"/>
              </w:rPr>
              <w:t>]</w:t>
            </w:r>
          </w:p>
        </w:tc>
        <w:tc>
          <w:tcPr>
            <w:tcW w:w="2693" w:type="dxa"/>
            <w:shd w:val="clear" w:color="auto" w:fill="D9D9D9"/>
          </w:tcPr>
          <w:p w14:paraId="6A5D4EBF" w14:textId="77777777" w:rsidR="002F74F5" w:rsidRPr="00D43D02" w:rsidRDefault="002F74F5" w:rsidP="00020C70">
            <w:pPr>
              <w:jc w:val="center"/>
              <w:rPr>
                <w:rFonts w:ascii="Arial Narrow" w:hAnsi="Arial Narrow"/>
              </w:rPr>
            </w:pPr>
          </w:p>
        </w:tc>
        <w:tc>
          <w:tcPr>
            <w:tcW w:w="2500" w:type="dxa"/>
            <w:shd w:val="clear" w:color="auto" w:fill="auto"/>
          </w:tcPr>
          <w:p w14:paraId="18A2EA21" w14:textId="77777777"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$[___X____]</w:t>
            </w:r>
          </w:p>
        </w:tc>
      </w:tr>
      <w:tr w:rsidR="002F74F5" w14:paraId="5718391C" w14:textId="77777777" w:rsidTr="00020C70">
        <w:tc>
          <w:tcPr>
            <w:tcW w:w="3823" w:type="dxa"/>
            <w:shd w:val="clear" w:color="auto" w:fill="auto"/>
          </w:tcPr>
          <w:p w14:paraId="43AB9229" w14:textId="708282F7" w:rsidR="002F74F5" w:rsidRPr="00D43D02" w:rsidRDefault="002F74F5" w:rsidP="00020C70">
            <w:pPr>
              <w:rPr>
                <w:rFonts w:ascii="Arial Narrow" w:hAnsi="Arial Narrow"/>
              </w:rPr>
            </w:pPr>
            <w:r w:rsidRPr="00D43D02">
              <w:rPr>
                <w:rFonts w:ascii="Arial Narrow" w:hAnsi="Arial Narrow"/>
              </w:rPr>
              <w:t xml:space="preserve">Reduction in Ongoing Interest Repayments </w:t>
            </w:r>
            <w:r w:rsidRPr="00D43D02">
              <w:rPr>
                <w:rFonts w:ascii="Arial Narrow" w:hAnsi="Arial Narrow"/>
                <w:b/>
                <w:highlight w:val="yellow"/>
                <w:vertAlign w:val="superscript"/>
              </w:rPr>
              <w:t>[</w:t>
            </w:r>
            <w:r w:rsidR="0027116F">
              <w:rPr>
                <w:rFonts w:ascii="Arial Narrow" w:hAnsi="Arial Narrow"/>
                <w:b/>
                <w:highlight w:val="yellow"/>
                <w:vertAlign w:val="superscript"/>
              </w:rPr>
              <w:t>3</w:t>
            </w:r>
            <w:r w:rsidRPr="00D43D02">
              <w:rPr>
                <w:rFonts w:ascii="Arial Narrow" w:hAnsi="Arial Narrow"/>
                <w:b/>
                <w:highlight w:val="yellow"/>
                <w:vertAlign w:val="superscript"/>
              </w:rPr>
              <w:t>]</w:t>
            </w:r>
          </w:p>
        </w:tc>
        <w:tc>
          <w:tcPr>
            <w:tcW w:w="2693" w:type="dxa"/>
            <w:shd w:val="clear" w:color="auto" w:fill="auto"/>
          </w:tcPr>
          <w:p w14:paraId="28131087" w14:textId="59E72BE0"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w:t>
            </w:r>
            <w:r w:rsidR="002042AE">
              <w:rPr>
                <w:rFonts w:ascii="Arial Narrow" w:hAnsi="Arial Narrow"/>
                <w:color w:val="7030A0"/>
                <w:sz w:val="18"/>
                <w:szCs w:val="18"/>
                <w:highlight w:val="yellow"/>
              </w:rPr>
              <w:t>Y</w:t>
            </w:r>
            <w:r w:rsidRPr="00D43D02">
              <w:rPr>
                <w:rFonts w:ascii="Arial Narrow" w:hAnsi="Arial Narrow"/>
                <w:color w:val="7030A0"/>
                <w:sz w:val="18"/>
                <w:szCs w:val="18"/>
                <w:highlight w:val="yellow"/>
              </w:rPr>
              <w:t xml:space="preserve"> * (1-MTR+0.15) * Existing Home Loan Rate pa_]</w:t>
            </w:r>
          </w:p>
        </w:tc>
        <w:tc>
          <w:tcPr>
            <w:tcW w:w="2500" w:type="dxa"/>
            <w:shd w:val="clear" w:color="auto" w:fill="D9D9D9"/>
          </w:tcPr>
          <w:p w14:paraId="7E6DD884" w14:textId="77777777" w:rsidR="002F74F5" w:rsidRPr="00D43D02" w:rsidRDefault="002F74F5" w:rsidP="00020C70">
            <w:pPr>
              <w:jc w:val="center"/>
              <w:rPr>
                <w:rFonts w:ascii="Arial Narrow" w:hAnsi="Arial Narrow"/>
              </w:rPr>
            </w:pPr>
          </w:p>
        </w:tc>
      </w:tr>
      <w:tr w:rsidR="002F74F5" w14:paraId="6A2E02DE" w14:textId="77777777" w:rsidTr="00020C70">
        <w:tc>
          <w:tcPr>
            <w:tcW w:w="3823" w:type="dxa"/>
            <w:shd w:val="clear" w:color="auto" w:fill="auto"/>
          </w:tcPr>
          <w:p w14:paraId="5753DC6F" w14:textId="148B0AD1" w:rsidR="002F74F5" w:rsidRPr="00D43D02" w:rsidRDefault="002F74F5" w:rsidP="00020C70">
            <w:pPr>
              <w:rPr>
                <w:rFonts w:ascii="Arial Narrow" w:hAnsi="Arial Narrow"/>
              </w:rPr>
            </w:pPr>
            <w:r w:rsidRPr="00D43D02">
              <w:rPr>
                <w:rFonts w:ascii="Arial Narrow" w:hAnsi="Arial Narrow"/>
              </w:rPr>
              <w:t xml:space="preserve">Superannuation Earnings </w:t>
            </w:r>
            <w:r w:rsidRPr="00D43D02">
              <w:rPr>
                <w:rFonts w:ascii="Arial Narrow" w:hAnsi="Arial Narrow"/>
                <w:b/>
                <w:highlight w:val="yellow"/>
                <w:vertAlign w:val="superscript"/>
              </w:rPr>
              <w:t>[</w:t>
            </w:r>
            <w:r w:rsidR="0027116F">
              <w:rPr>
                <w:rFonts w:ascii="Arial Narrow" w:hAnsi="Arial Narrow"/>
                <w:b/>
                <w:highlight w:val="yellow"/>
                <w:vertAlign w:val="superscript"/>
              </w:rPr>
              <w:t>3</w:t>
            </w:r>
            <w:r w:rsidRPr="00D43D02">
              <w:rPr>
                <w:rFonts w:ascii="Arial Narrow" w:hAnsi="Arial Narrow"/>
                <w:b/>
                <w:highlight w:val="yellow"/>
                <w:vertAlign w:val="superscript"/>
              </w:rPr>
              <w:t>]</w:t>
            </w:r>
          </w:p>
        </w:tc>
        <w:tc>
          <w:tcPr>
            <w:tcW w:w="2693" w:type="dxa"/>
            <w:shd w:val="clear" w:color="auto" w:fill="D9D9D9"/>
          </w:tcPr>
          <w:p w14:paraId="473C726E" w14:textId="77777777" w:rsidR="002F74F5" w:rsidRPr="00D43D02" w:rsidRDefault="002F74F5" w:rsidP="00020C70">
            <w:pPr>
              <w:rPr>
                <w:rFonts w:ascii="Arial Narrow" w:hAnsi="Arial Narrow"/>
              </w:rPr>
            </w:pPr>
          </w:p>
        </w:tc>
        <w:tc>
          <w:tcPr>
            <w:tcW w:w="2500" w:type="dxa"/>
            <w:shd w:val="clear" w:color="auto" w:fill="auto"/>
          </w:tcPr>
          <w:p w14:paraId="74FEB336" w14:textId="352AB09E" w:rsidR="002F74F5" w:rsidRPr="00D43D02" w:rsidRDefault="002F74F5" w:rsidP="00020C70">
            <w:pPr>
              <w:rPr>
                <w:rFonts w:ascii="Arial Narrow" w:hAnsi="Arial Narrow"/>
              </w:rPr>
            </w:pPr>
            <w:r w:rsidRPr="00D43D02">
              <w:rPr>
                <w:rFonts w:ascii="Arial Narrow" w:hAnsi="Arial Narrow"/>
                <w:color w:val="7030A0"/>
                <w:sz w:val="18"/>
                <w:szCs w:val="18"/>
                <w:highlight w:val="yellow"/>
              </w:rPr>
              <w:t xml:space="preserve">$[_X * Conservative earnings assumption pa </w:t>
            </w:r>
            <w:r w:rsidRPr="00D43D02">
              <w:rPr>
                <w:rFonts w:ascii="Arial Narrow" w:hAnsi="Arial Narrow"/>
                <w:b/>
                <w:sz w:val="18"/>
                <w:szCs w:val="18"/>
                <w:vertAlign w:val="superscript"/>
              </w:rPr>
              <w:t>[</w:t>
            </w:r>
            <w:proofErr w:type="gramStart"/>
            <w:r w:rsidR="00571C29">
              <w:rPr>
                <w:rFonts w:ascii="Arial Narrow" w:hAnsi="Arial Narrow"/>
                <w:b/>
                <w:sz w:val="18"/>
                <w:szCs w:val="18"/>
                <w:vertAlign w:val="superscript"/>
              </w:rPr>
              <w:t>4</w:t>
            </w:r>
            <w:r w:rsidRPr="00D43D02">
              <w:rPr>
                <w:rFonts w:ascii="Arial Narrow" w:hAnsi="Arial Narrow"/>
                <w:b/>
                <w:sz w:val="18"/>
                <w:szCs w:val="18"/>
                <w:vertAlign w:val="superscript"/>
              </w:rPr>
              <w:t>]</w:t>
            </w:r>
            <w:r w:rsidRPr="00D43D02">
              <w:rPr>
                <w:rFonts w:ascii="Arial Narrow" w:hAnsi="Arial Narrow"/>
                <w:color w:val="7030A0"/>
                <w:sz w:val="18"/>
                <w:szCs w:val="18"/>
                <w:highlight w:val="yellow"/>
              </w:rPr>
              <w:t>_</w:t>
            </w:r>
            <w:proofErr w:type="gramEnd"/>
            <w:r w:rsidRPr="00D43D02">
              <w:rPr>
                <w:rFonts w:ascii="Arial Narrow" w:hAnsi="Arial Narrow"/>
                <w:color w:val="7030A0"/>
                <w:sz w:val="18"/>
                <w:szCs w:val="18"/>
                <w:highlight w:val="yellow"/>
              </w:rPr>
              <w:t>]</w:t>
            </w:r>
          </w:p>
        </w:tc>
      </w:tr>
      <w:tr w:rsidR="002F74F5" w14:paraId="4DB62408" w14:textId="77777777" w:rsidTr="00020C70">
        <w:tc>
          <w:tcPr>
            <w:tcW w:w="3823" w:type="dxa"/>
            <w:shd w:val="clear" w:color="auto" w:fill="BFBFBF"/>
          </w:tcPr>
          <w:p w14:paraId="0231005A" w14:textId="41C67C2F" w:rsidR="002F74F5" w:rsidRPr="00D43D02" w:rsidRDefault="002F74F5" w:rsidP="00020C70">
            <w:pPr>
              <w:jc w:val="right"/>
              <w:rPr>
                <w:rFonts w:ascii="Arial Narrow" w:hAnsi="Arial Narrow"/>
              </w:rPr>
            </w:pPr>
            <w:r w:rsidRPr="00D43D02">
              <w:rPr>
                <w:rFonts w:ascii="Arial Narrow" w:hAnsi="Arial Narrow"/>
                <w:b/>
              </w:rPr>
              <w:t xml:space="preserve">Total Value </w:t>
            </w:r>
            <w:r w:rsidRPr="0008751D">
              <w:rPr>
                <w:rFonts w:ascii="Arial Narrow" w:hAnsi="Arial Narrow"/>
                <w:b/>
                <w:highlight w:val="yellow"/>
                <w:vertAlign w:val="superscript"/>
              </w:rPr>
              <w:t>[</w:t>
            </w:r>
            <w:r w:rsidR="00571C29" w:rsidRPr="0008751D">
              <w:rPr>
                <w:rFonts w:ascii="Arial Narrow" w:hAnsi="Arial Narrow"/>
                <w:b/>
                <w:highlight w:val="yellow"/>
                <w:vertAlign w:val="superscript"/>
              </w:rPr>
              <w:t>5</w:t>
            </w:r>
            <w:r w:rsidRPr="0008751D">
              <w:rPr>
                <w:rFonts w:ascii="Arial Narrow" w:hAnsi="Arial Narrow"/>
                <w:b/>
                <w:highlight w:val="yellow"/>
                <w:vertAlign w:val="superscript"/>
              </w:rPr>
              <w:t>]</w:t>
            </w:r>
            <w:r w:rsidRPr="00D43D02">
              <w:rPr>
                <w:rFonts w:ascii="Arial Narrow" w:hAnsi="Arial Narrow"/>
                <w:b/>
              </w:rPr>
              <w:t xml:space="preserve"> (for this period)</w:t>
            </w:r>
          </w:p>
        </w:tc>
        <w:tc>
          <w:tcPr>
            <w:tcW w:w="2693" w:type="dxa"/>
            <w:shd w:val="clear" w:color="auto" w:fill="BFBFBF"/>
          </w:tcPr>
          <w:p w14:paraId="2CE74048"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$[_X * (1-MTR+0.</w:t>
            </w:r>
            <w:proofErr w:type="gramStart"/>
            <w:r w:rsidRPr="00D43D02">
              <w:rPr>
                <w:rFonts w:ascii="Arial Narrow" w:hAnsi="Arial Narrow"/>
                <w:b/>
                <w:color w:val="7030A0"/>
                <w:sz w:val="18"/>
                <w:szCs w:val="18"/>
                <w:highlight w:val="yellow"/>
              </w:rPr>
              <w:t>15)_</w:t>
            </w:r>
            <w:proofErr w:type="gramEnd"/>
            <w:r w:rsidRPr="00D43D02">
              <w:rPr>
                <w:rFonts w:ascii="Arial Narrow" w:hAnsi="Arial Narrow"/>
                <w:b/>
                <w:color w:val="7030A0"/>
                <w:sz w:val="18"/>
                <w:szCs w:val="18"/>
                <w:highlight w:val="yellow"/>
              </w:rPr>
              <w:t xml:space="preserve">] </w:t>
            </w:r>
          </w:p>
          <w:p w14:paraId="3E99DDDB"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w:t>
            </w:r>
          </w:p>
          <w:p w14:paraId="2FE0E0EB" w14:textId="77777777" w:rsidR="002F74F5" w:rsidRPr="00D43D02" w:rsidRDefault="002F74F5" w:rsidP="00020C70">
            <w:pPr>
              <w:jc w:val="center"/>
              <w:rPr>
                <w:rFonts w:ascii="Arial Narrow" w:hAnsi="Arial Narrow"/>
                <w:b/>
              </w:rPr>
            </w:pPr>
            <w:r w:rsidRPr="00D43D02">
              <w:rPr>
                <w:rFonts w:ascii="Arial Narrow" w:hAnsi="Arial Narrow"/>
                <w:b/>
                <w:color w:val="7030A0"/>
                <w:sz w:val="18"/>
                <w:szCs w:val="18"/>
                <w:highlight w:val="yellow"/>
              </w:rPr>
              <w:t>[_X * (1-MTR) * Existing Home Loan Rate pa_]</w:t>
            </w:r>
          </w:p>
        </w:tc>
        <w:tc>
          <w:tcPr>
            <w:tcW w:w="2500" w:type="dxa"/>
            <w:shd w:val="clear" w:color="auto" w:fill="BFBFBF"/>
          </w:tcPr>
          <w:p w14:paraId="61216059"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$[___X____]</w:t>
            </w:r>
          </w:p>
          <w:p w14:paraId="587A3363"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w:t>
            </w:r>
          </w:p>
          <w:p w14:paraId="63123CDF" w14:textId="58E6C28D" w:rsidR="002F74F5" w:rsidRPr="00D43D02" w:rsidRDefault="002F74F5" w:rsidP="00020C70">
            <w:pPr>
              <w:jc w:val="center"/>
              <w:rPr>
                <w:rFonts w:ascii="Arial Narrow" w:hAnsi="Arial Narrow"/>
                <w:b/>
              </w:rPr>
            </w:pPr>
            <w:r w:rsidRPr="00D43D02">
              <w:rPr>
                <w:rFonts w:ascii="Arial Narrow" w:hAnsi="Arial Narrow"/>
                <w:b/>
                <w:color w:val="7030A0"/>
                <w:sz w:val="18"/>
                <w:szCs w:val="18"/>
                <w:highlight w:val="yellow"/>
              </w:rPr>
              <w:t xml:space="preserve">[_X * (1-0.15) * Conservative earnings assumption </w:t>
            </w:r>
            <w:r w:rsidRPr="00097D52">
              <w:rPr>
                <w:rFonts w:ascii="Arial Narrow" w:hAnsi="Arial Narrow"/>
                <w:b/>
                <w:color w:val="7030A0"/>
                <w:sz w:val="18"/>
                <w:szCs w:val="18"/>
                <w:highlight w:val="yellow"/>
              </w:rPr>
              <w:t>pa</w:t>
            </w:r>
            <w:r w:rsidR="00571C29" w:rsidRPr="00097D52">
              <w:rPr>
                <w:rFonts w:ascii="Arial Narrow" w:hAnsi="Arial Narrow"/>
                <w:b/>
                <w:color w:val="7030A0"/>
                <w:sz w:val="18"/>
                <w:szCs w:val="18"/>
                <w:highlight w:val="yellow"/>
              </w:rPr>
              <w:t xml:space="preserve"> [</w:t>
            </w:r>
            <w:proofErr w:type="gramStart"/>
            <w:r w:rsidR="00571C29" w:rsidRPr="00E11BDB">
              <w:rPr>
                <w:rFonts w:ascii="Arial Narrow" w:hAnsi="Arial Narrow"/>
                <w:b/>
                <w:sz w:val="18"/>
                <w:szCs w:val="18"/>
                <w:highlight w:val="yellow"/>
                <w:vertAlign w:val="superscript"/>
              </w:rPr>
              <w:t>4]</w:t>
            </w:r>
            <w:r w:rsidRPr="00E11BDB">
              <w:rPr>
                <w:rFonts w:ascii="Arial Narrow" w:hAnsi="Arial Narrow"/>
                <w:b/>
                <w:sz w:val="18"/>
                <w:szCs w:val="18"/>
                <w:highlight w:val="yellow"/>
                <w:vertAlign w:val="superscript"/>
              </w:rPr>
              <w:t>_</w:t>
            </w:r>
            <w:proofErr w:type="gramEnd"/>
            <w:r w:rsidRPr="00E11BDB">
              <w:rPr>
                <w:rFonts w:ascii="Arial Narrow" w:hAnsi="Arial Narrow"/>
                <w:b/>
                <w:sz w:val="18"/>
                <w:szCs w:val="18"/>
                <w:highlight w:val="yellow"/>
                <w:vertAlign w:val="superscript"/>
              </w:rPr>
              <w:t>]</w:t>
            </w:r>
          </w:p>
        </w:tc>
      </w:tr>
    </w:tbl>
    <w:p w14:paraId="5F912BC2" w14:textId="77777777" w:rsidR="002F74F5" w:rsidRDefault="002F74F5" w:rsidP="002F74F5"/>
    <w:p w14:paraId="43E4501F" w14:textId="7696E84B" w:rsidR="00BC4FF6" w:rsidRDefault="002F74F5" w:rsidP="002F74F5">
      <w:pPr>
        <w:rPr>
          <w:b/>
          <w:sz w:val="18"/>
          <w:szCs w:val="18"/>
          <w:highlight w:val="yellow"/>
        </w:rPr>
      </w:pPr>
      <w:r>
        <w:rPr>
          <w:b/>
          <w:sz w:val="18"/>
          <w:szCs w:val="18"/>
          <w:highlight w:val="yellow"/>
        </w:rPr>
        <w:t>[1</w:t>
      </w:r>
      <w:r w:rsidRPr="003A5B1F">
        <w:rPr>
          <w:b/>
          <w:sz w:val="18"/>
          <w:szCs w:val="18"/>
          <w:highlight w:val="yellow"/>
        </w:rPr>
        <w:t>]</w:t>
      </w:r>
      <w:r w:rsidR="00BC4FF6">
        <w:rPr>
          <w:b/>
          <w:sz w:val="18"/>
          <w:szCs w:val="18"/>
          <w:highlight w:val="yellow"/>
        </w:rPr>
        <w:t xml:space="preserve"> Will be $X, only if the income stream </w:t>
      </w:r>
      <w:r w:rsidR="0027116F">
        <w:rPr>
          <w:b/>
          <w:sz w:val="18"/>
          <w:szCs w:val="18"/>
          <w:highlight w:val="yellow"/>
        </w:rPr>
        <w:t>payments are received after age 60</w:t>
      </w:r>
      <w:r w:rsidR="00BC4FF6">
        <w:rPr>
          <w:b/>
          <w:sz w:val="18"/>
          <w:szCs w:val="18"/>
          <w:highlight w:val="yellow"/>
        </w:rPr>
        <w:t>.</w:t>
      </w:r>
      <w:r w:rsidRPr="003A5B1F">
        <w:rPr>
          <w:b/>
          <w:sz w:val="18"/>
          <w:szCs w:val="18"/>
          <w:highlight w:val="yellow"/>
        </w:rPr>
        <w:t xml:space="preserve"> </w:t>
      </w:r>
    </w:p>
    <w:p w14:paraId="19CCDB0A" w14:textId="5C9C788F" w:rsidR="00BC4FF6" w:rsidRDefault="00BC4FF6" w:rsidP="00BC4FF6">
      <w:pPr>
        <w:jc w:val="left"/>
        <w:rPr>
          <w:b/>
          <w:sz w:val="18"/>
          <w:szCs w:val="18"/>
          <w:highlight w:val="yellow"/>
        </w:rPr>
      </w:pPr>
      <w:r w:rsidRPr="00572FBE">
        <w:rPr>
          <w:b/>
          <w:sz w:val="18"/>
          <w:szCs w:val="18"/>
          <w:highlight w:val="yellow"/>
        </w:rPr>
        <w:t xml:space="preserve">If </w:t>
      </w:r>
      <w:r w:rsidR="00C41E7E">
        <w:rPr>
          <w:b/>
          <w:sz w:val="18"/>
          <w:szCs w:val="18"/>
          <w:highlight w:val="yellow"/>
        </w:rPr>
        <w:t xml:space="preserve">100% </w:t>
      </w:r>
      <w:r w:rsidR="0027116F">
        <w:rPr>
          <w:b/>
          <w:sz w:val="18"/>
          <w:szCs w:val="18"/>
          <w:highlight w:val="yellow"/>
        </w:rPr>
        <w:t>assessable</w:t>
      </w:r>
      <w:r>
        <w:rPr>
          <w:b/>
          <w:sz w:val="18"/>
          <w:szCs w:val="18"/>
          <w:highlight w:val="yellow"/>
        </w:rPr>
        <w:t xml:space="preserve"> </w:t>
      </w:r>
      <w:r w:rsidR="0027116F">
        <w:rPr>
          <w:b/>
          <w:sz w:val="18"/>
          <w:szCs w:val="18"/>
          <w:highlight w:val="yellow"/>
        </w:rPr>
        <w:t xml:space="preserve">pension </w:t>
      </w:r>
      <w:r>
        <w:rPr>
          <w:b/>
          <w:sz w:val="18"/>
          <w:szCs w:val="18"/>
          <w:highlight w:val="yellow"/>
        </w:rPr>
        <w:t>income</w:t>
      </w:r>
      <w:r w:rsidRPr="00572FBE">
        <w:rPr>
          <w:b/>
          <w:sz w:val="18"/>
          <w:szCs w:val="18"/>
          <w:highlight w:val="yellow"/>
        </w:rPr>
        <w:t xml:space="preserve"> ($Y) </w:t>
      </w:r>
      <w:r>
        <w:rPr>
          <w:b/>
          <w:sz w:val="18"/>
          <w:szCs w:val="18"/>
          <w:highlight w:val="yellow"/>
        </w:rPr>
        <w:t xml:space="preserve">is </w:t>
      </w:r>
      <w:r w:rsidRPr="00572FBE">
        <w:rPr>
          <w:b/>
          <w:sz w:val="18"/>
          <w:szCs w:val="18"/>
          <w:highlight w:val="yellow"/>
        </w:rPr>
        <w:t xml:space="preserve">to be used for this strategy, then the </w:t>
      </w:r>
      <w:r>
        <w:rPr>
          <w:b/>
          <w:sz w:val="18"/>
          <w:szCs w:val="18"/>
          <w:highlight w:val="yellow"/>
        </w:rPr>
        <w:t>‘Post-tax value’</w:t>
      </w:r>
      <w:r w:rsidRPr="00572FBE">
        <w:rPr>
          <w:b/>
          <w:sz w:val="18"/>
          <w:szCs w:val="18"/>
          <w:highlight w:val="yellow"/>
        </w:rPr>
        <w:t xml:space="preserve"> $[</w:t>
      </w:r>
      <w:r w:rsidR="0027116F">
        <w:rPr>
          <w:b/>
          <w:sz w:val="18"/>
          <w:szCs w:val="18"/>
          <w:highlight w:val="yellow"/>
        </w:rPr>
        <w:t>Y*(1-MTR+0.15)</w:t>
      </w:r>
      <w:r w:rsidRPr="00572FBE">
        <w:rPr>
          <w:b/>
          <w:sz w:val="18"/>
          <w:szCs w:val="18"/>
          <w:highlight w:val="yellow"/>
        </w:rPr>
        <w:t xml:space="preserve">] </w:t>
      </w:r>
      <w:r w:rsidR="0027116F">
        <w:rPr>
          <w:b/>
          <w:sz w:val="18"/>
          <w:szCs w:val="18"/>
          <w:highlight w:val="yellow"/>
        </w:rPr>
        <w:t>results</w:t>
      </w:r>
      <w:r w:rsidRPr="00572FBE">
        <w:rPr>
          <w:b/>
          <w:sz w:val="18"/>
          <w:szCs w:val="18"/>
          <w:highlight w:val="yellow"/>
        </w:rPr>
        <w:t xml:space="preserve">. </w:t>
      </w:r>
    </w:p>
    <w:p w14:paraId="7F771642" w14:textId="676B8E10" w:rsidR="0027116F" w:rsidRDefault="0027116F" w:rsidP="00BC4FF6">
      <w:pPr>
        <w:jc w:val="left"/>
        <w:rPr>
          <w:b/>
          <w:sz w:val="18"/>
          <w:szCs w:val="18"/>
          <w:highlight w:val="yellow"/>
        </w:rPr>
      </w:pPr>
      <w:r>
        <w:rPr>
          <w:b/>
          <w:sz w:val="18"/>
          <w:szCs w:val="18"/>
          <w:highlight w:val="yellow"/>
        </w:rPr>
        <w:t xml:space="preserve">The assessable portion of $Y, </w:t>
      </w:r>
      <w:r w:rsidR="00E95E47">
        <w:rPr>
          <w:b/>
          <w:sz w:val="18"/>
          <w:szCs w:val="18"/>
          <w:highlight w:val="yellow"/>
        </w:rPr>
        <w:t>dependent</w:t>
      </w:r>
      <w:r>
        <w:rPr>
          <w:b/>
          <w:sz w:val="18"/>
          <w:szCs w:val="18"/>
          <w:highlight w:val="yellow"/>
        </w:rPr>
        <w:t xml:space="preserve"> upon the taxable/tax free components </w:t>
      </w:r>
      <w:r w:rsidR="00C41E7E">
        <w:rPr>
          <w:b/>
          <w:sz w:val="18"/>
          <w:szCs w:val="18"/>
          <w:highlight w:val="yellow"/>
        </w:rPr>
        <w:t>will</w:t>
      </w:r>
      <w:r>
        <w:rPr>
          <w:b/>
          <w:sz w:val="18"/>
          <w:szCs w:val="18"/>
          <w:highlight w:val="yellow"/>
        </w:rPr>
        <w:t xml:space="preserve"> require a </w:t>
      </w:r>
      <w:r w:rsidR="00C41E7E">
        <w:rPr>
          <w:b/>
          <w:sz w:val="18"/>
          <w:szCs w:val="18"/>
          <w:highlight w:val="yellow"/>
        </w:rPr>
        <w:t xml:space="preserve">proportional </w:t>
      </w:r>
      <w:r>
        <w:rPr>
          <w:b/>
          <w:sz w:val="18"/>
          <w:szCs w:val="18"/>
          <w:highlight w:val="yellow"/>
        </w:rPr>
        <w:t>treatment.</w:t>
      </w:r>
    </w:p>
    <w:p w14:paraId="5F489E0C" w14:textId="2928E540" w:rsidR="002F74F5" w:rsidRPr="003A5B1F" w:rsidRDefault="0027116F" w:rsidP="002F74F5">
      <w:pPr>
        <w:rPr>
          <w:b/>
          <w:sz w:val="18"/>
          <w:szCs w:val="18"/>
          <w:highlight w:val="yellow"/>
        </w:rPr>
      </w:pPr>
      <w:r>
        <w:rPr>
          <w:b/>
          <w:sz w:val="18"/>
          <w:szCs w:val="18"/>
          <w:highlight w:val="yellow"/>
        </w:rPr>
        <w:t xml:space="preserve">[2] </w:t>
      </w:r>
      <w:r w:rsidR="002F74F5" w:rsidRPr="003A5B1F">
        <w:rPr>
          <w:b/>
          <w:sz w:val="18"/>
          <w:szCs w:val="18"/>
          <w:highlight w:val="yellow"/>
        </w:rPr>
        <w:t xml:space="preserve">These amounts represent </w:t>
      </w:r>
      <w:r w:rsidR="002F74F5">
        <w:rPr>
          <w:b/>
          <w:sz w:val="18"/>
          <w:szCs w:val="18"/>
          <w:highlight w:val="yellow"/>
        </w:rPr>
        <w:t xml:space="preserve">the </w:t>
      </w:r>
      <w:r w:rsidR="002F74F5" w:rsidRPr="003A5B1F">
        <w:rPr>
          <w:b/>
          <w:sz w:val="18"/>
          <w:szCs w:val="18"/>
          <w:highlight w:val="yellow"/>
        </w:rPr>
        <w:t xml:space="preserve">‘capital’ impact resulting from the strategy. The home loan </w:t>
      </w:r>
      <w:r w:rsidR="002F74F5">
        <w:rPr>
          <w:b/>
          <w:sz w:val="18"/>
          <w:szCs w:val="18"/>
          <w:highlight w:val="yellow"/>
        </w:rPr>
        <w:t>is reduced</w:t>
      </w:r>
      <w:r>
        <w:rPr>
          <w:b/>
          <w:sz w:val="18"/>
          <w:szCs w:val="18"/>
          <w:highlight w:val="yellow"/>
        </w:rPr>
        <w:t xml:space="preserve"> or the </w:t>
      </w:r>
      <w:r w:rsidR="002F74F5" w:rsidRPr="003A5B1F">
        <w:rPr>
          <w:b/>
          <w:sz w:val="18"/>
          <w:szCs w:val="18"/>
          <w:highlight w:val="yellow"/>
        </w:rPr>
        <w:t xml:space="preserve">superannuation </w:t>
      </w:r>
      <w:r w:rsidR="002F74F5">
        <w:rPr>
          <w:b/>
          <w:sz w:val="18"/>
          <w:szCs w:val="18"/>
          <w:highlight w:val="yellow"/>
        </w:rPr>
        <w:t xml:space="preserve">balance </w:t>
      </w:r>
      <w:r>
        <w:rPr>
          <w:b/>
          <w:sz w:val="18"/>
          <w:szCs w:val="18"/>
          <w:highlight w:val="yellow"/>
        </w:rPr>
        <w:t>remains the same</w:t>
      </w:r>
      <w:r w:rsidR="002F74F5" w:rsidRPr="003A5B1F">
        <w:rPr>
          <w:b/>
          <w:sz w:val="18"/>
          <w:szCs w:val="18"/>
          <w:highlight w:val="yellow"/>
        </w:rPr>
        <w:t>.</w:t>
      </w:r>
    </w:p>
    <w:p w14:paraId="7FE413C3" w14:textId="2805BB5A" w:rsidR="002F74F5" w:rsidRDefault="002F74F5" w:rsidP="002F74F5">
      <w:pPr>
        <w:rPr>
          <w:b/>
          <w:sz w:val="18"/>
          <w:szCs w:val="18"/>
          <w:highlight w:val="yellow"/>
        </w:rPr>
      </w:pPr>
      <w:r>
        <w:rPr>
          <w:b/>
          <w:sz w:val="18"/>
          <w:szCs w:val="18"/>
          <w:highlight w:val="yellow"/>
        </w:rPr>
        <w:lastRenderedPageBreak/>
        <w:t>[</w:t>
      </w:r>
      <w:r w:rsidR="00571C29">
        <w:rPr>
          <w:b/>
          <w:sz w:val="18"/>
          <w:szCs w:val="18"/>
          <w:highlight w:val="yellow"/>
        </w:rPr>
        <w:t>3</w:t>
      </w:r>
      <w:r w:rsidRPr="003A5B1F">
        <w:rPr>
          <w:b/>
          <w:sz w:val="18"/>
          <w:szCs w:val="18"/>
          <w:highlight w:val="yellow"/>
        </w:rPr>
        <w:t>] These amounts represent the ‘income’ impact resulting from the strategy.  The</w:t>
      </w:r>
      <w:r>
        <w:rPr>
          <w:b/>
          <w:sz w:val="18"/>
          <w:szCs w:val="18"/>
          <w:highlight w:val="yellow"/>
        </w:rPr>
        <w:t xml:space="preserve"> periodic</w:t>
      </w:r>
      <w:r w:rsidRPr="003A5B1F">
        <w:rPr>
          <w:b/>
          <w:sz w:val="18"/>
          <w:szCs w:val="18"/>
          <w:highlight w:val="yellow"/>
        </w:rPr>
        <w:t xml:space="preserve"> home loan repayment</w:t>
      </w:r>
      <w:r>
        <w:rPr>
          <w:b/>
          <w:sz w:val="18"/>
          <w:szCs w:val="18"/>
          <w:highlight w:val="yellow"/>
        </w:rPr>
        <w:t>s are reduced</w:t>
      </w:r>
      <w:r w:rsidR="00537938">
        <w:rPr>
          <w:b/>
          <w:sz w:val="18"/>
          <w:szCs w:val="18"/>
          <w:highlight w:val="yellow"/>
        </w:rPr>
        <w:t xml:space="preserve">; but </w:t>
      </w:r>
      <w:r>
        <w:rPr>
          <w:b/>
          <w:sz w:val="18"/>
          <w:szCs w:val="18"/>
          <w:highlight w:val="yellow"/>
        </w:rPr>
        <w:t xml:space="preserve">the superannuation </w:t>
      </w:r>
      <w:r w:rsidR="00EC543C">
        <w:rPr>
          <w:b/>
          <w:sz w:val="18"/>
          <w:szCs w:val="18"/>
          <w:highlight w:val="yellow"/>
        </w:rPr>
        <w:t>ha</w:t>
      </w:r>
      <w:r w:rsidR="00537938">
        <w:rPr>
          <w:b/>
          <w:sz w:val="18"/>
          <w:szCs w:val="18"/>
          <w:highlight w:val="yellow"/>
        </w:rPr>
        <w:t>s</w:t>
      </w:r>
      <w:r w:rsidR="00EC543C">
        <w:rPr>
          <w:b/>
          <w:sz w:val="18"/>
          <w:szCs w:val="18"/>
          <w:highlight w:val="yellow"/>
        </w:rPr>
        <w:t xml:space="preserve"> reduced</w:t>
      </w:r>
      <w:r>
        <w:rPr>
          <w:b/>
          <w:sz w:val="18"/>
          <w:szCs w:val="18"/>
          <w:highlight w:val="yellow"/>
        </w:rPr>
        <w:t xml:space="preserve"> </w:t>
      </w:r>
      <w:r w:rsidR="00EC543C">
        <w:rPr>
          <w:b/>
          <w:sz w:val="18"/>
          <w:szCs w:val="18"/>
          <w:highlight w:val="yellow"/>
        </w:rPr>
        <w:t xml:space="preserve">ongoing incremental </w:t>
      </w:r>
      <w:r>
        <w:rPr>
          <w:b/>
          <w:sz w:val="18"/>
          <w:szCs w:val="18"/>
          <w:highlight w:val="yellow"/>
        </w:rPr>
        <w:t xml:space="preserve">earnings. </w:t>
      </w:r>
      <w:r w:rsidRPr="003A5B1F">
        <w:rPr>
          <w:b/>
          <w:sz w:val="18"/>
          <w:szCs w:val="18"/>
          <w:highlight w:val="yellow"/>
        </w:rPr>
        <w:t xml:space="preserve"> </w:t>
      </w:r>
    </w:p>
    <w:p w14:paraId="6BD72523" w14:textId="41DEE77E" w:rsidR="002F74F5" w:rsidRDefault="002F74F5" w:rsidP="002F74F5">
      <w:pPr>
        <w:rPr>
          <w:b/>
          <w:sz w:val="18"/>
          <w:szCs w:val="18"/>
          <w:highlight w:val="yellow"/>
        </w:rPr>
      </w:pPr>
      <w:r>
        <w:rPr>
          <w:b/>
          <w:sz w:val="18"/>
          <w:szCs w:val="18"/>
          <w:highlight w:val="yellow"/>
        </w:rPr>
        <w:t>[</w:t>
      </w:r>
      <w:r w:rsidR="00571C29">
        <w:rPr>
          <w:b/>
          <w:sz w:val="18"/>
          <w:szCs w:val="18"/>
          <w:highlight w:val="yellow"/>
        </w:rPr>
        <w:t>4</w:t>
      </w:r>
      <w:r>
        <w:rPr>
          <w:b/>
          <w:sz w:val="18"/>
          <w:szCs w:val="18"/>
          <w:highlight w:val="yellow"/>
        </w:rPr>
        <w:t xml:space="preserve">] This should be a ‘risk free’ rate of return; practically, a commonly available </w:t>
      </w:r>
      <w:r w:rsidR="00E95E47">
        <w:rPr>
          <w:b/>
          <w:sz w:val="18"/>
          <w:szCs w:val="18"/>
          <w:highlight w:val="yellow"/>
        </w:rPr>
        <w:t>12-month</w:t>
      </w:r>
      <w:r>
        <w:rPr>
          <w:b/>
          <w:sz w:val="18"/>
          <w:szCs w:val="18"/>
          <w:highlight w:val="yellow"/>
        </w:rPr>
        <w:t xml:space="preserve"> TD rate.</w:t>
      </w:r>
    </w:p>
    <w:p w14:paraId="37B88EF3" w14:textId="07BDB930" w:rsidR="002F74F5" w:rsidRDefault="002F74F5" w:rsidP="002F74F5">
      <w:pPr>
        <w:rPr>
          <w:b/>
          <w:sz w:val="18"/>
          <w:szCs w:val="18"/>
          <w:highlight w:val="yellow"/>
        </w:rPr>
      </w:pPr>
      <w:r>
        <w:rPr>
          <w:b/>
          <w:sz w:val="18"/>
          <w:szCs w:val="18"/>
          <w:highlight w:val="yellow"/>
        </w:rPr>
        <w:t>[</w:t>
      </w:r>
      <w:r w:rsidR="00571C29">
        <w:rPr>
          <w:b/>
          <w:sz w:val="18"/>
          <w:szCs w:val="18"/>
          <w:highlight w:val="yellow"/>
        </w:rPr>
        <w:t>5</w:t>
      </w:r>
      <w:r>
        <w:rPr>
          <w:b/>
          <w:sz w:val="18"/>
          <w:szCs w:val="18"/>
          <w:highlight w:val="yellow"/>
        </w:rPr>
        <w:t>] Comparison of the sum of ‘capital’ + ’income’ impacts</w:t>
      </w:r>
    </w:p>
    <w:p w14:paraId="3E50D506" w14:textId="77777777" w:rsidR="002F74F5" w:rsidRDefault="002F74F5" w:rsidP="002F74F5">
      <w:pPr>
        <w:rPr>
          <w:b/>
          <w:sz w:val="18"/>
          <w:szCs w:val="18"/>
          <w:highlight w:val="yellow"/>
        </w:rPr>
      </w:pPr>
    </w:p>
    <w:p w14:paraId="3E090B5D" w14:textId="04D63E5E" w:rsidR="002F74F5" w:rsidRDefault="002F74F5" w:rsidP="002F74F5">
      <w:r w:rsidRPr="007F36A7">
        <w:t xml:space="preserve">The benefit of </w:t>
      </w:r>
      <w:r>
        <w:t xml:space="preserve">prioritising the acceleration of mortgage repayments </w:t>
      </w:r>
      <w:r w:rsidR="008D7484">
        <w:t>by commencing a superannu</w:t>
      </w:r>
      <w:r w:rsidR="00851F6F">
        <w:t>a</w:t>
      </w:r>
      <w:r w:rsidR="008D7484">
        <w:t xml:space="preserve">tion pension </w:t>
      </w:r>
      <w:r w:rsidR="008D7484" w:rsidRPr="0008751D">
        <w:rPr>
          <w:color w:val="FF0000"/>
        </w:rPr>
        <w:t>[$</w:t>
      </w:r>
      <w:r w:rsidR="00C455EB">
        <w:rPr>
          <w:color w:val="FF0000"/>
        </w:rPr>
        <w:t>benefit</w:t>
      </w:r>
      <w:r w:rsidR="008D7484" w:rsidRPr="0008751D">
        <w:rPr>
          <w:color w:val="FF0000"/>
        </w:rPr>
        <w:t xml:space="preserve"> per </w:t>
      </w:r>
      <w:r w:rsidR="008D7484">
        <w:rPr>
          <w:color w:val="FF0000"/>
        </w:rPr>
        <w:t>period</w:t>
      </w:r>
      <w:r w:rsidR="008D7484" w:rsidRPr="00E11BDB">
        <w:rPr>
          <w:color w:val="FF0000"/>
        </w:rPr>
        <w:t>]</w:t>
      </w:r>
      <w:r w:rsidR="008D7484">
        <w:t xml:space="preserve"> </w:t>
      </w:r>
      <w:r w:rsidR="008D7484" w:rsidRPr="009D6003">
        <w:rPr>
          <w:color w:val="FF0000"/>
        </w:rPr>
        <w:t>[exceeds / does not exceed]</w:t>
      </w:r>
      <w:r>
        <w:t xml:space="preserve"> the merit of retaining equivalent funds in superannuation. This may not be the case in the next financial period and this calculation should be performed again.</w:t>
      </w:r>
    </w:p>
    <w:p w14:paraId="7C05D3DC" w14:textId="77777777" w:rsidR="002F74F5" w:rsidRDefault="002F74F5" w:rsidP="002F74F5"/>
    <w:p w14:paraId="069DA067" w14:textId="77777777" w:rsidR="002F74F5" w:rsidRDefault="002F74F5" w:rsidP="00437122">
      <w:pPr>
        <w:jc w:val="left"/>
        <w:rPr>
          <w:b/>
        </w:rPr>
      </w:pPr>
      <w:r>
        <w:rPr>
          <w:b/>
        </w:rPr>
        <w:t>C</w:t>
      </w:r>
      <w:r w:rsidRPr="00DA3146">
        <w:rPr>
          <w:b/>
        </w:rPr>
        <w:t>hang</w:t>
      </w:r>
      <w:r>
        <w:rPr>
          <w:b/>
        </w:rPr>
        <w:t>ing home loan interest rates,</w:t>
      </w:r>
      <w:r w:rsidRPr="00DA3146">
        <w:rPr>
          <w:b/>
        </w:rPr>
        <w:t xml:space="preserve"> feasible </w:t>
      </w:r>
      <w:r>
        <w:rPr>
          <w:b/>
        </w:rPr>
        <w:t>earnings assumptions and any variance in the applicable marginal tax rate may reverse</w:t>
      </w:r>
      <w:r w:rsidRPr="00DA3146">
        <w:rPr>
          <w:b/>
        </w:rPr>
        <w:t xml:space="preserve"> the </w:t>
      </w:r>
      <w:r>
        <w:rPr>
          <w:b/>
        </w:rPr>
        <w:t xml:space="preserve">comparative advantage of accelerating mortgage reduction </w:t>
      </w:r>
      <w:r w:rsidRPr="00DA3146">
        <w:rPr>
          <w:b/>
        </w:rPr>
        <w:t xml:space="preserve">from period to period. </w:t>
      </w:r>
    </w:p>
    <w:p w14:paraId="681F3E19" w14:textId="77777777" w:rsidR="002F74F5" w:rsidRPr="00DA3146" w:rsidRDefault="002F74F5" w:rsidP="00437122">
      <w:pPr>
        <w:jc w:val="left"/>
        <w:rPr>
          <w:b/>
        </w:rPr>
      </w:pPr>
      <w:r>
        <w:rPr>
          <w:b/>
        </w:rPr>
        <w:t>Your current debt reduction goal should be reviewed as conditions change</w:t>
      </w:r>
      <w:r w:rsidRPr="00DA3146">
        <w:rPr>
          <w:b/>
        </w:rPr>
        <w:t>.</w:t>
      </w:r>
    </w:p>
    <w:p w14:paraId="6137DF6B" w14:textId="1124C2E9" w:rsidR="002F74F5" w:rsidRDefault="002F74F5" w:rsidP="008C7CE9">
      <w:pPr>
        <w:pStyle w:val="Coding"/>
      </w:pPr>
    </w:p>
    <w:p w14:paraId="3D556927" w14:textId="562C271C" w:rsidR="002D2632" w:rsidRPr="005F763D" w:rsidRDefault="002D2632" w:rsidP="008C7CE9">
      <w:pPr>
        <w:jc w:val="left"/>
        <w:rPr>
          <w:color w:val="002060"/>
          <w:sz w:val="24"/>
        </w:rPr>
      </w:pPr>
      <w:bookmarkStart w:id="14" w:name="_Toc244656284"/>
      <w:r w:rsidRPr="005F763D">
        <w:rPr>
          <w:color w:val="002060"/>
          <w:sz w:val="24"/>
        </w:rPr>
        <w:t>Deductible Debt – Extinguish</w:t>
      </w:r>
      <w:bookmarkEnd w:id="14"/>
    </w:p>
    <w:p w14:paraId="10AFC301" w14:textId="61543A02" w:rsidR="002D2632" w:rsidRDefault="002D2632" w:rsidP="008C7CE9">
      <w:pPr>
        <w:jc w:val="left"/>
      </w:pPr>
    </w:p>
    <w:tbl>
      <w:tblPr>
        <w:tblStyle w:val="TableGrid"/>
        <w:tblW w:w="0" w:type="auto"/>
        <w:tblInd w:w="76" w:type="dxa"/>
        <w:tblLook w:val="04A0" w:firstRow="1" w:lastRow="0" w:firstColumn="1" w:lastColumn="0" w:noHBand="0" w:noVBand="1"/>
      </w:tblPr>
      <w:tblGrid>
        <w:gridCol w:w="2754"/>
        <w:gridCol w:w="6798"/>
      </w:tblGrid>
      <w:tr w:rsidR="003B0A71" w:rsidRPr="00E51BEA" w14:paraId="782BAA5B" w14:textId="77777777" w:rsidTr="00C07E7A">
        <w:tc>
          <w:tcPr>
            <w:tcW w:w="2754" w:type="dxa"/>
          </w:tcPr>
          <w:p w14:paraId="550F823E"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F046F39" w14:textId="53A0D14F" w:rsidR="003B0A71" w:rsidRPr="00E51BEA" w:rsidRDefault="003B0A71" w:rsidP="00C07E7A">
            <w:pPr>
              <w:pStyle w:val="TableHeader2"/>
              <w:rPr>
                <w:rFonts w:ascii="Calibri Light" w:hAnsi="Calibri Light"/>
              </w:rPr>
            </w:pPr>
          </w:p>
        </w:tc>
      </w:tr>
      <w:tr w:rsidR="003B0A71" w:rsidRPr="00E51BEA" w14:paraId="6A5FCD63" w14:textId="77777777" w:rsidTr="00C07E7A">
        <w:tc>
          <w:tcPr>
            <w:tcW w:w="2754" w:type="dxa"/>
          </w:tcPr>
          <w:p w14:paraId="3E335E4B" w14:textId="77777777" w:rsidR="003B0A71" w:rsidRPr="00EA0A06" w:rsidRDefault="003B0A71" w:rsidP="00E164DA">
            <w:pPr>
              <w:pStyle w:val="Instructions"/>
            </w:pPr>
            <w:r w:rsidRPr="00EA0A06">
              <w:t>Title</w:t>
            </w:r>
          </w:p>
        </w:tc>
        <w:tc>
          <w:tcPr>
            <w:tcW w:w="6798" w:type="dxa"/>
          </w:tcPr>
          <w:p w14:paraId="53B53930" w14:textId="017D2E9C" w:rsidR="003B0A71" w:rsidRPr="00E51BEA" w:rsidRDefault="00771F2D" w:rsidP="00083DA6">
            <w:pPr>
              <w:jc w:val="left"/>
            </w:pPr>
            <w:r w:rsidRPr="00083DA6">
              <w:t xml:space="preserve">Deductible Debt </w:t>
            </w:r>
            <w:r w:rsidR="00437122">
              <w:t>–</w:t>
            </w:r>
            <w:r w:rsidRPr="00083DA6">
              <w:t xml:space="preserve"> Extinguis</w:t>
            </w:r>
            <w:r w:rsidRPr="000A66D1">
              <w:t>h</w:t>
            </w:r>
          </w:p>
        </w:tc>
      </w:tr>
      <w:tr w:rsidR="003B0A71" w:rsidRPr="00E51BEA" w14:paraId="47F34879" w14:textId="77777777" w:rsidTr="00C07E7A">
        <w:tc>
          <w:tcPr>
            <w:tcW w:w="2754" w:type="dxa"/>
          </w:tcPr>
          <w:p w14:paraId="78573ED4" w14:textId="77777777" w:rsidR="003B0A71" w:rsidRPr="00EA0A06" w:rsidRDefault="003B0A71" w:rsidP="00E164DA">
            <w:pPr>
              <w:pStyle w:val="Instructions"/>
            </w:pPr>
            <w:r w:rsidRPr="00EA0A06">
              <w:t>Explanation</w:t>
            </w:r>
          </w:p>
        </w:tc>
        <w:tc>
          <w:tcPr>
            <w:tcW w:w="6798" w:type="dxa"/>
          </w:tcPr>
          <w:p w14:paraId="17C732DC" w14:textId="4BA6FFC6" w:rsidR="003B0A71" w:rsidRDefault="000A66D1" w:rsidP="00FF5828">
            <w:pPr>
              <w:jc w:val="left"/>
            </w:pPr>
            <w:r w:rsidRPr="00FF5828">
              <w:t>S</w:t>
            </w:r>
            <w:r w:rsidR="00135755" w:rsidRPr="00FF5828">
              <w:t xml:space="preserve">ell your </w:t>
            </w:r>
            <w:r w:rsidR="00135755" w:rsidRPr="009E67A5">
              <w:rPr>
                <w:color w:val="7030A0"/>
                <w:highlight w:val="yellow"/>
              </w:rPr>
              <w:t xml:space="preserve">[investment </w:t>
            </w:r>
            <w:proofErr w:type="gramStart"/>
            <w:r w:rsidR="00135755" w:rsidRPr="009E67A5">
              <w:rPr>
                <w:color w:val="7030A0"/>
                <w:highlight w:val="yellow"/>
              </w:rPr>
              <w:t>property][</w:t>
            </w:r>
            <w:proofErr w:type="gramEnd"/>
            <w:r w:rsidR="00135755" w:rsidRPr="009E67A5">
              <w:rPr>
                <w:color w:val="7030A0"/>
                <w:highlight w:val="yellow"/>
              </w:rPr>
              <w:t>share portfolio][other asset]</w:t>
            </w:r>
            <w:r w:rsidR="00135755" w:rsidRPr="00FF5828">
              <w:t xml:space="preserve"> and </w:t>
            </w:r>
            <w:r w:rsidR="009E67A5">
              <w:t>apply</w:t>
            </w:r>
            <w:r w:rsidR="00135755" w:rsidRPr="00FF5828">
              <w:t xml:space="preserve"> the </w:t>
            </w:r>
            <w:r w:rsidRPr="00FF5828">
              <w:t xml:space="preserve">expected </w:t>
            </w:r>
            <w:r w:rsidR="00135755" w:rsidRPr="00FF5828">
              <w:t>sale proceeds</w:t>
            </w:r>
            <w:r w:rsidRPr="00FF5828">
              <w:t xml:space="preserve"> $</w:t>
            </w:r>
            <w:r w:rsidRPr="009E67A5">
              <w:rPr>
                <w:color w:val="FF0000"/>
              </w:rPr>
              <w:t>[___,___]</w:t>
            </w:r>
            <w:r w:rsidR="00135755" w:rsidRPr="00FF5828">
              <w:t xml:space="preserve"> to repay the </w:t>
            </w:r>
            <w:r w:rsidR="00FF5828" w:rsidRPr="009E5BAA">
              <w:rPr>
                <w:color w:val="7030A0"/>
                <w:highlight w:val="yellow"/>
              </w:rPr>
              <w:t>[</w:t>
            </w:r>
            <w:r w:rsidR="00135755" w:rsidRPr="00FF5828">
              <w:rPr>
                <w:color w:val="7030A0"/>
                <w:highlight w:val="yellow"/>
              </w:rPr>
              <w:t>associated loan</w:t>
            </w:r>
            <w:r w:rsidR="00FF5828" w:rsidRPr="00FF5828">
              <w:rPr>
                <w:color w:val="7030A0"/>
                <w:highlight w:val="yellow"/>
              </w:rPr>
              <w:t>]</w:t>
            </w:r>
            <w:r w:rsidR="00FF5828" w:rsidRPr="00FF5828">
              <w:rPr>
                <w:color w:val="auto"/>
              </w:rPr>
              <w:t>.</w:t>
            </w:r>
          </w:p>
          <w:p w14:paraId="4612527C" w14:textId="37822B62" w:rsidR="00FF5828" w:rsidRPr="00E51BEA" w:rsidRDefault="00FF5828" w:rsidP="00FF5828">
            <w:pPr>
              <w:jc w:val="left"/>
            </w:pPr>
          </w:p>
        </w:tc>
      </w:tr>
      <w:tr w:rsidR="003B0A71" w:rsidRPr="00E51BEA" w14:paraId="7778DA35" w14:textId="77777777" w:rsidTr="00C07E7A">
        <w:tc>
          <w:tcPr>
            <w:tcW w:w="2754" w:type="dxa"/>
          </w:tcPr>
          <w:p w14:paraId="5B30133C" w14:textId="77777777" w:rsidR="003B0A71" w:rsidRPr="00EA0A06" w:rsidRDefault="003B0A71" w:rsidP="00E164DA">
            <w:pPr>
              <w:pStyle w:val="Instructions"/>
            </w:pPr>
            <w:r w:rsidRPr="00EA0A06">
              <w:t>In your Best Interest</w:t>
            </w:r>
          </w:p>
        </w:tc>
        <w:tc>
          <w:tcPr>
            <w:tcW w:w="6798" w:type="dxa"/>
          </w:tcPr>
          <w:p w14:paraId="5E5ED75C" w14:textId="77777777" w:rsidR="003B0A71" w:rsidRPr="00E51BEA" w:rsidRDefault="003B0A71">
            <w:pPr>
              <w:pStyle w:val="InterPracBullet"/>
            </w:pPr>
          </w:p>
        </w:tc>
      </w:tr>
      <w:tr w:rsidR="003B0A71" w:rsidRPr="00E51BEA" w14:paraId="439A067C" w14:textId="77777777" w:rsidTr="00C07E7A">
        <w:tc>
          <w:tcPr>
            <w:tcW w:w="2754" w:type="dxa"/>
          </w:tcPr>
          <w:p w14:paraId="725811C5" w14:textId="77777777" w:rsidR="003B0A71" w:rsidRPr="00EA0A06" w:rsidRDefault="003B0A71" w:rsidP="00E164DA">
            <w:pPr>
              <w:pStyle w:val="Instructions"/>
            </w:pPr>
            <w:r w:rsidRPr="00EA0A06">
              <w:t>Further Detail</w:t>
            </w:r>
          </w:p>
        </w:tc>
        <w:tc>
          <w:tcPr>
            <w:tcW w:w="6798" w:type="dxa"/>
          </w:tcPr>
          <w:p w14:paraId="59D1F1CC" w14:textId="77777777" w:rsidR="0059655A" w:rsidRPr="005F763D" w:rsidRDefault="0059655A" w:rsidP="0059655A">
            <w:pPr>
              <w:jc w:val="left"/>
            </w:pPr>
            <w:r w:rsidRPr="005F763D">
              <w:t>We believe that meets your needs/objectives for the following reasons:</w:t>
            </w:r>
          </w:p>
          <w:p w14:paraId="6635F93F" w14:textId="77777777" w:rsidR="0059655A" w:rsidRPr="005F763D" w:rsidRDefault="0059655A">
            <w:pPr>
              <w:pStyle w:val="InterPracBullet"/>
            </w:pPr>
            <w:r w:rsidRPr="005F763D">
              <w:t>Deductible debt is debt for which you can claim a tax deduction for the interest costs.  Typical types of deductible debt are for investment properties and margin lending facilities.</w:t>
            </w:r>
          </w:p>
          <w:p w14:paraId="3FA7D36F" w14:textId="77777777" w:rsidR="0059655A" w:rsidRPr="005F763D" w:rsidRDefault="0059655A">
            <w:pPr>
              <w:pStyle w:val="InterPracBullet"/>
            </w:pPr>
            <w:r w:rsidRPr="00083DA6">
              <w:rPr>
                <w:color w:val="FF0000"/>
              </w:rPr>
              <w:t>[Name]</w:t>
            </w:r>
            <w:r w:rsidRPr="005F763D">
              <w:t xml:space="preserve">, you currently have an investment loan of </w:t>
            </w:r>
            <w:r w:rsidRPr="000D0191">
              <w:rPr>
                <w:color w:val="000000"/>
              </w:rPr>
              <w:t>$</w:t>
            </w:r>
            <w:r w:rsidRPr="000D0191">
              <w:rPr>
                <w:color w:val="FF0000"/>
              </w:rPr>
              <w:t xml:space="preserve">[___,___] </w:t>
            </w:r>
            <w:r w:rsidRPr="005F763D">
              <w:t xml:space="preserve">against your </w:t>
            </w:r>
            <w:r w:rsidRPr="000D0191">
              <w:rPr>
                <w:rFonts w:eastAsia="MS Mincho"/>
                <w:szCs w:val="24"/>
                <w:highlight w:val="yellow"/>
                <w:lang w:val="en-AU" w:eastAsia="ar-SA"/>
              </w:rPr>
              <w:t>[investment property][share portfolio][other asset]</w:t>
            </w:r>
            <w:r w:rsidRPr="005F763D">
              <w:t xml:space="preserve"> at an interest rate of </w:t>
            </w:r>
            <w:r w:rsidRPr="000D0191">
              <w:rPr>
                <w:color w:val="FF0000"/>
              </w:rPr>
              <w:t>[__.__]</w:t>
            </w:r>
            <w:r w:rsidRPr="000D0191">
              <w:rPr>
                <w:color w:val="000000"/>
              </w:rPr>
              <w:t>%</w:t>
            </w:r>
            <w:r w:rsidRPr="005F763D">
              <w:t>.</w:t>
            </w:r>
          </w:p>
          <w:p w14:paraId="2467123B" w14:textId="77777777" w:rsidR="0059655A" w:rsidRPr="005F763D" w:rsidRDefault="0059655A">
            <w:pPr>
              <w:pStyle w:val="InterPracBullet"/>
            </w:pPr>
            <w:r w:rsidRPr="005F763D">
              <w:t xml:space="preserve">Under the terms of your existing </w:t>
            </w:r>
            <w:r w:rsidRPr="000D0191">
              <w:rPr>
                <w:color w:val="000000"/>
              </w:rPr>
              <w:t>[investment property][share portfolio][other asset]</w:t>
            </w:r>
            <w:r w:rsidRPr="005F763D">
              <w:t xml:space="preserve"> loan contract, you are required to meet interest only repayments of $</w:t>
            </w:r>
            <w:r w:rsidRPr="000D0191">
              <w:rPr>
                <w:color w:val="FF0000"/>
              </w:rPr>
              <w:t>[___,___]</w:t>
            </w:r>
            <w:r w:rsidRPr="005F763D">
              <w:t xml:space="preserve"> per annum.</w:t>
            </w:r>
          </w:p>
          <w:p w14:paraId="64B8E3C3" w14:textId="5A57F603" w:rsidR="00083DA6" w:rsidRPr="005F763D" w:rsidRDefault="00083DA6">
            <w:pPr>
              <w:pStyle w:val="InterPracBullet"/>
            </w:pPr>
            <w:r w:rsidRPr="005F763D">
              <w:t>By repaying this loan:</w:t>
            </w:r>
          </w:p>
          <w:p w14:paraId="24069F69" w14:textId="74EF4A07" w:rsidR="00083DA6" w:rsidRPr="005F763D" w:rsidRDefault="0059655A">
            <w:pPr>
              <w:pStyle w:val="InterPracBullet"/>
              <w:numPr>
                <w:ilvl w:val="0"/>
                <w:numId w:val="70"/>
              </w:numPr>
            </w:pPr>
            <w:r>
              <w:rPr>
                <w:lang w:val="en-AU"/>
              </w:rPr>
              <w:t xml:space="preserve"> </w:t>
            </w:r>
            <w:r w:rsidR="00083DA6" w:rsidRPr="005F763D">
              <w:t>You will work towards your goal of being debt free, irrespective of the tax deductions available to you.</w:t>
            </w:r>
          </w:p>
          <w:p w14:paraId="2D1E4461" w14:textId="262D5367" w:rsidR="00083DA6" w:rsidRPr="005F763D" w:rsidRDefault="00083DA6">
            <w:pPr>
              <w:pStyle w:val="InterPracBullet"/>
              <w:numPr>
                <w:ilvl w:val="0"/>
                <w:numId w:val="70"/>
              </w:numPr>
            </w:pPr>
            <w:r w:rsidRPr="005F763D">
              <w:t>We will re-structure your investment portfolio to be suited to meet your investment risk profile and financial goals.</w:t>
            </w:r>
          </w:p>
          <w:p w14:paraId="37AEAFC6" w14:textId="77777777" w:rsidR="003B0A71" w:rsidRPr="00E51BEA" w:rsidRDefault="003B0A71" w:rsidP="00E164DA">
            <w:pPr>
              <w:pStyle w:val="Instructions"/>
            </w:pPr>
          </w:p>
        </w:tc>
      </w:tr>
    </w:tbl>
    <w:p w14:paraId="774240A8" w14:textId="77777777" w:rsidR="003B0A71" w:rsidRPr="005F763D" w:rsidRDefault="003B0A71" w:rsidP="008C7CE9">
      <w:pPr>
        <w:jc w:val="left"/>
      </w:pPr>
    </w:p>
    <w:p w14:paraId="5ED900A9" w14:textId="77777777" w:rsidR="00E70EA0" w:rsidRPr="005F763D" w:rsidRDefault="00E70EA0" w:rsidP="008C7CE9">
      <w:pPr>
        <w:jc w:val="left"/>
      </w:pPr>
    </w:p>
    <w:p w14:paraId="45FB3DB8" w14:textId="77777777" w:rsidR="00175205" w:rsidRPr="005F763D" w:rsidRDefault="00175205" w:rsidP="008C7CE9">
      <w:pPr>
        <w:jc w:val="left"/>
        <w:rPr>
          <w:color w:val="002060"/>
          <w:sz w:val="24"/>
        </w:rPr>
      </w:pPr>
      <w:r w:rsidRPr="005F763D">
        <w:rPr>
          <w:color w:val="002060"/>
          <w:sz w:val="24"/>
        </w:rPr>
        <w:t>Deductible Debt - Restructure</w:t>
      </w:r>
    </w:p>
    <w:p w14:paraId="527B8C04" w14:textId="77777777" w:rsidR="00175205" w:rsidRPr="005F763D" w:rsidRDefault="00175205" w:rsidP="008C7CE9">
      <w:pPr>
        <w:jc w:val="left"/>
      </w:pPr>
    </w:p>
    <w:tbl>
      <w:tblPr>
        <w:tblStyle w:val="TableGrid"/>
        <w:tblW w:w="0" w:type="auto"/>
        <w:tblInd w:w="76" w:type="dxa"/>
        <w:tblLook w:val="04A0" w:firstRow="1" w:lastRow="0" w:firstColumn="1" w:lastColumn="0" w:noHBand="0" w:noVBand="1"/>
      </w:tblPr>
      <w:tblGrid>
        <w:gridCol w:w="2754"/>
        <w:gridCol w:w="6798"/>
      </w:tblGrid>
      <w:tr w:rsidR="00383682" w:rsidRPr="00E51BEA" w14:paraId="5B6B1318" w14:textId="77777777" w:rsidTr="00C07E7A">
        <w:tc>
          <w:tcPr>
            <w:tcW w:w="2754" w:type="dxa"/>
          </w:tcPr>
          <w:p w14:paraId="3ABA02E3" w14:textId="77777777" w:rsidR="00383682" w:rsidRPr="00EA0A06" w:rsidRDefault="00383682"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0D0D89C5" w14:textId="77777777" w:rsidR="00383682" w:rsidRPr="00E51BEA" w:rsidRDefault="00383682" w:rsidP="00C07E7A">
            <w:pPr>
              <w:pStyle w:val="TableHeader2"/>
              <w:rPr>
                <w:rFonts w:ascii="Calibri Light" w:hAnsi="Calibri Light"/>
              </w:rPr>
            </w:pPr>
          </w:p>
        </w:tc>
      </w:tr>
      <w:tr w:rsidR="00383682" w:rsidRPr="00E51BEA" w14:paraId="3B91D2CB" w14:textId="77777777" w:rsidTr="00C07E7A">
        <w:tc>
          <w:tcPr>
            <w:tcW w:w="2754" w:type="dxa"/>
          </w:tcPr>
          <w:p w14:paraId="35C87954" w14:textId="77777777" w:rsidR="00383682" w:rsidRPr="00EA0A06" w:rsidRDefault="00383682" w:rsidP="00E164DA">
            <w:pPr>
              <w:pStyle w:val="Instructions"/>
            </w:pPr>
            <w:r w:rsidRPr="00EA0A06">
              <w:t>Title</w:t>
            </w:r>
          </w:p>
        </w:tc>
        <w:tc>
          <w:tcPr>
            <w:tcW w:w="6798" w:type="dxa"/>
          </w:tcPr>
          <w:p w14:paraId="66E35DC9" w14:textId="052C257A" w:rsidR="00383682" w:rsidRPr="00E51BEA" w:rsidRDefault="00477E37" w:rsidP="00477E37">
            <w:pPr>
              <w:jc w:val="left"/>
            </w:pPr>
            <w:r>
              <w:t xml:space="preserve">Deductible Debt </w:t>
            </w:r>
            <w:r w:rsidR="00DF7B8D">
              <w:t>–</w:t>
            </w:r>
            <w:r>
              <w:t xml:space="preserve"> Restructure</w:t>
            </w:r>
          </w:p>
        </w:tc>
      </w:tr>
      <w:tr w:rsidR="00383682" w:rsidRPr="00E51BEA" w14:paraId="612CB2B8" w14:textId="77777777" w:rsidTr="00C07E7A">
        <w:tc>
          <w:tcPr>
            <w:tcW w:w="2754" w:type="dxa"/>
          </w:tcPr>
          <w:p w14:paraId="6450895D" w14:textId="77777777" w:rsidR="00383682" w:rsidRPr="00EA0A06" w:rsidRDefault="00383682" w:rsidP="00E164DA">
            <w:pPr>
              <w:pStyle w:val="Instructions"/>
            </w:pPr>
            <w:r w:rsidRPr="00EA0A06">
              <w:t>Explanation</w:t>
            </w:r>
          </w:p>
        </w:tc>
        <w:tc>
          <w:tcPr>
            <w:tcW w:w="6798" w:type="dxa"/>
          </w:tcPr>
          <w:p w14:paraId="00B2A9E7" w14:textId="736A9580" w:rsidR="00383682" w:rsidRPr="00C74A73" w:rsidRDefault="00C74A73">
            <w:pPr>
              <w:pStyle w:val="InterPracBullet"/>
              <w:rPr>
                <w:lang w:val="en-AU"/>
              </w:rPr>
            </w:pPr>
            <w:r>
              <w:rPr>
                <w:lang w:val="en-AU"/>
              </w:rPr>
              <w:t>A</w:t>
            </w:r>
            <w:proofErr w:type="spellStart"/>
            <w:r w:rsidR="005B408C" w:rsidRPr="005F763D">
              <w:t>rrang</w:t>
            </w:r>
            <w:r>
              <w:rPr>
                <w:lang w:val="en-AU"/>
              </w:rPr>
              <w:t>e</w:t>
            </w:r>
            <w:proofErr w:type="spellEnd"/>
            <w:r w:rsidR="005B408C" w:rsidRPr="005F763D">
              <w:t xml:space="preserve"> for the loan repayments on your</w:t>
            </w:r>
            <w:r w:rsidR="005B408C" w:rsidRPr="00C74A73">
              <w:t xml:space="preserve"> </w:t>
            </w:r>
            <w:r w:rsidR="005B408C" w:rsidRPr="00C74A73">
              <w:rPr>
                <w:highlight w:val="yellow"/>
              </w:rPr>
              <w:t xml:space="preserve">[investment </w:t>
            </w:r>
            <w:proofErr w:type="gramStart"/>
            <w:r w:rsidR="005B408C" w:rsidRPr="00C74A73">
              <w:rPr>
                <w:highlight w:val="yellow"/>
              </w:rPr>
              <w:t>property][</w:t>
            </w:r>
            <w:proofErr w:type="gramEnd"/>
            <w:r w:rsidR="005B408C" w:rsidRPr="00C74A73">
              <w:rPr>
                <w:highlight w:val="yellow"/>
              </w:rPr>
              <w:t>share portfolio][other asset]</w:t>
            </w:r>
            <w:r w:rsidR="005B408C" w:rsidRPr="00C74A73">
              <w:t xml:space="preserve"> </w:t>
            </w:r>
            <w:r w:rsidR="005B408C" w:rsidRPr="005F763D">
              <w:t>to be converted to interest only</w:t>
            </w:r>
            <w:r>
              <w:rPr>
                <w:lang w:val="en-AU"/>
              </w:rPr>
              <w:t>.</w:t>
            </w:r>
          </w:p>
        </w:tc>
      </w:tr>
      <w:tr w:rsidR="00383682" w:rsidRPr="00E51BEA" w14:paraId="1BE725DA" w14:textId="77777777" w:rsidTr="00C07E7A">
        <w:tc>
          <w:tcPr>
            <w:tcW w:w="2754" w:type="dxa"/>
          </w:tcPr>
          <w:p w14:paraId="0AD138B4" w14:textId="77777777" w:rsidR="00383682" w:rsidRPr="00EA0A06" w:rsidRDefault="00383682" w:rsidP="00E164DA">
            <w:pPr>
              <w:pStyle w:val="Instructions"/>
            </w:pPr>
            <w:r w:rsidRPr="00EA0A06">
              <w:t>In your Best Interest</w:t>
            </w:r>
          </w:p>
        </w:tc>
        <w:tc>
          <w:tcPr>
            <w:tcW w:w="6798" w:type="dxa"/>
          </w:tcPr>
          <w:p w14:paraId="17791A00" w14:textId="77777777" w:rsidR="00383682" w:rsidRPr="00E51BEA" w:rsidRDefault="00383682">
            <w:pPr>
              <w:pStyle w:val="InterPracBullet"/>
            </w:pPr>
          </w:p>
        </w:tc>
      </w:tr>
      <w:tr w:rsidR="00383682" w:rsidRPr="00E51BEA" w14:paraId="2303D800" w14:textId="77777777" w:rsidTr="00C07E7A">
        <w:tc>
          <w:tcPr>
            <w:tcW w:w="2754" w:type="dxa"/>
          </w:tcPr>
          <w:p w14:paraId="0DA3EA59" w14:textId="77777777" w:rsidR="00383682" w:rsidRPr="00EA0A06" w:rsidRDefault="00383682" w:rsidP="00E164DA">
            <w:pPr>
              <w:pStyle w:val="Instructions"/>
            </w:pPr>
            <w:r w:rsidRPr="00EA0A06">
              <w:t>Further Detail</w:t>
            </w:r>
          </w:p>
        </w:tc>
        <w:tc>
          <w:tcPr>
            <w:tcW w:w="6798" w:type="dxa"/>
          </w:tcPr>
          <w:p w14:paraId="3F85F379" w14:textId="77777777" w:rsidR="00D04EB1" w:rsidRPr="005F763D" w:rsidRDefault="00D04EB1" w:rsidP="00D04EB1">
            <w:pPr>
              <w:jc w:val="left"/>
            </w:pPr>
            <w:r w:rsidRPr="005F763D">
              <w:t xml:space="preserve">We believe that </w:t>
            </w:r>
            <w:r>
              <w:t>this</w:t>
            </w:r>
            <w:r w:rsidRPr="005F763D">
              <w:t xml:space="preserve"> meets your needs/objectives for the following reasons:</w:t>
            </w:r>
          </w:p>
          <w:p w14:paraId="10DA2F8B" w14:textId="77777777" w:rsidR="00D04EB1" w:rsidRPr="005F763D" w:rsidRDefault="00D04EB1">
            <w:pPr>
              <w:pStyle w:val="InterPracBullet"/>
            </w:pPr>
            <w:r w:rsidRPr="005F763D">
              <w:t>Deductible debt is debt for which you can claim a tax deduction for the interest costs.  Typical types of deductible debt are for investment properties and margin lending facilities.</w:t>
            </w:r>
          </w:p>
          <w:p w14:paraId="1D5E9F05" w14:textId="77777777" w:rsidR="00D04EB1" w:rsidRPr="005F763D" w:rsidRDefault="00D04EB1">
            <w:pPr>
              <w:pStyle w:val="InterPracBullet"/>
            </w:pPr>
            <w:r w:rsidRPr="000D0191">
              <w:rPr>
                <w:color w:val="FF0000"/>
              </w:rPr>
              <w:t>[Name]</w:t>
            </w:r>
            <w:r w:rsidRPr="005F763D">
              <w:t xml:space="preserve">, you currently have an investment loan of </w:t>
            </w:r>
            <w:r w:rsidRPr="000D0191">
              <w:t>$</w:t>
            </w:r>
            <w:r w:rsidRPr="00F840FE">
              <w:rPr>
                <w:color w:val="FF0000"/>
              </w:rPr>
              <w:t>[___,___]</w:t>
            </w:r>
            <w:r w:rsidRPr="005F763D">
              <w:t xml:space="preserve"> against your </w:t>
            </w:r>
            <w:r w:rsidRPr="000D0191">
              <w:rPr>
                <w:color w:val="000000"/>
              </w:rPr>
              <w:t xml:space="preserve">[investment property][share portfolio][other asset] </w:t>
            </w:r>
            <w:r w:rsidRPr="005F763D">
              <w:t xml:space="preserve">at an interest rate of </w:t>
            </w:r>
            <w:r w:rsidRPr="000D0191">
              <w:rPr>
                <w:color w:val="FF0000"/>
              </w:rPr>
              <w:t>__.__</w:t>
            </w:r>
            <w:r w:rsidRPr="000D0191">
              <w:rPr>
                <w:color w:val="000000"/>
              </w:rPr>
              <w:t>%</w:t>
            </w:r>
            <w:r w:rsidRPr="005F763D">
              <w:t>.</w:t>
            </w:r>
          </w:p>
          <w:p w14:paraId="52074D25" w14:textId="77777777" w:rsidR="00D04EB1" w:rsidRPr="005F763D" w:rsidRDefault="00D04EB1">
            <w:pPr>
              <w:pStyle w:val="InterPracBullet"/>
            </w:pPr>
            <w:r w:rsidRPr="005F763D">
              <w:t xml:space="preserve">Your repayments on your </w:t>
            </w:r>
            <w:r w:rsidRPr="000D0191">
              <w:rPr>
                <w:rFonts w:eastAsia="MS Mincho"/>
                <w:szCs w:val="24"/>
                <w:highlight w:val="yellow"/>
                <w:lang w:val="en-AU" w:eastAsia="ar-SA"/>
              </w:rPr>
              <w:t xml:space="preserve">[investment property][share portfolio][other asset] </w:t>
            </w:r>
            <w:r w:rsidRPr="005F763D">
              <w:t>loan to date have consisted of both principal and interest.</w:t>
            </w:r>
          </w:p>
          <w:p w14:paraId="7D276578" w14:textId="77777777" w:rsidR="00D04EB1" w:rsidRPr="005F763D" w:rsidRDefault="00D04EB1">
            <w:pPr>
              <w:pStyle w:val="InterPracBullet"/>
            </w:pPr>
            <w:r w:rsidRPr="005F763D">
              <w:lastRenderedPageBreak/>
              <w:t>As only the interest costs are tax deductible, we recommend that you approach your financier to arrange for your loan repayments to be converted to interest only.</w:t>
            </w:r>
          </w:p>
          <w:p w14:paraId="6B6CB569" w14:textId="77777777" w:rsidR="00D04EB1" w:rsidRPr="005F763D" w:rsidRDefault="00D04EB1">
            <w:pPr>
              <w:pStyle w:val="InterPracBullet"/>
            </w:pPr>
            <w:r w:rsidRPr="005F763D">
              <w:t>This will have the effect of reducing your repayments to around $</w:t>
            </w:r>
            <w:r w:rsidRPr="000D0191">
              <w:rPr>
                <w:color w:val="FF0000"/>
              </w:rPr>
              <w:t>[___,___]</w:t>
            </w:r>
            <w:r w:rsidRPr="005F763D">
              <w:t xml:space="preserve"> per annum.</w:t>
            </w:r>
          </w:p>
          <w:p w14:paraId="5B325859" w14:textId="77777777" w:rsidR="00D04EB1" w:rsidRDefault="00D04EB1">
            <w:pPr>
              <w:pStyle w:val="InterPracBullet"/>
            </w:pPr>
          </w:p>
          <w:p w14:paraId="356CFF8B" w14:textId="198695ED" w:rsidR="00F26ABE" w:rsidRPr="005F763D" w:rsidRDefault="00F26ABE">
            <w:pPr>
              <w:pStyle w:val="InterPracBullet"/>
            </w:pPr>
            <w:r w:rsidRPr="005F763D">
              <w:t>Our recommendation for this surplus income has been accounted for in calculating your savings capacity.</w:t>
            </w:r>
          </w:p>
          <w:p w14:paraId="31945562" w14:textId="77777777" w:rsidR="00F26ABE" w:rsidRPr="005F763D" w:rsidRDefault="00F26ABE">
            <w:pPr>
              <w:pStyle w:val="InterPracBullet"/>
            </w:pPr>
            <w:r w:rsidRPr="005F763D">
              <w:t>The benefit of this strategy is you will improve your cash flow by reducing your debt repayment amount, whilst maintaining the tax deduction that you receive for the interest costs.</w:t>
            </w:r>
          </w:p>
          <w:p w14:paraId="64621D1D" w14:textId="77777777" w:rsidR="00383682" w:rsidRPr="00E51BEA" w:rsidRDefault="00383682" w:rsidP="00E164DA">
            <w:pPr>
              <w:pStyle w:val="Instructions"/>
            </w:pPr>
          </w:p>
        </w:tc>
      </w:tr>
    </w:tbl>
    <w:p w14:paraId="2DC65818" w14:textId="77777777" w:rsidR="00383682" w:rsidRDefault="00383682" w:rsidP="008C7CE9">
      <w:pPr>
        <w:jc w:val="left"/>
      </w:pPr>
    </w:p>
    <w:p w14:paraId="6C5949CB" w14:textId="77777777" w:rsidR="00175205" w:rsidRPr="005F763D" w:rsidRDefault="00175205" w:rsidP="008C7CE9">
      <w:pPr>
        <w:jc w:val="left"/>
      </w:pPr>
    </w:p>
    <w:p w14:paraId="3870F2D3" w14:textId="77777777" w:rsidR="00F3341B" w:rsidRPr="005F763D" w:rsidRDefault="00F3341B" w:rsidP="008C7CE9">
      <w:pPr>
        <w:jc w:val="left"/>
        <w:rPr>
          <w:color w:val="002060"/>
          <w:sz w:val="24"/>
        </w:rPr>
      </w:pPr>
      <w:r w:rsidRPr="005F763D">
        <w:rPr>
          <w:color w:val="002060"/>
          <w:sz w:val="24"/>
        </w:rPr>
        <w:t>Deductible Debt - Retain</w:t>
      </w:r>
    </w:p>
    <w:p w14:paraId="602048B7" w14:textId="4ED89942" w:rsidR="00F3341B" w:rsidRDefault="00F3341B" w:rsidP="008C7CE9">
      <w:pPr>
        <w:jc w:val="left"/>
      </w:pPr>
    </w:p>
    <w:tbl>
      <w:tblPr>
        <w:tblStyle w:val="TableGrid"/>
        <w:tblW w:w="0" w:type="auto"/>
        <w:tblInd w:w="76" w:type="dxa"/>
        <w:tblLook w:val="04A0" w:firstRow="1" w:lastRow="0" w:firstColumn="1" w:lastColumn="0" w:noHBand="0" w:noVBand="1"/>
      </w:tblPr>
      <w:tblGrid>
        <w:gridCol w:w="2754"/>
        <w:gridCol w:w="6798"/>
      </w:tblGrid>
      <w:tr w:rsidR="001A22F0" w:rsidRPr="00E51BEA" w14:paraId="025FE343" w14:textId="77777777" w:rsidTr="00B45A3A">
        <w:tc>
          <w:tcPr>
            <w:tcW w:w="2754" w:type="dxa"/>
          </w:tcPr>
          <w:p w14:paraId="1A476890" w14:textId="77777777" w:rsidR="001A22F0" w:rsidRPr="00EA0A06" w:rsidRDefault="001A22F0"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0832644" w14:textId="77777777" w:rsidR="001A22F0" w:rsidRPr="00E51BEA" w:rsidRDefault="001A22F0" w:rsidP="00B45A3A">
            <w:pPr>
              <w:pStyle w:val="TableHeader2"/>
              <w:rPr>
                <w:rFonts w:ascii="Calibri Light" w:hAnsi="Calibri Light"/>
              </w:rPr>
            </w:pPr>
          </w:p>
        </w:tc>
      </w:tr>
      <w:tr w:rsidR="001A22F0" w:rsidRPr="00E51BEA" w14:paraId="196AF251" w14:textId="77777777" w:rsidTr="00B45A3A">
        <w:tc>
          <w:tcPr>
            <w:tcW w:w="2754" w:type="dxa"/>
          </w:tcPr>
          <w:p w14:paraId="339E2BAD" w14:textId="77777777" w:rsidR="001A22F0" w:rsidRPr="00EA0A06" w:rsidRDefault="001A22F0" w:rsidP="00E164DA">
            <w:pPr>
              <w:pStyle w:val="Instructions"/>
            </w:pPr>
            <w:r w:rsidRPr="00EA0A06">
              <w:t>Title</w:t>
            </w:r>
          </w:p>
        </w:tc>
        <w:tc>
          <w:tcPr>
            <w:tcW w:w="6798" w:type="dxa"/>
          </w:tcPr>
          <w:p w14:paraId="55FE5760" w14:textId="33120A16" w:rsidR="001A22F0" w:rsidRPr="001A22F0" w:rsidRDefault="00C4024D" w:rsidP="001A22F0">
            <w:pPr>
              <w:jc w:val="left"/>
            </w:pPr>
            <w:r>
              <w:t xml:space="preserve">Deductible Debt </w:t>
            </w:r>
            <w:r w:rsidR="00DF7B8D">
              <w:t>–</w:t>
            </w:r>
            <w:r>
              <w:t xml:space="preserve"> Retain</w:t>
            </w:r>
          </w:p>
        </w:tc>
      </w:tr>
      <w:tr w:rsidR="001A22F0" w:rsidRPr="00E51BEA" w14:paraId="4072A228" w14:textId="77777777" w:rsidTr="00B45A3A">
        <w:tc>
          <w:tcPr>
            <w:tcW w:w="2754" w:type="dxa"/>
          </w:tcPr>
          <w:p w14:paraId="36DECB3E" w14:textId="77777777" w:rsidR="001A22F0" w:rsidRPr="00EA0A06" w:rsidRDefault="001A22F0" w:rsidP="00E164DA">
            <w:pPr>
              <w:pStyle w:val="Instructions"/>
            </w:pPr>
            <w:r w:rsidRPr="00EA0A06">
              <w:t>Explanation</w:t>
            </w:r>
          </w:p>
        </w:tc>
        <w:tc>
          <w:tcPr>
            <w:tcW w:w="6798" w:type="dxa"/>
          </w:tcPr>
          <w:p w14:paraId="1C27DDBF" w14:textId="799D6814" w:rsidR="001A22F0" w:rsidRPr="001A22F0" w:rsidRDefault="00C4024D" w:rsidP="001A22F0">
            <w:pPr>
              <w:jc w:val="left"/>
            </w:pPr>
            <w:r w:rsidRPr="005F763D">
              <w:t xml:space="preserve">As you intend to maintain your </w:t>
            </w:r>
            <w:r w:rsidRPr="000D0191">
              <w:rPr>
                <w:color w:val="7030A0"/>
                <w:highlight w:val="yellow"/>
              </w:rPr>
              <w:t xml:space="preserve">[investment </w:t>
            </w:r>
            <w:proofErr w:type="gramStart"/>
            <w:r w:rsidRPr="000D0191">
              <w:rPr>
                <w:color w:val="7030A0"/>
                <w:highlight w:val="yellow"/>
              </w:rPr>
              <w:t>property][</w:t>
            </w:r>
            <w:proofErr w:type="gramEnd"/>
            <w:r w:rsidRPr="000D0191">
              <w:rPr>
                <w:color w:val="7030A0"/>
                <w:highlight w:val="yellow"/>
              </w:rPr>
              <w:t>share portfolio][other asset]</w:t>
            </w:r>
            <w:r w:rsidRPr="000D0191">
              <w:t xml:space="preserve"> </w:t>
            </w:r>
            <w:r w:rsidRPr="005F763D">
              <w:t>and its associated loan, we recommend that you continue with this repayment schedule.</w:t>
            </w:r>
          </w:p>
        </w:tc>
      </w:tr>
      <w:tr w:rsidR="001A22F0" w:rsidRPr="00E51BEA" w14:paraId="0A603FF4" w14:textId="77777777" w:rsidTr="00B45A3A">
        <w:tc>
          <w:tcPr>
            <w:tcW w:w="2754" w:type="dxa"/>
          </w:tcPr>
          <w:p w14:paraId="08C3B419" w14:textId="77777777" w:rsidR="001A22F0" w:rsidRPr="00EA0A06" w:rsidRDefault="001A22F0" w:rsidP="00E164DA">
            <w:pPr>
              <w:pStyle w:val="Instructions"/>
            </w:pPr>
            <w:r w:rsidRPr="00EA0A06">
              <w:t>In your Best Interest</w:t>
            </w:r>
          </w:p>
        </w:tc>
        <w:tc>
          <w:tcPr>
            <w:tcW w:w="6798" w:type="dxa"/>
          </w:tcPr>
          <w:p w14:paraId="56E0D535" w14:textId="6A13E5DD" w:rsidR="001A22F0" w:rsidRPr="001A22F0" w:rsidRDefault="001A22F0">
            <w:pPr>
              <w:pStyle w:val="InterPracBullet"/>
            </w:pPr>
          </w:p>
        </w:tc>
      </w:tr>
      <w:tr w:rsidR="001A22F0" w:rsidRPr="00E51BEA" w14:paraId="0E47DDCE" w14:textId="77777777" w:rsidTr="00B45A3A">
        <w:tc>
          <w:tcPr>
            <w:tcW w:w="2754" w:type="dxa"/>
          </w:tcPr>
          <w:p w14:paraId="2982241F" w14:textId="77777777" w:rsidR="001A22F0" w:rsidRPr="00EA0A06" w:rsidRDefault="001A22F0" w:rsidP="00E164DA">
            <w:pPr>
              <w:pStyle w:val="Instructions"/>
            </w:pPr>
            <w:r w:rsidRPr="00EA0A06">
              <w:t>Further Detail</w:t>
            </w:r>
          </w:p>
        </w:tc>
        <w:tc>
          <w:tcPr>
            <w:tcW w:w="6798" w:type="dxa"/>
          </w:tcPr>
          <w:p w14:paraId="5EE154E8" w14:textId="77777777" w:rsidR="00D04EB1" w:rsidRPr="005F763D" w:rsidRDefault="00D04EB1" w:rsidP="00D04EB1">
            <w:pPr>
              <w:jc w:val="left"/>
            </w:pPr>
            <w:r w:rsidRPr="005F763D">
              <w:t xml:space="preserve">We believe that retaining your </w:t>
            </w:r>
            <w:r w:rsidRPr="000D0191">
              <w:rPr>
                <w:color w:val="7030A0"/>
                <w:highlight w:val="yellow"/>
              </w:rPr>
              <w:t xml:space="preserve">[investment </w:t>
            </w:r>
            <w:proofErr w:type="gramStart"/>
            <w:r w:rsidRPr="000D0191">
              <w:rPr>
                <w:color w:val="7030A0"/>
                <w:highlight w:val="yellow"/>
              </w:rPr>
              <w:t>property][</w:t>
            </w:r>
            <w:proofErr w:type="gramEnd"/>
            <w:r w:rsidRPr="000D0191">
              <w:rPr>
                <w:color w:val="7030A0"/>
                <w:highlight w:val="yellow"/>
              </w:rPr>
              <w:t>share portfolio][other asset]</w:t>
            </w:r>
            <w:r w:rsidRPr="000D0191">
              <w:rPr>
                <w:color w:val="7030A0"/>
              </w:rPr>
              <w:t xml:space="preserve"> </w:t>
            </w:r>
            <w:r w:rsidRPr="005F763D">
              <w:rPr>
                <w:color w:val="auto"/>
              </w:rPr>
              <w:t>and the associated loan</w:t>
            </w:r>
            <w:r w:rsidRPr="005F763D">
              <w:t>, meets your needs/objectives for the following reasons:</w:t>
            </w:r>
          </w:p>
          <w:p w14:paraId="05832B57" w14:textId="77777777" w:rsidR="00D04EB1" w:rsidRPr="005F763D" w:rsidRDefault="00D04EB1">
            <w:pPr>
              <w:pStyle w:val="InterPracBullet"/>
            </w:pPr>
            <w:r w:rsidRPr="005F763D">
              <w:t>Deductible debt is debt for which you can claim a tax deduction for the interest costs.  Typical types of deductible debt are for investment properties and margin lending facilities.</w:t>
            </w:r>
          </w:p>
          <w:p w14:paraId="14226108" w14:textId="77777777" w:rsidR="00D04EB1" w:rsidRPr="005F763D" w:rsidRDefault="00D04EB1">
            <w:pPr>
              <w:pStyle w:val="InterPracBullet"/>
            </w:pPr>
            <w:r w:rsidRPr="000D0191">
              <w:rPr>
                <w:color w:val="000000"/>
              </w:rPr>
              <w:t>[Name]</w:t>
            </w:r>
            <w:r w:rsidRPr="005F763D">
              <w:t xml:space="preserve">, you currently have an investment loan of </w:t>
            </w:r>
            <w:r w:rsidRPr="000D0191">
              <w:rPr>
                <w:color w:val="000000"/>
              </w:rPr>
              <w:t>$</w:t>
            </w:r>
            <w:r w:rsidRPr="00F840FE">
              <w:rPr>
                <w:color w:val="FF0000"/>
              </w:rPr>
              <w:t>[___,___]</w:t>
            </w:r>
            <w:r w:rsidRPr="005F763D">
              <w:t xml:space="preserve"> against your </w:t>
            </w:r>
            <w:r w:rsidRPr="000D0191">
              <w:rPr>
                <w:color w:val="000000"/>
              </w:rPr>
              <w:t>[investment property][share portfolio][other asset]</w:t>
            </w:r>
            <w:r w:rsidRPr="005F763D">
              <w:t xml:space="preserve"> at an interest rate of </w:t>
            </w:r>
            <w:r w:rsidRPr="00F840FE">
              <w:rPr>
                <w:color w:val="FF0000"/>
              </w:rPr>
              <w:t>__.__</w:t>
            </w:r>
            <w:r w:rsidRPr="000D0191">
              <w:rPr>
                <w:color w:val="000000"/>
              </w:rPr>
              <w:t>%</w:t>
            </w:r>
            <w:r w:rsidRPr="005F763D">
              <w:t>.</w:t>
            </w:r>
          </w:p>
          <w:p w14:paraId="05F11AC5" w14:textId="77777777" w:rsidR="00D04EB1" w:rsidRPr="005F763D" w:rsidRDefault="00D04EB1">
            <w:pPr>
              <w:pStyle w:val="InterPracBullet"/>
            </w:pPr>
            <w:r w:rsidRPr="005F763D">
              <w:t xml:space="preserve">Under the terms of your existing </w:t>
            </w:r>
            <w:r w:rsidRPr="000D0191">
              <w:rPr>
                <w:rFonts w:eastAsia="MS Mincho"/>
                <w:szCs w:val="24"/>
                <w:highlight w:val="yellow"/>
                <w:lang w:val="en-AU" w:eastAsia="ar-SA"/>
              </w:rPr>
              <w:t>[investment property][share portfolio][other asset]</w:t>
            </w:r>
            <w:r w:rsidRPr="000D0191">
              <w:rPr>
                <w:color w:val="000000"/>
              </w:rPr>
              <w:t xml:space="preserve"> </w:t>
            </w:r>
            <w:r w:rsidRPr="005F763D">
              <w:t xml:space="preserve">loan contract, you are required to meet interest only repayments of </w:t>
            </w:r>
            <w:r w:rsidRPr="000D0191">
              <w:rPr>
                <w:color w:val="000000"/>
              </w:rPr>
              <w:t>$</w:t>
            </w:r>
            <w:r w:rsidRPr="00F840FE">
              <w:rPr>
                <w:color w:val="FF0000"/>
              </w:rPr>
              <w:t>__.__</w:t>
            </w:r>
            <w:r w:rsidRPr="005F763D">
              <w:t>per annum.</w:t>
            </w:r>
          </w:p>
          <w:p w14:paraId="7503CB0B" w14:textId="77777777" w:rsidR="00D04EB1" w:rsidRDefault="00D04EB1" w:rsidP="00C4024D">
            <w:pPr>
              <w:jc w:val="left"/>
            </w:pPr>
          </w:p>
          <w:p w14:paraId="3BC7BF97" w14:textId="77777777" w:rsidR="00D04EB1" w:rsidRDefault="00D04EB1" w:rsidP="00C4024D">
            <w:pPr>
              <w:jc w:val="left"/>
            </w:pPr>
          </w:p>
          <w:p w14:paraId="45A33A79" w14:textId="2D91571D" w:rsidR="00C4024D" w:rsidRPr="005F763D" w:rsidRDefault="00C4024D" w:rsidP="00C4024D">
            <w:pPr>
              <w:jc w:val="left"/>
            </w:pPr>
            <w:r w:rsidRPr="005F763D">
              <w:t>Our recommendation for the ongoing repayment of this liability has been accounted for in calculating your savings capacity.</w:t>
            </w:r>
          </w:p>
          <w:p w14:paraId="220707CE" w14:textId="77777777" w:rsidR="00C4024D" w:rsidRDefault="00C4024D" w:rsidP="00C4024D">
            <w:pPr>
              <w:jc w:val="left"/>
            </w:pPr>
          </w:p>
          <w:p w14:paraId="02C32722" w14:textId="77777777" w:rsidR="00C4024D" w:rsidRPr="005F763D" w:rsidRDefault="00C4024D" w:rsidP="00C4024D">
            <w:pPr>
              <w:jc w:val="left"/>
            </w:pPr>
            <w:r w:rsidRPr="005F763D">
              <w:t>The benefit of this recommendation is you will continue to obtain tax deductions for the interest costs of the gearing strategy.</w:t>
            </w:r>
          </w:p>
          <w:p w14:paraId="00B080BF" w14:textId="234D9A19" w:rsidR="001A22F0" w:rsidRPr="001A22F0" w:rsidRDefault="001A22F0" w:rsidP="001A22F0">
            <w:pPr>
              <w:jc w:val="left"/>
            </w:pPr>
          </w:p>
        </w:tc>
      </w:tr>
    </w:tbl>
    <w:p w14:paraId="667C5583" w14:textId="77777777" w:rsidR="001A22F0" w:rsidRPr="005F763D" w:rsidRDefault="001A22F0" w:rsidP="008C7CE9">
      <w:pPr>
        <w:jc w:val="left"/>
      </w:pPr>
    </w:p>
    <w:p w14:paraId="787C3B36" w14:textId="77777777" w:rsidR="00F3341B" w:rsidRPr="005F763D" w:rsidRDefault="00F3341B" w:rsidP="008C7CE9">
      <w:pPr>
        <w:jc w:val="left"/>
      </w:pPr>
    </w:p>
    <w:p w14:paraId="50F878A8" w14:textId="77777777" w:rsidR="00126AD9" w:rsidRPr="005F763D" w:rsidRDefault="00126AD9" w:rsidP="008C7CE9">
      <w:pPr>
        <w:jc w:val="left"/>
        <w:rPr>
          <w:color w:val="002060"/>
          <w:sz w:val="24"/>
        </w:rPr>
      </w:pPr>
      <w:r w:rsidRPr="005F763D">
        <w:rPr>
          <w:color w:val="002060"/>
          <w:sz w:val="24"/>
        </w:rPr>
        <w:t>Non-Deductible Debt - Reduce</w:t>
      </w:r>
    </w:p>
    <w:p w14:paraId="6739B08D" w14:textId="77777777" w:rsidR="00126AD9" w:rsidRPr="005F763D" w:rsidRDefault="00126AD9" w:rsidP="008C7CE9">
      <w:pPr>
        <w:jc w:val="left"/>
      </w:pPr>
    </w:p>
    <w:tbl>
      <w:tblPr>
        <w:tblStyle w:val="TableGrid"/>
        <w:tblW w:w="0" w:type="auto"/>
        <w:tblInd w:w="76" w:type="dxa"/>
        <w:tblLook w:val="04A0" w:firstRow="1" w:lastRow="0" w:firstColumn="1" w:lastColumn="0" w:noHBand="0" w:noVBand="1"/>
      </w:tblPr>
      <w:tblGrid>
        <w:gridCol w:w="2754"/>
        <w:gridCol w:w="6798"/>
      </w:tblGrid>
      <w:tr w:rsidR="001A22F0" w:rsidRPr="00E51BEA" w14:paraId="564780E1" w14:textId="77777777" w:rsidTr="00B45A3A">
        <w:tc>
          <w:tcPr>
            <w:tcW w:w="2754" w:type="dxa"/>
          </w:tcPr>
          <w:p w14:paraId="707C30FC" w14:textId="77777777" w:rsidR="001A22F0" w:rsidRPr="00EA0A06" w:rsidRDefault="001A22F0"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67703253" w14:textId="77777777" w:rsidR="001A22F0" w:rsidRPr="00E51BEA" w:rsidRDefault="001A22F0" w:rsidP="00B45A3A">
            <w:pPr>
              <w:pStyle w:val="TableHeader2"/>
              <w:rPr>
                <w:rFonts w:ascii="Calibri Light" w:hAnsi="Calibri Light"/>
              </w:rPr>
            </w:pPr>
          </w:p>
        </w:tc>
      </w:tr>
      <w:tr w:rsidR="001A22F0" w:rsidRPr="001A22F0" w14:paraId="11D0D271" w14:textId="77777777" w:rsidTr="00B45A3A">
        <w:tc>
          <w:tcPr>
            <w:tcW w:w="2754" w:type="dxa"/>
          </w:tcPr>
          <w:p w14:paraId="102812B4" w14:textId="77777777" w:rsidR="001A22F0" w:rsidRPr="00EA0A06" w:rsidRDefault="001A22F0" w:rsidP="00E164DA">
            <w:pPr>
              <w:pStyle w:val="Instructions"/>
            </w:pPr>
            <w:r w:rsidRPr="00EA0A06">
              <w:t>Title</w:t>
            </w:r>
          </w:p>
        </w:tc>
        <w:tc>
          <w:tcPr>
            <w:tcW w:w="6798" w:type="dxa"/>
          </w:tcPr>
          <w:p w14:paraId="6C624A7F" w14:textId="29DBE9C4" w:rsidR="001A22F0" w:rsidRPr="001A22F0" w:rsidRDefault="00EF3AC0" w:rsidP="00B45A3A">
            <w:pPr>
              <w:jc w:val="left"/>
            </w:pPr>
            <w:r>
              <w:t xml:space="preserve">Non-Deductible Debt </w:t>
            </w:r>
            <w:r w:rsidR="00DF7B8D">
              <w:t>–</w:t>
            </w:r>
            <w:r>
              <w:t xml:space="preserve"> Reduce</w:t>
            </w:r>
          </w:p>
        </w:tc>
      </w:tr>
      <w:tr w:rsidR="001A22F0" w:rsidRPr="001A22F0" w14:paraId="03F2D69F" w14:textId="77777777" w:rsidTr="00B45A3A">
        <w:tc>
          <w:tcPr>
            <w:tcW w:w="2754" w:type="dxa"/>
          </w:tcPr>
          <w:p w14:paraId="1325E689" w14:textId="77777777" w:rsidR="001A22F0" w:rsidRPr="00EA0A06" w:rsidRDefault="001A22F0" w:rsidP="00E164DA">
            <w:pPr>
              <w:pStyle w:val="Instructions"/>
            </w:pPr>
            <w:r w:rsidRPr="00EA0A06">
              <w:t>Explanation</w:t>
            </w:r>
          </w:p>
        </w:tc>
        <w:tc>
          <w:tcPr>
            <w:tcW w:w="6798" w:type="dxa"/>
          </w:tcPr>
          <w:p w14:paraId="0B8E7657" w14:textId="5AFA6FB7" w:rsidR="00EF3AC0" w:rsidRDefault="00EF3AC0" w:rsidP="00EF3AC0">
            <w:pPr>
              <w:jc w:val="left"/>
            </w:pPr>
            <w:r w:rsidRPr="005F763D">
              <w:t xml:space="preserve">As the interest you will incur over this time frame is not tax deductible and the payments are made from after tax income we recommend you increase your repayments to </w:t>
            </w:r>
            <w:r w:rsidRPr="000D0191">
              <w:t>$</w:t>
            </w:r>
            <w:r w:rsidRPr="00F840FE">
              <w:rPr>
                <w:color w:val="FF0000"/>
              </w:rPr>
              <w:t>[___,___]</w:t>
            </w:r>
            <w:r w:rsidRPr="005F763D">
              <w:t xml:space="preserve"> per </w:t>
            </w:r>
            <w:r w:rsidRPr="000D0191">
              <w:t>[week][fortnight][month]</w:t>
            </w:r>
            <w:r w:rsidRPr="005F763D">
              <w:t xml:space="preserve"> (</w:t>
            </w:r>
            <w:r w:rsidRPr="000D0191">
              <w:t>$</w:t>
            </w:r>
            <w:r w:rsidRPr="00F840FE">
              <w:rPr>
                <w:color w:val="FF0000"/>
              </w:rPr>
              <w:t>[___,___]</w:t>
            </w:r>
            <w:r w:rsidRPr="005F763D">
              <w:t xml:space="preserve"> per annum).</w:t>
            </w:r>
          </w:p>
          <w:p w14:paraId="549CAF6C" w14:textId="77777777" w:rsidR="00EF3AC0" w:rsidRPr="005F763D" w:rsidRDefault="00EF3AC0" w:rsidP="00EF3AC0">
            <w:pPr>
              <w:jc w:val="left"/>
            </w:pPr>
          </w:p>
          <w:p w14:paraId="16ABC7AA" w14:textId="77777777" w:rsidR="00EF3AC0" w:rsidRPr="005F763D" w:rsidRDefault="00EF3AC0" w:rsidP="00EF3AC0">
            <w:pPr>
              <w:jc w:val="left"/>
            </w:pPr>
            <w:r w:rsidRPr="005F763D">
              <w:t>This increase of $</w:t>
            </w:r>
            <w:r w:rsidRPr="00F840FE">
              <w:rPr>
                <w:color w:val="FF0000"/>
              </w:rPr>
              <w:t>[__</w:t>
            </w:r>
            <w:proofErr w:type="gramStart"/>
            <w:r w:rsidRPr="00F840FE">
              <w:rPr>
                <w:color w:val="FF0000"/>
              </w:rPr>
              <w:t>_,_</w:t>
            </w:r>
            <w:proofErr w:type="gramEnd"/>
            <w:r w:rsidRPr="00F840FE">
              <w:rPr>
                <w:color w:val="FF0000"/>
              </w:rPr>
              <w:t>__]</w:t>
            </w:r>
            <w:r w:rsidRPr="005F763D">
              <w:t xml:space="preserve"> per annum will be met from your savings capacity.</w:t>
            </w:r>
          </w:p>
          <w:p w14:paraId="3009D310" w14:textId="77777777" w:rsidR="001A22F0" w:rsidRPr="001A22F0" w:rsidRDefault="001A22F0" w:rsidP="00B45A3A">
            <w:pPr>
              <w:jc w:val="left"/>
            </w:pPr>
          </w:p>
        </w:tc>
      </w:tr>
      <w:tr w:rsidR="001A22F0" w:rsidRPr="001A22F0" w14:paraId="5BF82978" w14:textId="77777777" w:rsidTr="00B45A3A">
        <w:tc>
          <w:tcPr>
            <w:tcW w:w="2754" w:type="dxa"/>
          </w:tcPr>
          <w:p w14:paraId="16204205" w14:textId="77777777" w:rsidR="001A22F0" w:rsidRPr="00EA0A06" w:rsidRDefault="001A22F0" w:rsidP="00E164DA">
            <w:pPr>
              <w:pStyle w:val="Instructions"/>
            </w:pPr>
            <w:r w:rsidRPr="00EA0A06">
              <w:t>In your Best Interest</w:t>
            </w:r>
          </w:p>
        </w:tc>
        <w:tc>
          <w:tcPr>
            <w:tcW w:w="6798" w:type="dxa"/>
          </w:tcPr>
          <w:p w14:paraId="6E916C64" w14:textId="77777777" w:rsidR="001A22F0" w:rsidRPr="001A22F0" w:rsidRDefault="001A22F0">
            <w:pPr>
              <w:pStyle w:val="InterPracBullet"/>
            </w:pPr>
          </w:p>
        </w:tc>
      </w:tr>
      <w:tr w:rsidR="001A22F0" w:rsidRPr="001A22F0" w14:paraId="4BEA7148" w14:textId="77777777" w:rsidTr="00B45A3A">
        <w:tc>
          <w:tcPr>
            <w:tcW w:w="2754" w:type="dxa"/>
          </w:tcPr>
          <w:p w14:paraId="5A5BC539" w14:textId="77777777" w:rsidR="001A22F0" w:rsidRPr="00EA0A06" w:rsidRDefault="001A22F0" w:rsidP="00E164DA">
            <w:pPr>
              <w:pStyle w:val="Instructions"/>
            </w:pPr>
            <w:r w:rsidRPr="00EA0A06">
              <w:lastRenderedPageBreak/>
              <w:t>Further Detail</w:t>
            </w:r>
          </w:p>
        </w:tc>
        <w:tc>
          <w:tcPr>
            <w:tcW w:w="6798" w:type="dxa"/>
          </w:tcPr>
          <w:p w14:paraId="34CE4341" w14:textId="77777777" w:rsidR="0005526D" w:rsidRPr="005F763D" w:rsidRDefault="0005526D" w:rsidP="0005526D">
            <w:pPr>
              <w:jc w:val="left"/>
            </w:pPr>
            <w:r w:rsidRPr="005F763D">
              <w:t xml:space="preserve">We believe that increasing the repayments on your </w:t>
            </w:r>
            <w:r w:rsidRPr="000D0191">
              <w:rPr>
                <w:color w:val="7030A0"/>
                <w:highlight w:val="yellow"/>
              </w:rPr>
              <w:t>[mortgage</w:t>
            </w:r>
            <w:proofErr w:type="gramStart"/>
            <w:r w:rsidRPr="000D0191">
              <w:rPr>
                <w:color w:val="7030A0"/>
                <w:highlight w:val="yellow"/>
              </w:rPr>
              <w:t>][</w:t>
            </w:r>
            <w:proofErr w:type="gramEnd"/>
            <w:r w:rsidRPr="000D0191">
              <w:rPr>
                <w:color w:val="7030A0"/>
                <w:highlight w:val="yellow"/>
              </w:rPr>
              <w:t>other non-deductible debt]</w:t>
            </w:r>
            <w:r w:rsidRPr="000D0191">
              <w:rPr>
                <w:color w:val="7030A0"/>
              </w:rPr>
              <w:t xml:space="preserve"> </w:t>
            </w:r>
            <w:r w:rsidRPr="005F763D">
              <w:rPr>
                <w:color w:val="auto"/>
              </w:rPr>
              <w:t xml:space="preserve">to </w:t>
            </w:r>
            <w:r w:rsidRPr="005F763D">
              <w:rPr>
                <w:color w:val="FF0000"/>
              </w:rPr>
              <w:t>$</w:t>
            </w:r>
            <w:r w:rsidRPr="00F840FE">
              <w:rPr>
                <w:color w:val="FF0000"/>
              </w:rPr>
              <w:t>[___,___]</w:t>
            </w:r>
            <w:r w:rsidRPr="005F763D">
              <w:t xml:space="preserve"> per </w:t>
            </w:r>
            <w:r w:rsidRPr="005F763D">
              <w:rPr>
                <w:color w:val="FF0000"/>
              </w:rPr>
              <w:t>[week][fortnight][month]</w:t>
            </w:r>
            <w:r w:rsidRPr="005F763D">
              <w:t xml:space="preserve"> (</w:t>
            </w:r>
            <w:r w:rsidRPr="005F763D">
              <w:rPr>
                <w:color w:val="FF0000"/>
              </w:rPr>
              <w:t>$___,___</w:t>
            </w:r>
            <w:r w:rsidRPr="005F763D">
              <w:t xml:space="preserve"> per annum), meets your needs/objectives for the following reasons:</w:t>
            </w:r>
          </w:p>
          <w:p w14:paraId="67F6EFA6" w14:textId="77777777" w:rsidR="0005526D" w:rsidRPr="005F763D" w:rsidRDefault="0005526D">
            <w:pPr>
              <w:pStyle w:val="InterPracBullet"/>
            </w:pPr>
            <w:r w:rsidRPr="005F763D">
              <w:t>Non-deductible debt is debt for which you cannot claim a tax deduction for the interest costs.  Typical types of non-deductible debt are home loans and personal loans.</w:t>
            </w:r>
          </w:p>
          <w:p w14:paraId="0754A7BF" w14:textId="77777777" w:rsidR="0005526D" w:rsidRPr="005F763D" w:rsidRDefault="0005526D">
            <w:pPr>
              <w:pStyle w:val="InterPracBullet"/>
            </w:pPr>
            <w:r w:rsidRPr="005F763D">
              <w:t xml:space="preserve">You currently have a [mortgage][other non-deductible debt] of </w:t>
            </w:r>
            <w:r w:rsidRPr="000D0191">
              <w:rPr>
                <w:color w:val="000000"/>
              </w:rPr>
              <w:t>$</w:t>
            </w:r>
            <w:r w:rsidRPr="00F840FE">
              <w:rPr>
                <w:color w:val="FF0000"/>
              </w:rPr>
              <w:t>[___,___]</w:t>
            </w:r>
            <w:r w:rsidRPr="005F763D">
              <w:t xml:space="preserve"> in joint names.</w:t>
            </w:r>
          </w:p>
          <w:p w14:paraId="55B40834" w14:textId="77777777" w:rsidR="0005526D" w:rsidRPr="005F763D" w:rsidRDefault="0005526D">
            <w:pPr>
              <w:pStyle w:val="InterPracBullet"/>
            </w:pPr>
            <w:r w:rsidRPr="005F763D">
              <w:t xml:space="preserve">At your current repayment of </w:t>
            </w:r>
            <w:r w:rsidRPr="000D0191">
              <w:rPr>
                <w:color w:val="000000"/>
              </w:rPr>
              <w:t>$</w:t>
            </w:r>
            <w:r w:rsidRPr="00F840FE">
              <w:rPr>
                <w:color w:val="FF0000"/>
              </w:rPr>
              <w:t>[___,___]</w:t>
            </w:r>
            <w:r w:rsidRPr="005F763D">
              <w:t xml:space="preserve"> per </w:t>
            </w:r>
            <w:r w:rsidRPr="000D0191">
              <w:rPr>
                <w:color w:val="000000"/>
              </w:rPr>
              <w:t>[week][fortnight][month]</w:t>
            </w:r>
            <w:r w:rsidRPr="005F763D">
              <w:t xml:space="preserve"> (</w:t>
            </w:r>
            <w:r w:rsidRPr="000D0191">
              <w:rPr>
                <w:color w:val="000000"/>
              </w:rPr>
              <w:t>$</w:t>
            </w:r>
            <w:r w:rsidRPr="00F840FE">
              <w:rPr>
                <w:color w:val="FF0000"/>
              </w:rPr>
              <w:t>[___,___]</w:t>
            </w:r>
            <w:r w:rsidRPr="005F763D">
              <w:t xml:space="preserve"> per annum) and an interest rate of </w:t>
            </w:r>
            <w:r w:rsidRPr="000D0191">
              <w:rPr>
                <w:color w:val="FF0000"/>
              </w:rPr>
              <w:t>__.__</w:t>
            </w:r>
            <w:r w:rsidRPr="000D0191">
              <w:rPr>
                <w:color w:val="000000"/>
              </w:rPr>
              <w:t>%</w:t>
            </w:r>
            <w:r w:rsidRPr="005F763D">
              <w:t xml:space="preserve"> per annum, we estimate that you will repay your </w:t>
            </w:r>
            <w:r w:rsidRPr="000D0191">
              <w:rPr>
                <w:color w:val="000000"/>
              </w:rPr>
              <w:t xml:space="preserve">[mortgage][other non-deductible debt] </w:t>
            </w:r>
            <w:r w:rsidRPr="005F763D">
              <w:t xml:space="preserve">within </w:t>
            </w:r>
            <w:r w:rsidRPr="000D0191">
              <w:rPr>
                <w:highlight w:val="yellow"/>
                <w:lang w:val="en-AU"/>
              </w:rPr>
              <w:t>[</w:t>
            </w:r>
            <w:r w:rsidRPr="000D0191">
              <w:rPr>
                <w:highlight w:val="yellow"/>
              </w:rPr>
              <w:t>XX</w:t>
            </w:r>
            <w:r w:rsidRPr="000D0191">
              <w:rPr>
                <w:highlight w:val="yellow"/>
                <w:lang w:val="en-AU"/>
              </w:rPr>
              <w:t>]</w:t>
            </w:r>
            <w:r w:rsidRPr="000D0191">
              <w:t xml:space="preserve"> </w:t>
            </w:r>
            <w:r w:rsidRPr="005F763D">
              <w:t>years.</w:t>
            </w:r>
          </w:p>
          <w:p w14:paraId="0DA9F360" w14:textId="77777777" w:rsidR="001A22F0" w:rsidRPr="001A22F0" w:rsidRDefault="001A22F0" w:rsidP="00B45A3A">
            <w:pPr>
              <w:jc w:val="left"/>
            </w:pPr>
          </w:p>
        </w:tc>
      </w:tr>
    </w:tbl>
    <w:p w14:paraId="64665FD4" w14:textId="77777777" w:rsidR="001A22F0" w:rsidRDefault="001A22F0" w:rsidP="008C7CE9">
      <w:pPr>
        <w:jc w:val="left"/>
      </w:pPr>
    </w:p>
    <w:p w14:paraId="2F932426" w14:textId="77777777" w:rsidR="00C970DF" w:rsidRDefault="00C970DF" w:rsidP="000D0191">
      <w:pPr>
        <w:jc w:val="left"/>
      </w:pPr>
    </w:p>
    <w:p w14:paraId="297EAEF6" w14:textId="77777777" w:rsidR="005A5AA6" w:rsidRPr="005F763D" w:rsidRDefault="005A5AA6" w:rsidP="008C7CE9">
      <w:pPr>
        <w:jc w:val="left"/>
        <w:rPr>
          <w:color w:val="002060"/>
          <w:sz w:val="24"/>
        </w:rPr>
      </w:pPr>
      <w:r w:rsidRPr="005F763D">
        <w:rPr>
          <w:color w:val="002060"/>
          <w:sz w:val="24"/>
        </w:rPr>
        <w:t>Non-Deductible Debt - Refinance</w:t>
      </w:r>
    </w:p>
    <w:p w14:paraId="7C0ACFD5" w14:textId="77777777" w:rsidR="005A5AA6" w:rsidRPr="005F763D" w:rsidRDefault="005A5AA6"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E51BEA" w14:paraId="640D6205" w14:textId="77777777" w:rsidTr="00B45A3A">
        <w:tc>
          <w:tcPr>
            <w:tcW w:w="2754" w:type="dxa"/>
          </w:tcPr>
          <w:p w14:paraId="7DD58780" w14:textId="77777777" w:rsidR="00134F53" w:rsidRPr="00EA0A06" w:rsidRDefault="00134F53"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03BC2613" w14:textId="77777777" w:rsidR="00134F53" w:rsidRPr="00E51BEA" w:rsidRDefault="00134F53" w:rsidP="00B45A3A">
            <w:pPr>
              <w:pStyle w:val="TableHeader2"/>
              <w:rPr>
                <w:rFonts w:ascii="Calibri Light" w:hAnsi="Calibri Light"/>
              </w:rPr>
            </w:pPr>
          </w:p>
        </w:tc>
      </w:tr>
      <w:tr w:rsidR="00134F53" w:rsidRPr="001A22F0" w14:paraId="1366BC41" w14:textId="77777777" w:rsidTr="00B45A3A">
        <w:tc>
          <w:tcPr>
            <w:tcW w:w="2754" w:type="dxa"/>
          </w:tcPr>
          <w:p w14:paraId="70763FB7" w14:textId="77777777" w:rsidR="00134F53" w:rsidRPr="00EA0A06" w:rsidRDefault="00134F53" w:rsidP="00E164DA">
            <w:pPr>
              <w:pStyle w:val="Instructions"/>
            </w:pPr>
            <w:r w:rsidRPr="00EA0A06">
              <w:t>Title</w:t>
            </w:r>
          </w:p>
        </w:tc>
        <w:tc>
          <w:tcPr>
            <w:tcW w:w="6798" w:type="dxa"/>
          </w:tcPr>
          <w:p w14:paraId="037750E3" w14:textId="08DE927B" w:rsidR="00134F53" w:rsidRPr="001A22F0" w:rsidRDefault="00F5379E" w:rsidP="00B45A3A">
            <w:pPr>
              <w:jc w:val="left"/>
            </w:pPr>
            <w:r>
              <w:t xml:space="preserve">Non-Deductible Debt </w:t>
            </w:r>
            <w:r w:rsidR="00DF7B8D">
              <w:t>–</w:t>
            </w:r>
            <w:r>
              <w:t xml:space="preserve"> Refinance</w:t>
            </w:r>
          </w:p>
        </w:tc>
      </w:tr>
      <w:tr w:rsidR="00134F53" w:rsidRPr="001A22F0" w14:paraId="18858BAE" w14:textId="77777777" w:rsidTr="00B45A3A">
        <w:tc>
          <w:tcPr>
            <w:tcW w:w="2754" w:type="dxa"/>
          </w:tcPr>
          <w:p w14:paraId="6750CE65" w14:textId="77777777" w:rsidR="00134F53" w:rsidRPr="00EA0A06" w:rsidRDefault="00134F53" w:rsidP="00E164DA">
            <w:pPr>
              <w:pStyle w:val="Instructions"/>
            </w:pPr>
            <w:r w:rsidRPr="00EA0A06">
              <w:t>Explanation</w:t>
            </w:r>
          </w:p>
        </w:tc>
        <w:tc>
          <w:tcPr>
            <w:tcW w:w="6798" w:type="dxa"/>
          </w:tcPr>
          <w:p w14:paraId="7D9A46A0" w14:textId="11F6D7A6" w:rsidR="000E56B6" w:rsidRPr="00E51767" w:rsidRDefault="000E56B6" w:rsidP="000E56B6">
            <w:pPr>
              <w:jc w:val="left"/>
            </w:pPr>
            <w:r w:rsidRPr="005F763D">
              <w:t xml:space="preserve">We suggest you access the services of </w:t>
            </w:r>
            <w:r w:rsidRPr="000D0191">
              <w:rPr>
                <w:color w:val="7030A0"/>
                <w:highlight w:val="yellow"/>
              </w:rPr>
              <w:t>[name of mortgage service]</w:t>
            </w:r>
            <w:r w:rsidRPr="005F763D">
              <w:t xml:space="preserve">. This mortgage service </w:t>
            </w:r>
            <w:r w:rsidRPr="00E51767">
              <w:t>has been designed to provide efficient loan and debt reduction strategies.</w:t>
            </w:r>
          </w:p>
          <w:p w14:paraId="2EFE834D" w14:textId="682DC8A4" w:rsidR="00527469" w:rsidRDefault="00527469" w:rsidP="00B45A3A">
            <w:pPr>
              <w:jc w:val="left"/>
            </w:pPr>
            <w:r w:rsidRPr="00E51767">
              <w:t>AND/OR</w:t>
            </w:r>
            <w:r>
              <w:t xml:space="preserve"> </w:t>
            </w:r>
          </w:p>
          <w:p w14:paraId="6992F206" w14:textId="5214AE7D" w:rsidR="00B45A3A" w:rsidRPr="00527469" w:rsidRDefault="00B45A3A">
            <w:pPr>
              <w:pStyle w:val="InterPracBullet"/>
            </w:pPr>
            <w:r w:rsidRPr="00527469">
              <w:t>With regards to your current outstanding debt, I recommend that you:</w:t>
            </w:r>
          </w:p>
          <w:p w14:paraId="455BADEA" w14:textId="77777777" w:rsidR="00B45A3A" w:rsidRPr="005F763D" w:rsidRDefault="00B45A3A">
            <w:pPr>
              <w:pStyle w:val="InterPracBullet"/>
              <w:numPr>
                <w:ilvl w:val="0"/>
                <w:numId w:val="74"/>
              </w:numPr>
            </w:pPr>
            <w:r w:rsidRPr="005F763D">
              <w:t>Consolidate your debts, including home mortgage and existing credit cards, into one single loan.</w:t>
            </w:r>
          </w:p>
          <w:p w14:paraId="692BCCC3" w14:textId="77777777" w:rsidR="00B45A3A" w:rsidRPr="005F763D" w:rsidRDefault="00B45A3A">
            <w:pPr>
              <w:pStyle w:val="InterPracBullet"/>
              <w:numPr>
                <w:ilvl w:val="0"/>
                <w:numId w:val="74"/>
              </w:numPr>
            </w:pPr>
            <w:r w:rsidRPr="005F763D">
              <w:t xml:space="preserve">Establish a mortgage offset account into which </w:t>
            </w:r>
            <w:r w:rsidRPr="000D0191">
              <w:rPr>
                <w:color w:val="FF0000"/>
              </w:rPr>
              <w:t>[Client Name]</w:t>
            </w:r>
            <w:r w:rsidRPr="005F763D">
              <w:t>’s monthly salary should be paid. This will reduce the principal of the loan for the time the income remains in the account, assisting to reduce interest costs.</w:t>
            </w:r>
          </w:p>
          <w:p w14:paraId="505B3E1D" w14:textId="77777777" w:rsidR="00B45A3A" w:rsidRPr="005F763D" w:rsidRDefault="00B45A3A">
            <w:pPr>
              <w:pStyle w:val="InterPracBullet"/>
              <w:numPr>
                <w:ilvl w:val="0"/>
                <w:numId w:val="74"/>
              </w:numPr>
            </w:pPr>
            <w:r w:rsidRPr="005F763D">
              <w:t>Use a credit card for your normal living expenses and then re-draw funds from the loan to repay the balance of the credit card each month.</w:t>
            </w:r>
          </w:p>
          <w:p w14:paraId="220AEF28" w14:textId="5C7FD3EC" w:rsidR="000E56B6" w:rsidRPr="001A22F0" w:rsidRDefault="000E56B6" w:rsidP="00B45A3A">
            <w:pPr>
              <w:jc w:val="left"/>
            </w:pPr>
          </w:p>
        </w:tc>
      </w:tr>
      <w:tr w:rsidR="00134F53" w:rsidRPr="001A22F0" w14:paraId="7EE046AF" w14:textId="77777777" w:rsidTr="00B45A3A">
        <w:tc>
          <w:tcPr>
            <w:tcW w:w="2754" w:type="dxa"/>
          </w:tcPr>
          <w:p w14:paraId="564C43E3" w14:textId="77777777" w:rsidR="00134F53" w:rsidRPr="00EA0A06" w:rsidRDefault="00134F53" w:rsidP="00E164DA">
            <w:pPr>
              <w:pStyle w:val="Instructions"/>
            </w:pPr>
            <w:r w:rsidRPr="00EA0A06">
              <w:t>In your Best Interest</w:t>
            </w:r>
          </w:p>
        </w:tc>
        <w:tc>
          <w:tcPr>
            <w:tcW w:w="6798" w:type="dxa"/>
          </w:tcPr>
          <w:p w14:paraId="46D545B7" w14:textId="77777777" w:rsidR="00134F53" w:rsidRPr="001A22F0" w:rsidRDefault="00134F53">
            <w:pPr>
              <w:pStyle w:val="InterPracBullet"/>
            </w:pPr>
          </w:p>
        </w:tc>
      </w:tr>
      <w:tr w:rsidR="00134F53" w:rsidRPr="001A22F0" w14:paraId="092F7344" w14:textId="77777777" w:rsidTr="00B45A3A">
        <w:tc>
          <w:tcPr>
            <w:tcW w:w="2754" w:type="dxa"/>
          </w:tcPr>
          <w:p w14:paraId="7D04932B" w14:textId="77777777" w:rsidR="00134F53" w:rsidRPr="00EA0A06" w:rsidRDefault="00134F53" w:rsidP="00E164DA">
            <w:pPr>
              <w:pStyle w:val="Instructions"/>
            </w:pPr>
            <w:r w:rsidRPr="00EA0A06">
              <w:t>Further Detail</w:t>
            </w:r>
          </w:p>
        </w:tc>
        <w:tc>
          <w:tcPr>
            <w:tcW w:w="6798" w:type="dxa"/>
          </w:tcPr>
          <w:p w14:paraId="5D1909F3" w14:textId="77777777" w:rsidR="005C6660" w:rsidRPr="005F763D" w:rsidRDefault="005C6660" w:rsidP="005C6660">
            <w:pPr>
              <w:jc w:val="left"/>
            </w:pPr>
            <w:r w:rsidRPr="005F763D">
              <w:t xml:space="preserve">We believe that refinancing your </w:t>
            </w:r>
            <w:r w:rsidRPr="000D0191">
              <w:rPr>
                <w:color w:val="7030A0"/>
                <w:highlight w:val="yellow"/>
              </w:rPr>
              <w:t>[mortgage</w:t>
            </w:r>
            <w:proofErr w:type="gramStart"/>
            <w:r w:rsidRPr="000D0191">
              <w:rPr>
                <w:color w:val="7030A0"/>
                <w:highlight w:val="yellow"/>
              </w:rPr>
              <w:t>][</w:t>
            </w:r>
            <w:proofErr w:type="gramEnd"/>
            <w:r w:rsidRPr="000D0191">
              <w:rPr>
                <w:color w:val="7030A0"/>
                <w:highlight w:val="yellow"/>
              </w:rPr>
              <w:t>other non-deductible debt]</w:t>
            </w:r>
            <w:r w:rsidRPr="000D0191">
              <w:rPr>
                <w:color w:val="7030A0"/>
              </w:rPr>
              <w:t xml:space="preserve"> </w:t>
            </w:r>
            <w:r w:rsidRPr="005F763D">
              <w:rPr>
                <w:color w:val="auto"/>
              </w:rPr>
              <w:t xml:space="preserve">to </w:t>
            </w:r>
            <w:r w:rsidRPr="000D0191">
              <w:rPr>
                <w:color w:val="auto"/>
              </w:rPr>
              <w:t>$</w:t>
            </w:r>
            <w:r w:rsidRPr="00F840FE">
              <w:rPr>
                <w:color w:val="FF0000"/>
              </w:rPr>
              <w:t>[___,___]</w:t>
            </w:r>
            <w:r w:rsidRPr="005F763D">
              <w:t xml:space="preserve"> per </w:t>
            </w:r>
            <w:r w:rsidRPr="005F763D">
              <w:rPr>
                <w:color w:val="FF0000"/>
              </w:rPr>
              <w:t>[week][fortnight][month]</w:t>
            </w:r>
            <w:r w:rsidRPr="005F763D">
              <w:t xml:space="preserve"> ($</w:t>
            </w:r>
            <w:r w:rsidRPr="00F840FE">
              <w:rPr>
                <w:color w:val="FF0000"/>
              </w:rPr>
              <w:t>[___,___]</w:t>
            </w:r>
            <w:r w:rsidRPr="005F763D">
              <w:t xml:space="preserve"> per annum), meets your needs/objectives for the following reasons:</w:t>
            </w:r>
          </w:p>
          <w:p w14:paraId="13566246" w14:textId="77777777" w:rsidR="005C6660" w:rsidRPr="005F763D" w:rsidRDefault="005C6660" w:rsidP="005C6660">
            <w:pPr>
              <w:jc w:val="left"/>
            </w:pPr>
            <w:r w:rsidRPr="005F763D">
              <w:t>The benefits of this recommendation are:</w:t>
            </w:r>
          </w:p>
          <w:p w14:paraId="7404D47E" w14:textId="77777777" w:rsidR="005C6660" w:rsidRPr="005F763D" w:rsidRDefault="005C6660">
            <w:pPr>
              <w:pStyle w:val="InterPracBullet"/>
              <w:numPr>
                <w:ilvl w:val="0"/>
                <w:numId w:val="75"/>
              </w:numPr>
            </w:pPr>
            <w:r w:rsidRPr="005F763D">
              <w:t xml:space="preserve">You will reduce the time to repay your consolidated loan by </w:t>
            </w:r>
            <w:r w:rsidRPr="000D0191">
              <w:rPr>
                <w:highlight w:val="yellow"/>
                <w:lang w:val="en-AU"/>
              </w:rPr>
              <w:t>[</w:t>
            </w:r>
            <w:r w:rsidRPr="000D0191">
              <w:rPr>
                <w:highlight w:val="yellow"/>
              </w:rPr>
              <w:t>XX</w:t>
            </w:r>
            <w:r w:rsidRPr="000D0191">
              <w:rPr>
                <w:highlight w:val="yellow"/>
                <w:lang w:val="en-AU"/>
              </w:rPr>
              <w:t>]</w:t>
            </w:r>
            <w:r w:rsidRPr="005F763D">
              <w:t xml:space="preserve"> years.</w:t>
            </w:r>
          </w:p>
          <w:p w14:paraId="7858E765" w14:textId="77777777" w:rsidR="005C6660" w:rsidRPr="005F763D" w:rsidRDefault="005C6660">
            <w:pPr>
              <w:pStyle w:val="InterPracBullet"/>
              <w:numPr>
                <w:ilvl w:val="0"/>
                <w:numId w:val="75"/>
              </w:numPr>
            </w:pPr>
            <w:r w:rsidRPr="00E417FE">
              <w:rPr>
                <w:highlight w:val="yellow"/>
              </w:rPr>
              <w:t>You will save</w:t>
            </w:r>
            <w:r w:rsidRPr="005F763D">
              <w:t xml:space="preserve"> $</w:t>
            </w:r>
            <w:r w:rsidRPr="00F840FE">
              <w:rPr>
                <w:color w:val="FF0000"/>
              </w:rPr>
              <w:t>[___,___]</w:t>
            </w:r>
            <w:r w:rsidRPr="005F763D">
              <w:t xml:space="preserve">  </w:t>
            </w:r>
            <w:r w:rsidRPr="00E417FE">
              <w:rPr>
                <w:highlight w:val="yellow"/>
              </w:rPr>
              <w:t>in interest costs which are not tax deductible.</w:t>
            </w:r>
          </w:p>
          <w:p w14:paraId="05B21730" w14:textId="77777777" w:rsidR="005C6660" w:rsidRPr="005F763D" w:rsidRDefault="005C6660">
            <w:pPr>
              <w:pStyle w:val="InterPracBullet"/>
              <w:numPr>
                <w:ilvl w:val="0"/>
                <w:numId w:val="75"/>
              </w:numPr>
            </w:pPr>
            <w:r w:rsidRPr="00E417FE">
              <w:rPr>
                <w:highlight w:val="yellow"/>
              </w:rPr>
              <w:t>You will achieve an effective after tax return of</w:t>
            </w:r>
            <w:r w:rsidRPr="00E417FE">
              <w:t xml:space="preserve"> </w:t>
            </w:r>
            <w:r w:rsidRPr="00E417FE">
              <w:rPr>
                <w:color w:val="FF0000"/>
              </w:rPr>
              <w:t>__.__</w:t>
            </w:r>
            <w:r w:rsidRPr="00E417FE">
              <w:rPr>
                <w:highlight w:val="yellow"/>
              </w:rPr>
              <w:t>% per annum.</w:t>
            </w:r>
          </w:p>
          <w:p w14:paraId="1C304BE7" w14:textId="77777777" w:rsidR="005C6660" w:rsidRPr="00C55570" w:rsidRDefault="005C6660">
            <w:pPr>
              <w:pStyle w:val="InterPracBullet"/>
              <w:numPr>
                <w:ilvl w:val="0"/>
                <w:numId w:val="75"/>
              </w:numPr>
            </w:pPr>
            <w:r w:rsidRPr="002D3AC5">
              <w:rPr>
                <w:highlight w:val="yellow"/>
              </w:rPr>
              <w:t>You will not take unnecessary investment risk trying to achieve a return higher than the interest rate in an alternative investment vehicle.</w:t>
            </w:r>
          </w:p>
          <w:p w14:paraId="03DCB0FE" w14:textId="77777777" w:rsidR="005C6660" w:rsidRPr="00C55570" w:rsidRDefault="005C6660">
            <w:pPr>
              <w:pStyle w:val="InterPracBullet"/>
              <w:numPr>
                <w:ilvl w:val="0"/>
                <w:numId w:val="75"/>
              </w:numPr>
            </w:pPr>
            <w:r w:rsidRPr="002D3AC5">
              <w:rPr>
                <w:highlight w:val="yellow"/>
              </w:rPr>
              <w:t>You will be able to apply your total non-deductible debt repayments to wealth creation after extinguishing your consolidated loan.</w:t>
            </w:r>
          </w:p>
          <w:p w14:paraId="7278688D" w14:textId="77777777" w:rsidR="005C6660" w:rsidRDefault="005C6660">
            <w:pPr>
              <w:pStyle w:val="InterPracBullet"/>
            </w:pPr>
          </w:p>
          <w:p w14:paraId="200C9667" w14:textId="685726CD" w:rsidR="007B06DF" w:rsidRPr="005F763D" w:rsidRDefault="007B06DF">
            <w:pPr>
              <w:pStyle w:val="InterPracBullet"/>
            </w:pPr>
            <w:r w:rsidRPr="005F763D">
              <w:t xml:space="preserve">Refinancing your </w:t>
            </w:r>
            <w:r w:rsidRPr="000D0191">
              <w:rPr>
                <w:highlight w:val="yellow"/>
              </w:rPr>
              <w:t>[mortgage][other non-deductible debt]</w:t>
            </w:r>
            <w:r w:rsidRPr="000D0191">
              <w:rPr>
                <w:color w:val="000000"/>
              </w:rPr>
              <w:t xml:space="preserve"> </w:t>
            </w:r>
            <w:r w:rsidRPr="005F763D">
              <w:t xml:space="preserve"> provide</w:t>
            </w:r>
            <w:r>
              <w:rPr>
                <w:lang w:val="en-AU"/>
              </w:rPr>
              <w:t>s</w:t>
            </w:r>
            <w:r w:rsidRPr="005F763D">
              <w:t xml:space="preserve"> greater flexibility in your loan and reduce the current costs associated with the loan.</w:t>
            </w:r>
          </w:p>
          <w:p w14:paraId="3C899AB7" w14:textId="77777777" w:rsidR="007B06DF" w:rsidRDefault="007B06DF" w:rsidP="000E56B6">
            <w:pPr>
              <w:jc w:val="left"/>
            </w:pPr>
          </w:p>
          <w:p w14:paraId="796651DF" w14:textId="07D9A204" w:rsidR="000E56B6" w:rsidRDefault="000E56B6" w:rsidP="000E56B6">
            <w:pPr>
              <w:jc w:val="left"/>
            </w:pPr>
            <w:r w:rsidRPr="005F763D">
              <w:t xml:space="preserve">After your debts have been consolidated as outlined above, we estimate the total amount being applied to reduction of the loan will be </w:t>
            </w:r>
            <w:r w:rsidRPr="000D0191">
              <w:t>$</w:t>
            </w:r>
            <w:r w:rsidRPr="00F840FE">
              <w:rPr>
                <w:color w:val="FF0000"/>
              </w:rPr>
              <w:t>[__</w:t>
            </w:r>
            <w:proofErr w:type="gramStart"/>
            <w:r w:rsidRPr="00F840FE">
              <w:rPr>
                <w:color w:val="FF0000"/>
              </w:rPr>
              <w:t>_,_</w:t>
            </w:r>
            <w:proofErr w:type="gramEnd"/>
            <w:r w:rsidRPr="00F840FE">
              <w:rPr>
                <w:color w:val="FF0000"/>
              </w:rPr>
              <w:t>__]</w:t>
            </w:r>
            <w:r w:rsidRPr="005F763D">
              <w:t xml:space="preserve"> per month (</w:t>
            </w:r>
            <w:r w:rsidRPr="000D0191">
              <w:t>$</w:t>
            </w:r>
            <w:r w:rsidRPr="00F840FE">
              <w:rPr>
                <w:color w:val="FF0000"/>
              </w:rPr>
              <w:t>[___,___]</w:t>
            </w:r>
            <w:r w:rsidRPr="005F763D">
              <w:t xml:space="preserve"> per annum). </w:t>
            </w:r>
            <w:r w:rsidRPr="000D0191">
              <w:t xml:space="preserve"> </w:t>
            </w:r>
            <w:r w:rsidRPr="005F763D">
              <w:t xml:space="preserve">This represents your current loan repayments of </w:t>
            </w:r>
            <w:r w:rsidRPr="000D0191">
              <w:t>$</w:t>
            </w:r>
            <w:r w:rsidRPr="00F840FE">
              <w:rPr>
                <w:color w:val="FF0000"/>
              </w:rPr>
              <w:t>[__</w:t>
            </w:r>
            <w:proofErr w:type="gramStart"/>
            <w:r w:rsidRPr="00F840FE">
              <w:rPr>
                <w:color w:val="FF0000"/>
              </w:rPr>
              <w:t>_,_</w:t>
            </w:r>
            <w:proofErr w:type="gramEnd"/>
            <w:r w:rsidRPr="00F840FE">
              <w:rPr>
                <w:color w:val="FF0000"/>
              </w:rPr>
              <w:t>__]</w:t>
            </w:r>
            <w:r w:rsidRPr="005F763D">
              <w:t xml:space="preserve"> per month (</w:t>
            </w:r>
            <w:r w:rsidRPr="000D0191">
              <w:t>$</w:t>
            </w:r>
            <w:r w:rsidRPr="00F840FE">
              <w:rPr>
                <w:color w:val="FF0000"/>
              </w:rPr>
              <w:t>[___,___]</w:t>
            </w:r>
            <w:r w:rsidRPr="005F763D">
              <w:t xml:space="preserve"> per annum) plus your current surplus income of </w:t>
            </w:r>
            <w:r w:rsidRPr="000D0191">
              <w:t>$</w:t>
            </w:r>
            <w:r w:rsidRPr="00F840FE">
              <w:rPr>
                <w:color w:val="FF0000"/>
              </w:rPr>
              <w:t>[___,___]</w:t>
            </w:r>
            <w:r w:rsidRPr="005F763D">
              <w:t xml:space="preserve"> per month (</w:t>
            </w:r>
            <w:r w:rsidRPr="000D0191">
              <w:t>$</w:t>
            </w:r>
            <w:r w:rsidRPr="00F840FE">
              <w:rPr>
                <w:color w:val="FF0000"/>
              </w:rPr>
              <w:t>[___,___]</w:t>
            </w:r>
            <w:r w:rsidRPr="005F763D">
              <w:t xml:space="preserve"> per annum).</w:t>
            </w:r>
          </w:p>
          <w:p w14:paraId="0366F306" w14:textId="77777777" w:rsidR="00285E8B" w:rsidRPr="005F763D" w:rsidRDefault="00285E8B" w:rsidP="000E56B6">
            <w:pPr>
              <w:jc w:val="left"/>
            </w:pPr>
          </w:p>
          <w:p w14:paraId="224474C2" w14:textId="77777777" w:rsidR="00285E8B" w:rsidRPr="005F763D" w:rsidRDefault="00285E8B" w:rsidP="00285E8B">
            <w:pPr>
              <w:jc w:val="left"/>
              <w:rPr>
                <w:color w:val="auto"/>
              </w:rPr>
            </w:pPr>
            <w:r w:rsidRPr="005F763D">
              <w:rPr>
                <w:color w:val="auto"/>
              </w:rPr>
              <w:lastRenderedPageBreak/>
              <w:t xml:space="preserve">Our calculations are based on an interest rate of </w:t>
            </w:r>
            <w:r w:rsidRPr="005F763D">
              <w:rPr>
                <w:color w:val="FF0000"/>
              </w:rPr>
              <w:t>_</w:t>
            </w:r>
            <w:proofErr w:type="gramStart"/>
            <w:r w:rsidRPr="005F763D">
              <w:rPr>
                <w:color w:val="FF0000"/>
              </w:rPr>
              <w:t>_._</w:t>
            </w:r>
            <w:proofErr w:type="gramEnd"/>
            <w:r w:rsidRPr="005F763D">
              <w:rPr>
                <w:color w:val="FF0000"/>
              </w:rPr>
              <w:t>_%</w:t>
            </w:r>
            <w:r w:rsidRPr="005F763D">
              <w:rPr>
                <w:color w:val="auto"/>
              </w:rPr>
              <w:t xml:space="preserve"> per annum to allow for interest rate increases over the medium to long term.</w:t>
            </w:r>
          </w:p>
          <w:p w14:paraId="338ED288" w14:textId="77777777" w:rsidR="00134F53" w:rsidRPr="001A22F0" w:rsidRDefault="00134F53" w:rsidP="00B45A3A">
            <w:pPr>
              <w:jc w:val="left"/>
            </w:pPr>
          </w:p>
        </w:tc>
      </w:tr>
    </w:tbl>
    <w:p w14:paraId="6D52FDC1" w14:textId="77777777" w:rsidR="00134F53" w:rsidRDefault="00134F53" w:rsidP="008C7CE9">
      <w:pPr>
        <w:jc w:val="left"/>
      </w:pPr>
    </w:p>
    <w:p w14:paraId="64A720FA" w14:textId="77777777" w:rsidR="005840B0" w:rsidRDefault="005840B0" w:rsidP="008C7CE9">
      <w:pPr>
        <w:jc w:val="left"/>
        <w:sectPr w:rsidR="005840B0" w:rsidSect="008C0AC7">
          <w:type w:val="continuous"/>
          <w:pgSz w:w="11906" w:h="16838" w:code="9"/>
          <w:pgMar w:top="1134" w:right="566" w:bottom="426" w:left="709" w:header="567" w:footer="95" w:gutter="0"/>
          <w:cols w:space="708"/>
          <w:docGrid w:linePitch="360"/>
        </w:sectPr>
      </w:pPr>
    </w:p>
    <w:p w14:paraId="6D2F34EE" w14:textId="6286B3A8" w:rsidR="005A5AA6" w:rsidRPr="005F763D" w:rsidRDefault="005A5AA6" w:rsidP="008C7CE9">
      <w:pPr>
        <w:jc w:val="left"/>
      </w:pPr>
    </w:p>
    <w:p w14:paraId="470E74BD" w14:textId="77777777" w:rsidR="002F6B06" w:rsidRPr="005F763D" w:rsidRDefault="002F6B06" w:rsidP="008C7CE9">
      <w:pPr>
        <w:jc w:val="left"/>
        <w:rPr>
          <w:color w:val="002060"/>
          <w:sz w:val="24"/>
        </w:rPr>
      </w:pPr>
      <w:bookmarkStart w:id="15" w:name="_Toc260306639"/>
      <w:r w:rsidRPr="005F763D">
        <w:rPr>
          <w:color w:val="002060"/>
          <w:sz w:val="24"/>
        </w:rPr>
        <w:t>Non-Deductible Debt - Retain</w:t>
      </w:r>
    </w:p>
    <w:p w14:paraId="10A14E41" w14:textId="77777777" w:rsidR="002F6B06" w:rsidRPr="005F763D" w:rsidRDefault="002F6B06"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E51BEA" w14:paraId="01E77A16" w14:textId="77777777" w:rsidTr="00B45A3A">
        <w:tc>
          <w:tcPr>
            <w:tcW w:w="2754" w:type="dxa"/>
          </w:tcPr>
          <w:p w14:paraId="6AF2A783" w14:textId="77777777" w:rsidR="00134F53" w:rsidRPr="00EA0A06" w:rsidRDefault="00134F53"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A1139E8" w14:textId="77777777" w:rsidR="00134F53" w:rsidRPr="00E51BEA" w:rsidRDefault="00134F53" w:rsidP="00B45A3A">
            <w:pPr>
              <w:pStyle w:val="TableHeader2"/>
              <w:rPr>
                <w:rFonts w:ascii="Calibri Light" w:hAnsi="Calibri Light"/>
              </w:rPr>
            </w:pPr>
          </w:p>
        </w:tc>
      </w:tr>
      <w:tr w:rsidR="00134F53" w:rsidRPr="001A22F0" w14:paraId="30787D8A" w14:textId="77777777" w:rsidTr="00B45A3A">
        <w:tc>
          <w:tcPr>
            <w:tcW w:w="2754" w:type="dxa"/>
          </w:tcPr>
          <w:p w14:paraId="28435AC3" w14:textId="77777777" w:rsidR="00134F53" w:rsidRPr="00EA0A06" w:rsidRDefault="00134F53" w:rsidP="00E164DA">
            <w:pPr>
              <w:pStyle w:val="Instructions"/>
            </w:pPr>
            <w:r w:rsidRPr="00EA0A06">
              <w:t>Title</w:t>
            </w:r>
          </w:p>
        </w:tc>
        <w:tc>
          <w:tcPr>
            <w:tcW w:w="6798" w:type="dxa"/>
          </w:tcPr>
          <w:p w14:paraId="3AFDAA3B" w14:textId="30764E8D" w:rsidR="00134F53" w:rsidRPr="001A22F0" w:rsidRDefault="00172DA5" w:rsidP="00B45A3A">
            <w:pPr>
              <w:jc w:val="left"/>
            </w:pPr>
            <w:r>
              <w:t>Non-Deductible Debt - Retain</w:t>
            </w:r>
          </w:p>
        </w:tc>
      </w:tr>
      <w:tr w:rsidR="00134F53" w:rsidRPr="001A22F0" w14:paraId="711F17BE" w14:textId="77777777" w:rsidTr="00B45A3A">
        <w:tc>
          <w:tcPr>
            <w:tcW w:w="2754" w:type="dxa"/>
          </w:tcPr>
          <w:p w14:paraId="1974E463" w14:textId="77777777" w:rsidR="00134F53" w:rsidRPr="00EA0A06" w:rsidRDefault="00134F53" w:rsidP="00E164DA">
            <w:pPr>
              <w:pStyle w:val="Instructions"/>
            </w:pPr>
            <w:r w:rsidRPr="00EA0A06">
              <w:t>Explanation</w:t>
            </w:r>
          </w:p>
        </w:tc>
        <w:tc>
          <w:tcPr>
            <w:tcW w:w="6798" w:type="dxa"/>
          </w:tcPr>
          <w:p w14:paraId="5D55DB5B" w14:textId="3A3474DB" w:rsidR="004801A8" w:rsidRPr="005F763D" w:rsidRDefault="004801A8">
            <w:pPr>
              <w:pStyle w:val="InterPracBullet"/>
            </w:pPr>
            <w:r w:rsidRPr="005F763D">
              <w:t xml:space="preserve">We recommend you maintain your current repayment and apply your savings capacity of </w:t>
            </w:r>
            <w:r w:rsidRPr="005F763D">
              <w:rPr>
                <w:color w:val="FF0000"/>
              </w:rPr>
              <w:t>$___,___</w:t>
            </w:r>
            <w:r w:rsidRPr="005F763D">
              <w:t xml:space="preserve"> per annum to building wealth </w:t>
            </w:r>
            <w:r w:rsidR="00016669">
              <w:rPr>
                <w:lang w:val="en-AU"/>
              </w:rPr>
              <w:t xml:space="preserve">additional to </w:t>
            </w:r>
            <w:r w:rsidRPr="005F763D">
              <w:t>your family home.</w:t>
            </w:r>
          </w:p>
          <w:p w14:paraId="346A67DB" w14:textId="77777777" w:rsidR="00134F53" w:rsidRPr="001A22F0" w:rsidRDefault="00134F53" w:rsidP="00B45A3A">
            <w:pPr>
              <w:jc w:val="left"/>
            </w:pPr>
          </w:p>
        </w:tc>
      </w:tr>
      <w:tr w:rsidR="00134F53" w:rsidRPr="001A22F0" w14:paraId="4EB7FF3E" w14:textId="77777777" w:rsidTr="00B45A3A">
        <w:tc>
          <w:tcPr>
            <w:tcW w:w="2754" w:type="dxa"/>
          </w:tcPr>
          <w:p w14:paraId="50DED666" w14:textId="77777777" w:rsidR="00134F53" w:rsidRPr="00EA0A06" w:rsidRDefault="00134F53" w:rsidP="00E164DA">
            <w:pPr>
              <w:pStyle w:val="Instructions"/>
            </w:pPr>
            <w:r w:rsidRPr="00EA0A06">
              <w:t>In your Best Interest</w:t>
            </w:r>
          </w:p>
        </w:tc>
        <w:tc>
          <w:tcPr>
            <w:tcW w:w="6798" w:type="dxa"/>
          </w:tcPr>
          <w:p w14:paraId="0FD3E2FF" w14:textId="77777777" w:rsidR="00134F53" w:rsidRPr="001A22F0" w:rsidRDefault="00134F53">
            <w:pPr>
              <w:pStyle w:val="InterPracBullet"/>
            </w:pPr>
          </w:p>
        </w:tc>
      </w:tr>
    </w:tbl>
    <w:p w14:paraId="79F5E475" w14:textId="77777777" w:rsidR="00134F53" w:rsidRDefault="00134F53" w:rsidP="008C7CE9">
      <w:pPr>
        <w:jc w:val="left"/>
      </w:pPr>
    </w:p>
    <w:p w14:paraId="74D5A44F" w14:textId="67F88628" w:rsidR="002F6B06" w:rsidRPr="005F763D" w:rsidRDefault="00D97321" w:rsidP="00E164DA">
      <w:pPr>
        <w:pStyle w:val="Instructions"/>
      </w:pPr>
      <w:r w:rsidRPr="00EA0A06">
        <w:t>Further Detail</w:t>
      </w:r>
    </w:p>
    <w:p w14:paraId="36412CDF" w14:textId="77777777" w:rsidR="00016669" w:rsidRPr="005F763D" w:rsidRDefault="00016669" w:rsidP="00016669">
      <w:pPr>
        <w:jc w:val="left"/>
      </w:pPr>
      <w:r w:rsidRPr="005F763D">
        <w:t xml:space="preserve">We believe that maintaining your current repayment of </w:t>
      </w:r>
      <w:r w:rsidRPr="005F763D">
        <w:rPr>
          <w:color w:val="FF0000"/>
        </w:rPr>
        <w:t>$___,___</w:t>
      </w:r>
      <w:r w:rsidRPr="005F763D">
        <w:t xml:space="preserve"> per </w:t>
      </w:r>
      <w:r w:rsidRPr="005F763D">
        <w:rPr>
          <w:color w:val="FF0000"/>
        </w:rPr>
        <w:t>[week][fortnight][month]</w:t>
      </w:r>
      <w:r w:rsidRPr="005F763D">
        <w:t xml:space="preserve"> (</w:t>
      </w:r>
      <w:r w:rsidRPr="005F763D">
        <w:rPr>
          <w:color w:val="FF0000"/>
        </w:rPr>
        <w:t>$___,___</w:t>
      </w:r>
      <w:r w:rsidRPr="005F763D">
        <w:t xml:space="preserve"> per annum) on your </w:t>
      </w:r>
      <w:r w:rsidRPr="000D0191">
        <w:rPr>
          <w:color w:val="7030A0"/>
          <w:highlight w:val="yellow"/>
        </w:rPr>
        <w:t>[mortgage][other non-deductible debt]</w:t>
      </w:r>
      <w:r w:rsidRPr="000D0191">
        <w:rPr>
          <w:color w:val="7030A0"/>
        </w:rPr>
        <w:t xml:space="preserve"> </w:t>
      </w:r>
      <w:r w:rsidRPr="005F763D">
        <w:t xml:space="preserve">and apply your savings capacity of </w:t>
      </w:r>
      <w:r w:rsidRPr="005F763D">
        <w:rPr>
          <w:color w:val="FF0000"/>
        </w:rPr>
        <w:t>$___,___</w:t>
      </w:r>
      <w:r w:rsidRPr="005F763D">
        <w:t xml:space="preserve"> per annum to building wealth outside your family home, meets your needs/objectives for the following reasons:</w:t>
      </w:r>
    </w:p>
    <w:p w14:paraId="7D633323" w14:textId="77777777" w:rsidR="00016669" w:rsidRPr="005F763D" w:rsidRDefault="00016669">
      <w:pPr>
        <w:pStyle w:val="InterPracBullet"/>
      </w:pPr>
      <w:r w:rsidRPr="005F763D">
        <w:t xml:space="preserve">You currently have a [mortgage][other non-deductible debt] of </w:t>
      </w:r>
      <w:r w:rsidRPr="005F763D">
        <w:rPr>
          <w:color w:val="FF0000"/>
        </w:rPr>
        <w:t>___,___</w:t>
      </w:r>
      <w:r w:rsidRPr="005F763D">
        <w:t xml:space="preserve"> in joint names.</w:t>
      </w:r>
    </w:p>
    <w:p w14:paraId="61ADB488" w14:textId="77777777" w:rsidR="00016669" w:rsidRPr="005F763D" w:rsidRDefault="00016669">
      <w:pPr>
        <w:pStyle w:val="InterPracBullet"/>
      </w:pPr>
      <w:r w:rsidRPr="005F763D">
        <w:t xml:space="preserve">At your current repayment of </w:t>
      </w:r>
      <w:r w:rsidRPr="005F763D">
        <w:rPr>
          <w:color w:val="FF0000"/>
        </w:rPr>
        <w:t>$___,___</w:t>
      </w:r>
      <w:r w:rsidRPr="005F763D">
        <w:t xml:space="preserve"> per </w:t>
      </w:r>
      <w:r w:rsidRPr="005F763D">
        <w:rPr>
          <w:color w:val="FF0000"/>
        </w:rPr>
        <w:t>[week][fortnight][month]</w:t>
      </w:r>
      <w:r w:rsidRPr="005F763D">
        <w:t xml:space="preserve"> (</w:t>
      </w:r>
      <w:r w:rsidRPr="005F763D">
        <w:rPr>
          <w:color w:val="FF0000"/>
        </w:rPr>
        <w:t>$___,___</w:t>
      </w:r>
      <w:r w:rsidRPr="005F763D">
        <w:t xml:space="preserve"> per annum) and an interest rate of </w:t>
      </w:r>
      <w:r w:rsidRPr="005F763D">
        <w:rPr>
          <w:color w:val="FF0000"/>
        </w:rPr>
        <w:t>__.__%</w:t>
      </w:r>
      <w:r w:rsidRPr="005F763D">
        <w:t xml:space="preserve"> per annum, we estimate that you will repay your </w:t>
      </w:r>
      <w:r w:rsidRPr="000D0191">
        <w:rPr>
          <w:highlight w:val="yellow"/>
        </w:rPr>
        <w:t>[mortgage][other non-deductible debt]</w:t>
      </w:r>
      <w:r w:rsidRPr="009456FA">
        <w:t xml:space="preserve"> </w:t>
      </w:r>
      <w:r w:rsidRPr="005F763D">
        <w:t xml:space="preserve">within </w:t>
      </w:r>
      <w:r w:rsidRPr="005F763D">
        <w:rPr>
          <w:color w:val="FF0000"/>
        </w:rPr>
        <w:t>XX</w:t>
      </w:r>
      <w:r w:rsidRPr="005F763D">
        <w:t xml:space="preserve"> years.</w:t>
      </w:r>
    </w:p>
    <w:p w14:paraId="6103784D" w14:textId="77777777" w:rsidR="00016669" w:rsidRDefault="00016669">
      <w:pPr>
        <w:pStyle w:val="Normal5ptAfter"/>
      </w:pPr>
    </w:p>
    <w:p w14:paraId="430D601D" w14:textId="756C90FF" w:rsidR="002F6B06" w:rsidRPr="005F763D" w:rsidRDefault="002F6B06">
      <w:pPr>
        <w:pStyle w:val="Normal5ptAfter"/>
      </w:pPr>
      <w:r w:rsidRPr="005F763D">
        <w:t>We recommend you apply this savings capacity in the following manner:</w:t>
      </w:r>
    </w:p>
    <w:tbl>
      <w:tblPr>
        <w:tblW w:w="3536" w:type="pct"/>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5654"/>
        <w:gridCol w:w="1156"/>
      </w:tblGrid>
      <w:tr w:rsidR="002F6B06" w:rsidRPr="005F763D" w14:paraId="0584711A"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BFBFBF"/>
            <w:vAlign w:val="center"/>
          </w:tcPr>
          <w:p w14:paraId="732D0449" w14:textId="77777777" w:rsidR="002F6B06" w:rsidRPr="005F763D" w:rsidRDefault="002F6B06" w:rsidP="00036DDB">
            <w:pPr>
              <w:pStyle w:val="Table2-Left"/>
              <w:rPr>
                <w:rFonts w:ascii="Calibri" w:hAnsi="Calibri"/>
              </w:rPr>
            </w:pPr>
            <w:r w:rsidRPr="005F763D">
              <w:rPr>
                <w:rFonts w:ascii="Calibri" w:hAnsi="Calibri"/>
              </w:rPr>
              <w:t>Strategy</w:t>
            </w:r>
          </w:p>
        </w:tc>
        <w:tc>
          <w:tcPr>
            <w:tcW w:w="849" w:type="pct"/>
            <w:tcBorders>
              <w:top w:val="single" w:sz="4" w:space="0" w:color="808080"/>
              <w:left w:val="single" w:sz="4" w:space="0" w:color="808080"/>
              <w:bottom w:val="single" w:sz="4" w:space="0" w:color="808080"/>
              <w:right w:val="outset" w:sz="6" w:space="0" w:color="ECE9D8"/>
            </w:tcBorders>
            <w:shd w:val="clear" w:color="auto" w:fill="BFBFBF"/>
            <w:vAlign w:val="center"/>
          </w:tcPr>
          <w:p w14:paraId="210A56DD" w14:textId="77777777" w:rsidR="002F6B06" w:rsidRPr="005F763D" w:rsidRDefault="002F6B06" w:rsidP="00036DDB">
            <w:pPr>
              <w:pStyle w:val="Table2-Centre"/>
              <w:rPr>
                <w:rFonts w:ascii="Calibri" w:hAnsi="Calibri"/>
              </w:rPr>
            </w:pPr>
            <w:r w:rsidRPr="005F763D">
              <w:rPr>
                <w:rFonts w:ascii="Calibri" w:hAnsi="Calibri"/>
              </w:rPr>
              <w:t>Annual</w:t>
            </w:r>
          </w:p>
          <w:p w14:paraId="24B316F5" w14:textId="77777777" w:rsidR="002F6B06" w:rsidRPr="005F763D" w:rsidRDefault="002F6B06" w:rsidP="00036DDB">
            <w:pPr>
              <w:pStyle w:val="Table2-Centre"/>
              <w:rPr>
                <w:rFonts w:ascii="Calibri" w:hAnsi="Calibri"/>
              </w:rPr>
            </w:pPr>
            <w:r w:rsidRPr="005F763D">
              <w:rPr>
                <w:rFonts w:ascii="Calibri" w:hAnsi="Calibri"/>
              </w:rPr>
              <w:t>Amount</w:t>
            </w:r>
          </w:p>
        </w:tc>
      </w:tr>
      <w:tr w:rsidR="002F6B06" w:rsidRPr="005F763D" w14:paraId="400C6552"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44F3997C" w14:textId="77777777" w:rsidR="002F6B06" w:rsidRPr="005F763D" w:rsidRDefault="002F6B06" w:rsidP="008F2FE1">
            <w:pPr>
              <w:pStyle w:val="Table3-Left"/>
            </w:pPr>
            <w:r w:rsidRPr="005F763D">
              <w:t>Salary Sacrifice (after tax)</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5053F5E0" w14:textId="6E13236D"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60DE7E05"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3697D78D" w14:textId="77777777" w:rsidR="002F6B06" w:rsidRPr="005F763D" w:rsidRDefault="002F6B06" w:rsidP="008F2FE1">
            <w:pPr>
              <w:pStyle w:val="Table3-Left"/>
            </w:pPr>
            <w:r w:rsidRPr="005F763D">
              <w:t>Concessional Contribution</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A35111D" w14:textId="7E4F4345"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56143B68"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529562A7" w14:textId="77777777" w:rsidR="002F6B06" w:rsidRPr="005F763D" w:rsidRDefault="002F6B06" w:rsidP="008F2FE1">
            <w:pPr>
              <w:pStyle w:val="Table3-Left"/>
            </w:pPr>
            <w:r w:rsidRPr="005F763D">
              <w:t>Spouse Contribution</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47F67C88" w14:textId="7599329A"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000F57CC"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6137E1FE" w14:textId="77777777" w:rsidR="002F6B06" w:rsidRPr="005F763D" w:rsidRDefault="002F6B06" w:rsidP="008F2FE1">
            <w:pPr>
              <w:pStyle w:val="Table3-Left"/>
            </w:pPr>
            <w:r w:rsidRPr="005F763D">
              <w:t>Non-Concessional Contribution</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37E5A59D" w14:textId="2F94B227"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4E9DA2A1"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67A7E5D4" w14:textId="77777777" w:rsidR="002F6B06" w:rsidRPr="005F763D" w:rsidRDefault="002F6B06" w:rsidP="008F2FE1">
            <w:pPr>
              <w:pStyle w:val="Table3-Left"/>
            </w:pPr>
            <w:r w:rsidRPr="005F763D">
              <w:t>Gearing Strategy</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2F28E31D" w14:textId="63DFF38C"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7CE05839"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1074E530" w14:textId="77777777" w:rsidR="002F6B06" w:rsidRPr="005F763D" w:rsidRDefault="002F6B06" w:rsidP="008F2FE1">
            <w:pPr>
              <w:pStyle w:val="Table3-Left"/>
            </w:pPr>
            <w:r w:rsidRPr="005F763D">
              <w:t>Repayment of Deductible Debt</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6F892F16" w14:textId="393DBD4D"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08FAB860"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45A57F03" w14:textId="77777777" w:rsidR="002F6B06" w:rsidRPr="005F763D" w:rsidRDefault="002F6B06" w:rsidP="008F2FE1">
            <w:pPr>
              <w:pStyle w:val="Table3-Left"/>
            </w:pPr>
            <w:r w:rsidRPr="005F763D">
              <w:t>Non-Superannuation Savings</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9067D1D" w14:textId="277BACF4"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357F56BA"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157FF1A7" w14:textId="77777777" w:rsidR="002F6B06" w:rsidRPr="005F763D" w:rsidRDefault="002F6B06" w:rsidP="00036DDB">
            <w:pPr>
              <w:pStyle w:val="Table2-Right"/>
              <w:rPr>
                <w:rFonts w:ascii="Calibri" w:hAnsi="Calibri"/>
              </w:rPr>
            </w:pPr>
            <w:r w:rsidRPr="005F763D">
              <w:rPr>
                <w:rFonts w:ascii="Calibri" w:hAnsi="Calibri"/>
              </w:rPr>
              <w:t>Total</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68663EAD" w14:textId="0DD7F80F" w:rsidR="002F6B06" w:rsidRPr="008F2FE1" w:rsidRDefault="009456FA" w:rsidP="00036DDB">
            <w:pPr>
              <w:pStyle w:val="Table2-Right"/>
              <w:rPr>
                <w:rFonts w:ascii="Calibri" w:hAnsi="Calibri"/>
                <w:color w:val="FF0000"/>
              </w:rPr>
            </w:pPr>
            <w:r w:rsidRPr="008F2FE1">
              <w:rPr>
                <w:color w:val="FF0000"/>
              </w:rPr>
              <w:t>$___,___</w:t>
            </w:r>
          </w:p>
        </w:tc>
      </w:tr>
    </w:tbl>
    <w:p w14:paraId="712EFC47" w14:textId="77777777" w:rsidR="002F6B06" w:rsidRPr="005F763D" w:rsidRDefault="002F6B06" w:rsidP="002F6B06"/>
    <w:p w14:paraId="32912069" w14:textId="77777777" w:rsidR="00DE1F8B" w:rsidRPr="005F763D" w:rsidRDefault="00DE1F8B" w:rsidP="008C7CE9">
      <w:pPr>
        <w:jc w:val="left"/>
        <w:rPr>
          <w:color w:val="002060"/>
          <w:sz w:val="24"/>
        </w:rPr>
      </w:pPr>
      <w:r w:rsidRPr="005F763D">
        <w:rPr>
          <w:color w:val="002060"/>
          <w:sz w:val="24"/>
        </w:rPr>
        <w:t>Reverse Mortgages</w:t>
      </w:r>
    </w:p>
    <w:p w14:paraId="0495364A" w14:textId="77777777" w:rsidR="00DE1F8B" w:rsidRPr="005F763D" w:rsidRDefault="00DE1F8B"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E51BEA" w14:paraId="5746B6C9" w14:textId="77777777" w:rsidTr="00B45A3A">
        <w:tc>
          <w:tcPr>
            <w:tcW w:w="2754" w:type="dxa"/>
          </w:tcPr>
          <w:p w14:paraId="1F7AC098" w14:textId="77777777" w:rsidR="00134F53" w:rsidRPr="00EA0A06" w:rsidRDefault="00134F53"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33B5C0A" w14:textId="77777777" w:rsidR="00134F53" w:rsidRPr="00E51BEA" w:rsidRDefault="00134F53" w:rsidP="00B45A3A">
            <w:pPr>
              <w:pStyle w:val="TableHeader2"/>
              <w:rPr>
                <w:rFonts w:ascii="Calibri Light" w:hAnsi="Calibri Light"/>
              </w:rPr>
            </w:pPr>
          </w:p>
        </w:tc>
      </w:tr>
      <w:tr w:rsidR="00134F53" w:rsidRPr="001A22F0" w14:paraId="3D233739" w14:textId="77777777" w:rsidTr="00B45A3A">
        <w:tc>
          <w:tcPr>
            <w:tcW w:w="2754" w:type="dxa"/>
          </w:tcPr>
          <w:p w14:paraId="4EDF1DFA" w14:textId="77777777" w:rsidR="00134F53" w:rsidRPr="00EA0A06" w:rsidRDefault="00134F53" w:rsidP="00E164DA">
            <w:pPr>
              <w:pStyle w:val="Instructions"/>
            </w:pPr>
            <w:r w:rsidRPr="00EA0A06">
              <w:t>Title</w:t>
            </w:r>
          </w:p>
        </w:tc>
        <w:tc>
          <w:tcPr>
            <w:tcW w:w="6798" w:type="dxa"/>
          </w:tcPr>
          <w:p w14:paraId="608DDB4E" w14:textId="09EC8B3A" w:rsidR="00134F53" w:rsidRPr="001A22F0" w:rsidRDefault="003606CD" w:rsidP="00B45A3A">
            <w:pPr>
              <w:jc w:val="left"/>
            </w:pPr>
            <w:r>
              <w:t>Reverse Mortgages</w:t>
            </w:r>
          </w:p>
        </w:tc>
      </w:tr>
      <w:tr w:rsidR="00134F53" w:rsidRPr="001A22F0" w14:paraId="7A2882C9" w14:textId="77777777" w:rsidTr="00B45A3A">
        <w:tc>
          <w:tcPr>
            <w:tcW w:w="2754" w:type="dxa"/>
          </w:tcPr>
          <w:p w14:paraId="0B0A512A" w14:textId="77777777" w:rsidR="00134F53" w:rsidRPr="00EA0A06" w:rsidRDefault="00134F53" w:rsidP="00E164DA">
            <w:pPr>
              <w:pStyle w:val="Instructions"/>
            </w:pPr>
            <w:r w:rsidRPr="00EA0A06">
              <w:t>Explanation</w:t>
            </w:r>
          </w:p>
        </w:tc>
        <w:tc>
          <w:tcPr>
            <w:tcW w:w="6798" w:type="dxa"/>
          </w:tcPr>
          <w:p w14:paraId="25D8685D" w14:textId="77777777" w:rsidR="00134F53" w:rsidRPr="001A22F0" w:rsidRDefault="00134F53" w:rsidP="00B45A3A">
            <w:pPr>
              <w:jc w:val="left"/>
            </w:pPr>
          </w:p>
        </w:tc>
      </w:tr>
      <w:tr w:rsidR="00134F53" w:rsidRPr="001A22F0" w14:paraId="64970BA7" w14:textId="77777777" w:rsidTr="00B45A3A">
        <w:tc>
          <w:tcPr>
            <w:tcW w:w="2754" w:type="dxa"/>
          </w:tcPr>
          <w:p w14:paraId="7F2E5266" w14:textId="77777777" w:rsidR="00134F53" w:rsidRPr="00EA0A06" w:rsidRDefault="00134F53" w:rsidP="00E164DA">
            <w:pPr>
              <w:pStyle w:val="Instructions"/>
            </w:pPr>
            <w:r w:rsidRPr="00EA0A06">
              <w:t>In your Best Interest</w:t>
            </w:r>
          </w:p>
        </w:tc>
        <w:tc>
          <w:tcPr>
            <w:tcW w:w="6798" w:type="dxa"/>
          </w:tcPr>
          <w:p w14:paraId="2F1C1D26" w14:textId="77777777" w:rsidR="00134F53" w:rsidRPr="001A22F0" w:rsidRDefault="00134F53" w:rsidP="00B45A3A">
            <w:pPr>
              <w:jc w:val="left"/>
            </w:pPr>
          </w:p>
        </w:tc>
      </w:tr>
      <w:tr w:rsidR="00134F53" w:rsidRPr="001A22F0" w14:paraId="097AF27F" w14:textId="77777777" w:rsidTr="00B45A3A">
        <w:tc>
          <w:tcPr>
            <w:tcW w:w="2754" w:type="dxa"/>
          </w:tcPr>
          <w:p w14:paraId="11A6DF23" w14:textId="77777777" w:rsidR="00134F53" w:rsidRPr="00EA0A06" w:rsidRDefault="00134F53" w:rsidP="00E164DA">
            <w:pPr>
              <w:pStyle w:val="Instructions"/>
            </w:pPr>
            <w:r w:rsidRPr="00EA0A06">
              <w:t>Further Detail</w:t>
            </w:r>
          </w:p>
        </w:tc>
        <w:tc>
          <w:tcPr>
            <w:tcW w:w="6798" w:type="dxa"/>
          </w:tcPr>
          <w:p w14:paraId="1141A810" w14:textId="5CAEB8BD" w:rsidR="003606CD" w:rsidRDefault="003606CD" w:rsidP="003606CD">
            <w:pPr>
              <w:jc w:val="left"/>
            </w:pPr>
            <w:r w:rsidRPr="005F763D">
              <w:t>A Reverse Mortgage loan is aimed at retired people who own their own home but have little cash to live on. Like a regular mortgage the property serves as security for the loan.  However, unlike a conventional home loan no repayments are due on a reverse mortgage during the course of the loan.  The loan is repaid when the borrower dies, when all parties move into fulltime care or when the owner decides to sell the property.</w:t>
            </w:r>
          </w:p>
          <w:p w14:paraId="35F21A74" w14:textId="77777777" w:rsidR="003606CD" w:rsidRPr="005F763D" w:rsidRDefault="003606CD" w:rsidP="003606CD">
            <w:pPr>
              <w:jc w:val="left"/>
            </w:pPr>
          </w:p>
          <w:p w14:paraId="1F68E261" w14:textId="77777777" w:rsidR="003606CD" w:rsidRPr="005F763D" w:rsidRDefault="003606CD" w:rsidP="003606CD">
            <w:pPr>
              <w:jc w:val="left"/>
            </w:pPr>
            <w:r w:rsidRPr="005F763D">
              <w:t xml:space="preserve">Reverse mortgages only allow the owner to borrow a proportion of the property’s value and this varies according to age. The strict lending criteria will safeguard against accumulating a large debt and regardless of how long you live </w:t>
            </w:r>
            <w:r w:rsidRPr="005F763D">
              <w:lastRenderedPageBreak/>
              <w:t>the debt will never exceed the property’s value if there is a “no negative equity guarantee”, which is often of concern for potential borrowers.</w:t>
            </w:r>
          </w:p>
          <w:p w14:paraId="15C160D5" w14:textId="77777777" w:rsidR="003606CD" w:rsidRPr="005F763D" w:rsidRDefault="003606CD" w:rsidP="003606CD">
            <w:pPr>
              <w:jc w:val="left"/>
            </w:pPr>
          </w:p>
          <w:p w14:paraId="36AC8AB2" w14:textId="77777777" w:rsidR="003606CD" w:rsidRPr="005F763D" w:rsidRDefault="003606CD" w:rsidP="003606CD">
            <w:pPr>
              <w:jc w:val="left"/>
            </w:pPr>
            <w:r w:rsidRPr="005F763D">
              <w:t>Although borrowings are limited to a small proportion of the overall value of the home, borrowers should realise that the mounting debt on the home during the term of the loan erodes the owner’s increasing equity from rising property values. This means there will be less available to pass on in their will. If property prices don’t rise at all, equity will fall.</w:t>
            </w:r>
          </w:p>
          <w:p w14:paraId="6AFA571D" w14:textId="77777777" w:rsidR="00134F53" w:rsidRDefault="00134F53" w:rsidP="00B45A3A">
            <w:pPr>
              <w:jc w:val="left"/>
            </w:pPr>
          </w:p>
          <w:p w14:paraId="706FD2D4" w14:textId="77777777" w:rsidR="003606CD" w:rsidRPr="005F763D" w:rsidRDefault="003606CD" w:rsidP="003606CD">
            <w:pPr>
              <w:jc w:val="left"/>
            </w:pPr>
            <w:r w:rsidRPr="005F763D">
              <w:t>The advantages of reverse mortgages are:</w:t>
            </w:r>
          </w:p>
          <w:p w14:paraId="0CF815AA" w14:textId="77777777" w:rsidR="003606CD" w:rsidRPr="005F763D" w:rsidRDefault="003606CD">
            <w:pPr>
              <w:pStyle w:val="InterPracBullet"/>
              <w:numPr>
                <w:ilvl w:val="0"/>
                <w:numId w:val="45"/>
              </w:numPr>
            </w:pPr>
            <w:r w:rsidRPr="005F763D">
              <w:t>It can allow you to free up money to maintain or increase your standard of living. You can use the money to increase your retirement income or to meet planned expenditures.</w:t>
            </w:r>
          </w:p>
          <w:p w14:paraId="2463DDF8" w14:textId="77777777" w:rsidR="003606CD" w:rsidRPr="005F763D" w:rsidRDefault="003606CD">
            <w:pPr>
              <w:pStyle w:val="InterPracBullet"/>
              <w:numPr>
                <w:ilvl w:val="0"/>
                <w:numId w:val="45"/>
              </w:numPr>
            </w:pPr>
            <w:r w:rsidRPr="005F763D">
              <w:t>It allows you to keep your financial independence without the need to sell your house and relocate to a smaller residence.</w:t>
            </w:r>
          </w:p>
          <w:p w14:paraId="26474A50" w14:textId="77777777" w:rsidR="003606CD" w:rsidRPr="005F763D" w:rsidRDefault="003606CD">
            <w:pPr>
              <w:pStyle w:val="InterPracBullet"/>
              <w:numPr>
                <w:ilvl w:val="0"/>
                <w:numId w:val="45"/>
              </w:numPr>
            </w:pPr>
            <w:r w:rsidRPr="005F763D">
              <w:t>The interest and fees are rolled into the loan, which does not need to be repaid until you pass away or sell your home.</w:t>
            </w:r>
          </w:p>
          <w:p w14:paraId="66263E29" w14:textId="77777777" w:rsidR="003606CD" w:rsidRDefault="003606CD" w:rsidP="00B45A3A">
            <w:pPr>
              <w:jc w:val="left"/>
            </w:pPr>
          </w:p>
          <w:p w14:paraId="113181BB" w14:textId="77777777" w:rsidR="003606CD" w:rsidRPr="005F763D" w:rsidRDefault="003606CD" w:rsidP="003606CD">
            <w:pPr>
              <w:jc w:val="left"/>
            </w:pPr>
            <w:r w:rsidRPr="005F763D">
              <w:t>The risks associated with reverse mortgages are:</w:t>
            </w:r>
          </w:p>
          <w:p w14:paraId="334AABB1" w14:textId="77777777" w:rsidR="003606CD" w:rsidRPr="005F763D" w:rsidRDefault="003606CD">
            <w:pPr>
              <w:pStyle w:val="InterPracBullet"/>
              <w:numPr>
                <w:ilvl w:val="0"/>
                <w:numId w:val="46"/>
              </w:numPr>
            </w:pPr>
            <w:r w:rsidRPr="005F763D">
              <w:t>It limits your options in the future. In many years down the track, you may want to sell your house to move somewhere smaller, closer to your family or into an aged care facility. You may not have enough money to make such a move if you have to repay a reverse mortgage.</w:t>
            </w:r>
          </w:p>
          <w:p w14:paraId="52A96716" w14:textId="77777777" w:rsidR="003606CD" w:rsidRDefault="003606CD">
            <w:pPr>
              <w:pStyle w:val="InterPracBullet"/>
              <w:numPr>
                <w:ilvl w:val="0"/>
                <w:numId w:val="46"/>
              </w:numPr>
            </w:pPr>
            <w:r w:rsidRPr="005F763D">
              <w:t>It reduces the value of your estate. The value of your estate may be much less than anticipated because the debt increases over time.</w:t>
            </w:r>
          </w:p>
          <w:p w14:paraId="47E4A343" w14:textId="77777777" w:rsidR="003606CD" w:rsidRPr="00E40828" w:rsidRDefault="003606CD">
            <w:pPr>
              <w:pStyle w:val="InterPracBullet"/>
              <w:numPr>
                <w:ilvl w:val="0"/>
                <w:numId w:val="46"/>
              </w:numPr>
            </w:pPr>
            <w:r>
              <w:t>However, reputable products carry a no negative equity guarantee. This ensures that should the debt exceed the sale value of the secured property, then neither the borrower nor the Estate beneficiaries are liable for any shortfall debt repayment.</w:t>
            </w:r>
          </w:p>
          <w:p w14:paraId="29582D3D" w14:textId="77777777" w:rsidR="003606CD" w:rsidRPr="005F763D" w:rsidRDefault="003606CD">
            <w:pPr>
              <w:pStyle w:val="InterPracBullet"/>
              <w:numPr>
                <w:ilvl w:val="0"/>
                <w:numId w:val="46"/>
              </w:numPr>
            </w:pPr>
            <w:r w:rsidRPr="005F763D">
              <w:t>If a home is named in an individual name, the reverse mortgage will have to be repaid if that individual relocates or passes away. This may result in a surviving spouse no longer being able to live in the home.</w:t>
            </w:r>
          </w:p>
          <w:p w14:paraId="36CC4637" w14:textId="77777777" w:rsidR="003606CD" w:rsidRPr="005F763D" w:rsidRDefault="003606CD">
            <w:pPr>
              <w:pStyle w:val="InterPracBullet"/>
              <w:numPr>
                <w:ilvl w:val="0"/>
                <w:numId w:val="46"/>
              </w:numPr>
            </w:pPr>
            <w:r w:rsidRPr="005F763D">
              <w:t>It may impact on your eligibility for Centrelink payments. If you take out a loan as a lump sum, it can have an effect on your eligibility for the age pension as it may be counted as an asset. If you draw down smaller amounts to use on a regular basis, they won’t be counted under the income test and the loan would usually have no effect on your eligibility for an age pension.</w:t>
            </w:r>
          </w:p>
          <w:p w14:paraId="49CAF08B" w14:textId="2A2B9CAC" w:rsidR="003606CD" w:rsidRPr="001A22F0" w:rsidRDefault="003606CD" w:rsidP="00B45A3A">
            <w:pPr>
              <w:jc w:val="left"/>
            </w:pPr>
          </w:p>
        </w:tc>
      </w:tr>
    </w:tbl>
    <w:p w14:paraId="576A208B" w14:textId="77777777" w:rsidR="00771F2D" w:rsidRDefault="00771F2D" w:rsidP="008C7CE9">
      <w:pPr>
        <w:jc w:val="left"/>
      </w:pPr>
    </w:p>
    <w:p w14:paraId="03F4A34D" w14:textId="77777777" w:rsidR="00DE1F8B" w:rsidRPr="005F763D" w:rsidRDefault="00DE1F8B" w:rsidP="008C7CE9">
      <w:pPr>
        <w:jc w:val="left"/>
      </w:pPr>
    </w:p>
    <w:p w14:paraId="25CD5EAD" w14:textId="77777777" w:rsidR="00DE1F8B" w:rsidRPr="005F763D" w:rsidRDefault="00DE1F8B" w:rsidP="008C7CE9">
      <w:pPr>
        <w:jc w:val="left"/>
      </w:pPr>
    </w:p>
    <w:p w14:paraId="72FA6E93" w14:textId="77777777" w:rsidR="00DE1F8B" w:rsidRPr="005F763D" w:rsidRDefault="00DE1F8B" w:rsidP="008C7CE9">
      <w:pPr>
        <w:jc w:val="left"/>
      </w:pPr>
    </w:p>
    <w:p w14:paraId="673286B6" w14:textId="77777777" w:rsidR="00733F89" w:rsidRPr="005F763D" w:rsidRDefault="00733F89" w:rsidP="00733F89"/>
    <w:p w14:paraId="1866DF91" w14:textId="77777777" w:rsidR="00DE1F8B" w:rsidRPr="005F763D" w:rsidRDefault="00961112" w:rsidP="00733F89">
      <w:r w:rsidRPr="005F763D">
        <w:br w:type="page"/>
      </w:r>
    </w:p>
    <w:p w14:paraId="39D701C4" w14:textId="4CB4F0FF" w:rsidR="00733F89" w:rsidRPr="005F763D" w:rsidRDefault="00733F89" w:rsidP="0008751D">
      <w:pPr>
        <w:pStyle w:val="Heading2"/>
      </w:pPr>
      <w:bookmarkStart w:id="16" w:name="_Toc377642871"/>
      <w:bookmarkStart w:id="17" w:name="_Toc46236021"/>
      <w:r w:rsidRPr="005F763D">
        <w:lastRenderedPageBreak/>
        <w:t>Estate Planning</w:t>
      </w:r>
      <w:bookmarkEnd w:id="15"/>
      <w:bookmarkEnd w:id="16"/>
      <w:bookmarkEnd w:id="17"/>
    </w:p>
    <w:p w14:paraId="086B9D17" w14:textId="77777777" w:rsidR="00733F89" w:rsidRPr="005F763D" w:rsidRDefault="00733F89" w:rsidP="008C7CE9">
      <w:pPr>
        <w:jc w:val="left"/>
        <w:rPr>
          <w:rFonts w:cs="Calibri"/>
        </w:rPr>
      </w:pPr>
    </w:p>
    <w:p w14:paraId="123E0257" w14:textId="77777777" w:rsidR="004E577F" w:rsidRPr="0059655A" w:rsidRDefault="004E577F" w:rsidP="007B0DC5">
      <w:pPr>
        <w:jc w:val="left"/>
      </w:pPr>
      <w:r w:rsidRPr="00E11BDB">
        <w:rPr>
          <w:color w:val="002060"/>
          <w:sz w:val="24"/>
        </w:rPr>
        <w:t>Estate Planning – Impact of Transfer Balance Cap</w:t>
      </w:r>
    </w:p>
    <w:p w14:paraId="6FEC74AE" w14:textId="77777777" w:rsidR="004E577F" w:rsidRPr="00BB0D88" w:rsidRDefault="004E577F" w:rsidP="004E577F">
      <w:pPr>
        <w:spacing w:after="120"/>
        <w:rPr>
          <w:rFonts w:cs="Calibri"/>
        </w:rPr>
      </w:pPr>
    </w:p>
    <w:tbl>
      <w:tblPr>
        <w:tblStyle w:val="TableGrid"/>
        <w:tblW w:w="0" w:type="auto"/>
        <w:tblInd w:w="76" w:type="dxa"/>
        <w:tblLook w:val="04A0" w:firstRow="1" w:lastRow="0" w:firstColumn="1" w:lastColumn="0" w:noHBand="0" w:noVBand="1"/>
      </w:tblPr>
      <w:tblGrid>
        <w:gridCol w:w="2754"/>
        <w:gridCol w:w="6798"/>
      </w:tblGrid>
      <w:tr w:rsidR="004E577F" w:rsidRPr="00BB0D88" w14:paraId="7B9EB043" w14:textId="77777777" w:rsidTr="00CE0F25">
        <w:tc>
          <w:tcPr>
            <w:tcW w:w="2754" w:type="dxa"/>
          </w:tcPr>
          <w:p w14:paraId="5D453670" w14:textId="77777777" w:rsidR="004E577F" w:rsidRPr="00BB0D88" w:rsidRDefault="004E577F" w:rsidP="00CE0F25">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43465103" w14:textId="77777777" w:rsidR="004E577F" w:rsidRPr="00BB0D88" w:rsidRDefault="004E577F" w:rsidP="00CE0F25">
            <w:pPr>
              <w:pStyle w:val="TableHeader2"/>
              <w:rPr>
                <w:rFonts w:ascii="Calibri Light" w:hAnsi="Calibri Light"/>
              </w:rPr>
            </w:pPr>
          </w:p>
        </w:tc>
      </w:tr>
      <w:tr w:rsidR="004E577F" w:rsidRPr="00BB0D88" w14:paraId="7F4142F5" w14:textId="77777777" w:rsidTr="00CE0F25">
        <w:tc>
          <w:tcPr>
            <w:tcW w:w="2754" w:type="dxa"/>
          </w:tcPr>
          <w:p w14:paraId="11DCE1D2" w14:textId="77777777" w:rsidR="004E577F" w:rsidRPr="00BB0D88" w:rsidRDefault="004E577F" w:rsidP="00E164DA">
            <w:pPr>
              <w:pStyle w:val="Instructions"/>
            </w:pPr>
            <w:r w:rsidRPr="00BB0D88">
              <w:t>Title</w:t>
            </w:r>
          </w:p>
        </w:tc>
        <w:tc>
          <w:tcPr>
            <w:tcW w:w="6798" w:type="dxa"/>
          </w:tcPr>
          <w:p w14:paraId="61CFE2EB" w14:textId="77777777" w:rsidR="004E577F" w:rsidRPr="00BB0D88" w:rsidRDefault="004E577F" w:rsidP="00CE0F25">
            <w:pPr>
              <w:spacing w:after="120"/>
            </w:pPr>
            <w:r w:rsidRPr="00BB0D88">
              <w:rPr>
                <w:rFonts w:cs="Calibri"/>
              </w:rPr>
              <w:t>Impact of Transfer Balance Cap</w:t>
            </w:r>
          </w:p>
        </w:tc>
      </w:tr>
      <w:tr w:rsidR="004E577F" w:rsidRPr="00BB0D88" w14:paraId="773973CD" w14:textId="77777777" w:rsidTr="00CE0F25">
        <w:tc>
          <w:tcPr>
            <w:tcW w:w="2754" w:type="dxa"/>
          </w:tcPr>
          <w:p w14:paraId="05B2BF4C" w14:textId="77777777" w:rsidR="004E577F" w:rsidRPr="00BB0D88" w:rsidRDefault="004E577F" w:rsidP="00E164DA">
            <w:pPr>
              <w:pStyle w:val="Instructions"/>
            </w:pPr>
            <w:r w:rsidRPr="00BB0D88">
              <w:t>Explanation</w:t>
            </w:r>
          </w:p>
        </w:tc>
        <w:tc>
          <w:tcPr>
            <w:tcW w:w="6798" w:type="dxa"/>
          </w:tcPr>
          <w:p w14:paraId="356177B0" w14:textId="77777777" w:rsidR="004E577F" w:rsidRPr="00BB0D88" w:rsidRDefault="004E577F" w:rsidP="00E164DA">
            <w:pPr>
              <w:pStyle w:val="Instructions"/>
            </w:pPr>
          </w:p>
        </w:tc>
      </w:tr>
      <w:tr w:rsidR="004E577F" w:rsidRPr="00BB0D88" w14:paraId="76AFC8CB" w14:textId="77777777" w:rsidTr="00CE0F25">
        <w:tc>
          <w:tcPr>
            <w:tcW w:w="2754" w:type="dxa"/>
          </w:tcPr>
          <w:p w14:paraId="721C69A5" w14:textId="77777777" w:rsidR="004E577F" w:rsidRPr="00BB0D88" w:rsidRDefault="004E577F" w:rsidP="00E164DA">
            <w:pPr>
              <w:pStyle w:val="Instructions"/>
            </w:pPr>
            <w:r w:rsidRPr="00BB0D88">
              <w:t>In your Best Interest</w:t>
            </w:r>
          </w:p>
        </w:tc>
        <w:tc>
          <w:tcPr>
            <w:tcW w:w="6798" w:type="dxa"/>
          </w:tcPr>
          <w:p w14:paraId="470DC79E" w14:textId="77777777" w:rsidR="004E577F" w:rsidRPr="00BB0D88" w:rsidRDefault="004E577F" w:rsidP="00E164DA">
            <w:pPr>
              <w:pStyle w:val="Instructions"/>
            </w:pPr>
          </w:p>
        </w:tc>
      </w:tr>
      <w:tr w:rsidR="004E577F" w:rsidRPr="00BB0D88" w14:paraId="13429E16" w14:textId="77777777" w:rsidTr="00CE0F25">
        <w:tc>
          <w:tcPr>
            <w:tcW w:w="2754" w:type="dxa"/>
          </w:tcPr>
          <w:p w14:paraId="50B71020" w14:textId="77777777" w:rsidR="004E577F" w:rsidRPr="00BB0D88" w:rsidRDefault="004E577F" w:rsidP="00E164DA">
            <w:pPr>
              <w:pStyle w:val="Instructions"/>
            </w:pPr>
            <w:r w:rsidRPr="00BB0D88">
              <w:t>Further Detail</w:t>
            </w:r>
          </w:p>
        </w:tc>
        <w:tc>
          <w:tcPr>
            <w:tcW w:w="6798" w:type="dxa"/>
          </w:tcPr>
          <w:p w14:paraId="55ECB0C5" w14:textId="2EB5F947" w:rsidR="003D41EA" w:rsidRDefault="004E577F" w:rsidP="00CE0F25">
            <w:pPr>
              <w:spacing w:after="120"/>
              <w:rPr>
                <w:rFonts w:cs="Calibri"/>
              </w:rPr>
            </w:pPr>
            <w:r w:rsidRPr="00BB0D88">
              <w:rPr>
                <w:rFonts w:cs="Calibri"/>
              </w:rPr>
              <w:t xml:space="preserve">When a </w:t>
            </w:r>
            <w:r w:rsidR="003D41EA">
              <w:rPr>
                <w:rFonts w:cs="Calibri"/>
              </w:rPr>
              <w:t xml:space="preserve">superannuation </w:t>
            </w:r>
            <w:r w:rsidRPr="00BB0D88">
              <w:rPr>
                <w:rFonts w:cs="Calibri"/>
              </w:rPr>
              <w:t>pension is ‘inherited by’ (reverts to) an adult individual, it increases th</w:t>
            </w:r>
            <w:r w:rsidR="00495D2C">
              <w:rPr>
                <w:rFonts w:cs="Calibri"/>
              </w:rPr>
              <w:t>at person’s</w:t>
            </w:r>
            <w:r w:rsidRPr="00BB0D88">
              <w:rPr>
                <w:rFonts w:cs="Calibri"/>
              </w:rPr>
              <w:t xml:space="preserve"> Transfer Balance Account and may result in </w:t>
            </w:r>
            <w:r w:rsidR="006B6FE3">
              <w:rPr>
                <w:rFonts w:cs="Calibri"/>
              </w:rPr>
              <w:t xml:space="preserve">a breach of </w:t>
            </w:r>
            <w:r w:rsidRPr="00BB0D88">
              <w:rPr>
                <w:rFonts w:cs="Calibri"/>
              </w:rPr>
              <w:t>the person</w:t>
            </w:r>
            <w:r w:rsidR="006B6FE3">
              <w:rPr>
                <w:rFonts w:cs="Calibri"/>
              </w:rPr>
              <w:t>’s</w:t>
            </w:r>
            <w:r w:rsidRPr="00BB0D88">
              <w:rPr>
                <w:rFonts w:cs="Calibri"/>
              </w:rPr>
              <w:t xml:space="preserve"> </w:t>
            </w:r>
            <w:r w:rsidR="006B6FE3">
              <w:rPr>
                <w:rFonts w:cs="Calibri"/>
              </w:rPr>
              <w:t>T</w:t>
            </w:r>
            <w:r w:rsidRPr="00BB0D88">
              <w:rPr>
                <w:rFonts w:cs="Calibri"/>
              </w:rPr>
              <w:t xml:space="preserve">ransfer </w:t>
            </w:r>
            <w:r w:rsidR="006B6FE3">
              <w:rPr>
                <w:rFonts w:cs="Calibri"/>
              </w:rPr>
              <w:t>B</w:t>
            </w:r>
            <w:r w:rsidRPr="00BB0D88">
              <w:rPr>
                <w:rFonts w:cs="Calibri"/>
              </w:rPr>
              <w:t xml:space="preserve">alance </w:t>
            </w:r>
            <w:r w:rsidR="006B6FE3">
              <w:rPr>
                <w:rFonts w:cs="Calibri"/>
              </w:rPr>
              <w:t>C</w:t>
            </w:r>
            <w:r w:rsidRPr="00BB0D88">
              <w:rPr>
                <w:rFonts w:cs="Calibri"/>
              </w:rPr>
              <w:t xml:space="preserve">ap. </w:t>
            </w:r>
          </w:p>
          <w:p w14:paraId="19F2898C" w14:textId="7879061E" w:rsidR="004E577F" w:rsidRPr="00BB0D88" w:rsidRDefault="004E577F" w:rsidP="00CE0F25">
            <w:pPr>
              <w:spacing w:after="120"/>
              <w:rPr>
                <w:rFonts w:cs="Calibri"/>
              </w:rPr>
            </w:pPr>
            <w:r w:rsidRPr="00BB0D88">
              <w:rPr>
                <w:rFonts w:cs="Calibri"/>
              </w:rPr>
              <w:t>If that occurs:</w:t>
            </w:r>
          </w:p>
          <w:p w14:paraId="0893853F" w14:textId="77777777" w:rsidR="004E577F" w:rsidRPr="00BB0D88" w:rsidRDefault="004E577F" w:rsidP="00CE0F25">
            <w:pPr>
              <w:pStyle w:val="ListParagraph"/>
              <w:numPr>
                <w:ilvl w:val="0"/>
                <w:numId w:val="15"/>
              </w:numPr>
              <w:spacing w:after="120"/>
              <w:rPr>
                <w:rFonts w:cs="Calibri"/>
              </w:rPr>
            </w:pPr>
            <w:r w:rsidRPr="00BB0D88">
              <w:rPr>
                <w:rFonts w:cs="Calibri"/>
              </w:rPr>
              <w:t>any pre-existing pension may be rolled back to accumulation in whole or part</w:t>
            </w:r>
          </w:p>
          <w:p w14:paraId="1E6B7D02" w14:textId="77777777" w:rsidR="004E577F" w:rsidRPr="00BB0D88" w:rsidRDefault="004E577F" w:rsidP="00CE0F25">
            <w:pPr>
              <w:pStyle w:val="ListParagraph"/>
              <w:numPr>
                <w:ilvl w:val="0"/>
                <w:numId w:val="15"/>
              </w:numPr>
              <w:spacing w:after="120"/>
              <w:rPr>
                <w:rFonts w:cs="Calibri"/>
              </w:rPr>
            </w:pPr>
            <w:r w:rsidRPr="00BB0D88">
              <w:rPr>
                <w:rFonts w:cs="Calibri"/>
              </w:rPr>
              <w:t>an amount of pension may be withdrawn (commutation) and paid to the individual subject to preservation rules.</w:t>
            </w:r>
          </w:p>
          <w:p w14:paraId="1CA77545" w14:textId="63D72B47" w:rsidR="004E577F" w:rsidRPr="00BB0D88" w:rsidRDefault="004E577F" w:rsidP="00CE0F25">
            <w:pPr>
              <w:spacing w:after="120"/>
              <w:rPr>
                <w:rFonts w:cs="Calibri"/>
              </w:rPr>
            </w:pPr>
            <w:r w:rsidRPr="00BB0D88">
              <w:rPr>
                <w:rFonts w:cs="Calibri"/>
              </w:rPr>
              <w:t xml:space="preserve">In the event of the superannuation being paid to surviving eligible children, two </w:t>
            </w:r>
            <w:r w:rsidR="00DB258C">
              <w:rPr>
                <w:rFonts w:cs="Calibri"/>
              </w:rPr>
              <w:t xml:space="preserve">example </w:t>
            </w:r>
            <w:r w:rsidRPr="00BB0D88">
              <w:rPr>
                <w:rFonts w:cs="Calibri"/>
              </w:rPr>
              <w:t>situations are relevant:</w:t>
            </w:r>
          </w:p>
          <w:p w14:paraId="5F4A8CBD" w14:textId="77777777" w:rsidR="004E577F" w:rsidRPr="00BB0D88" w:rsidRDefault="004E577F" w:rsidP="00CE0F25">
            <w:pPr>
              <w:pStyle w:val="ListParagraph"/>
              <w:numPr>
                <w:ilvl w:val="0"/>
                <w:numId w:val="16"/>
              </w:numPr>
              <w:spacing w:after="120"/>
              <w:rPr>
                <w:rFonts w:cs="Calibri"/>
              </w:rPr>
            </w:pPr>
            <w:r w:rsidRPr="00BB0D88">
              <w:rPr>
                <w:rFonts w:cs="Calibri"/>
              </w:rPr>
              <w:t>the deceased has not yet started a pension but has $4m in accumulation</w:t>
            </w:r>
          </w:p>
          <w:p w14:paraId="4A062319" w14:textId="77777777" w:rsidR="004E577F" w:rsidRPr="00BB0D88" w:rsidRDefault="004E577F" w:rsidP="00CE0F25">
            <w:pPr>
              <w:pStyle w:val="ListParagraph"/>
              <w:spacing w:after="120"/>
              <w:rPr>
                <w:rFonts w:cs="Calibri"/>
              </w:rPr>
            </w:pPr>
            <w:r w:rsidRPr="00BB0D88">
              <w:rPr>
                <w:rFonts w:cs="Calibri"/>
              </w:rPr>
              <w:t>Each child is limited to a pension that, when all the children’s pensions are summed, cannot in aggregate exceed the Transfer Balance Cap</w:t>
            </w:r>
          </w:p>
          <w:p w14:paraId="687D5A42" w14:textId="77777777" w:rsidR="004E577F" w:rsidRPr="00BB0D88" w:rsidRDefault="004E577F" w:rsidP="00CE0F25">
            <w:pPr>
              <w:pStyle w:val="ListParagraph"/>
              <w:numPr>
                <w:ilvl w:val="0"/>
                <w:numId w:val="16"/>
              </w:numPr>
              <w:spacing w:after="120"/>
              <w:rPr>
                <w:rFonts w:cs="Calibri"/>
              </w:rPr>
            </w:pPr>
            <w:r w:rsidRPr="00BB0D88">
              <w:rPr>
                <w:rFonts w:cs="Calibri"/>
              </w:rPr>
              <w:t>the deceased has started a pension within the applicable TBC but it has subsequently grown to $4m with investment earnings</w:t>
            </w:r>
          </w:p>
          <w:p w14:paraId="2BFC9090" w14:textId="77777777" w:rsidR="004E577F" w:rsidRPr="00BB0D88" w:rsidRDefault="004E577F" w:rsidP="00CE0F25">
            <w:pPr>
              <w:pStyle w:val="ListParagraph"/>
              <w:spacing w:after="120"/>
            </w:pPr>
            <w:r w:rsidRPr="00BB0D88">
              <w:rPr>
                <w:rFonts w:cs="Calibri"/>
              </w:rPr>
              <w:t>The children can each commence pensions with any amount of the full $4m.</w:t>
            </w:r>
          </w:p>
        </w:tc>
      </w:tr>
    </w:tbl>
    <w:p w14:paraId="7DB76730" w14:textId="77777777" w:rsidR="004E577F" w:rsidRPr="00BB0D88" w:rsidRDefault="004E577F" w:rsidP="004E577F">
      <w:pPr>
        <w:spacing w:after="120"/>
        <w:rPr>
          <w:rFonts w:cs="Calibri"/>
        </w:rPr>
      </w:pPr>
    </w:p>
    <w:p w14:paraId="74891A8A" w14:textId="77777777" w:rsidR="00733F89" w:rsidRPr="005F763D" w:rsidRDefault="00733F89" w:rsidP="008C7CE9">
      <w:pPr>
        <w:jc w:val="left"/>
      </w:pPr>
    </w:p>
    <w:p w14:paraId="4ACC0C1B" w14:textId="77777777" w:rsidR="00C3421C" w:rsidRPr="005F763D" w:rsidRDefault="00C3421C" w:rsidP="008C7CE9">
      <w:pPr>
        <w:jc w:val="left"/>
        <w:rPr>
          <w:color w:val="002060"/>
          <w:sz w:val="24"/>
        </w:rPr>
      </w:pPr>
      <w:bookmarkStart w:id="18" w:name="_Toc260306637"/>
      <w:r w:rsidRPr="005F763D">
        <w:rPr>
          <w:color w:val="002060"/>
          <w:sz w:val="24"/>
        </w:rPr>
        <w:t>Wills – Establish</w:t>
      </w:r>
    </w:p>
    <w:p w14:paraId="10F937E9" w14:textId="006A1F92"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1A22F0" w14:paraId="0AB6E239" w14:textId="77777777" w:rsidTr="00B45A3A">
        <w:tc>
          <w:tcPr>
            <w:tcW w:w="2754" w:type="dxa"/>
          </w:tcPr>
          <w:p w14:paraId="5479B4BC" w14:textId="7C4F23C3" w:rsidR="00134F53" w:rsidRPr="00EA0A06" w:rsidRDefault="00134F53" w:rsidP="00E164DA">
            <w:pPr>
              <w:pStyle w:val="Instructions"/>
            </w:pPr>
          </w:p>
        </w:tc>
        <w:tc>
          <w:tcPr>
            <w:tcW w:w="6798" w:type="dxa"/>
          </w:tcPr>
          <w:p w14:paraId="6903E0B4" w14:textId="77777777" w:rsidR="008A50AC" w:rsidRPr="005F763D" w:rsidRDefault="008A50AC" w:rsidP="008A50AC">
            <w:pPr>
              <w:jc w:val="left"/>
            </w:pPr>
            <w:r w:rsidRPr="005F763D">
              <w:rPr>
                <w:color w:val="FF0000"/>
              </w:rPr>
              <w:t>[Name]</w:t>
            </w:r>
            <w:r w:rsidRPr="005F763D">
              <w:t>, you have advised us you do not have a Will.</w:t>
            </w:r>
          </w:p>
          <w:p w14:paraId="65F24FC8" w14:textId="77777777" w:rsidR="008A50AC" w:rsidRDefault="008A50AC" w:rsidP="00740D3C">
            <w:pPr>
              <w:jc w:val="left"/>
              <w:rPr>
                <w:rFonts w:cs="Calibri"/>
              </w:rPr>
            </w:pPr>
          </w:p>
          <w:p w14:paraId="32858098" w14:textId="061B7208" w:rsidR="00740D3C" w:rsidRPr="00E51767" w:rsidRDefault="00024D12" w:rsidP="00740D3C">
            <w:pPr>
              <w:jc w:val="left"/>
              <w:rPr>
                <w:rFonts w:cs="Calibri"/>
              </w:rPr>
            </w:pPr>
            <w:r w:rsidRPr="00E51767">
              <w:rPr>
                <w:rFonts w:cs="Calibri"/>
              </w:rPr>
              <w:t>A</w:t>
            </w:r>
            <w:r w:rsidR="00740D3C" w:rsidRPr="00E51767">
              <w:rPr>
                <w:rFonts w:cs="Calibri"/>
              </w:rPr>
              <w:t xml:space="preserve"> vital aspect of your financial strategy is how your wealth will be distributed after you pass away.</w:t>
            </w:r>
          </w:p>
          <w:p w14:paraId="46A324CE" w14:textId="77777777" w:rsidR="00740D3C" w:rsidRPr="00E51767" w:rsidRDefault="00740D3C" w:rsidP="00740D3C">
            <w:pPr>
              <w:jc w:val="left"/>
              <w:rPr>
                <w:rFonts w:cs="Calibri"/>
              </w:rPr>
            </w:pPr>
          </w:p>
          <w:p w14:paraId="0F10CF9B" w14:textId="2F06922E" w:rsidR="00C02AB5" w:rsidRPr="00E51767" w:rsidRDefault="00740D3C" w:rsidP="00F55DC0">
            <w:pPr>
              <w:jc w:val="left"/>
              <w:rPr>
                <w:rFonts w:cs="Calibri"/>
              </w:rPr>
            </w:pPr>
            <w:r w:rsidRPr="00E51767">
              <w:rPr>
                <w:rFonts w:cs="Calibri"/>
              </w:rPr>
              <w:t xml:space="preserve">Estate </w:t>
            </w:r>
            <w:r w:rsidR="00C02AB5" w:rsidRPr="00E51767">
              <w:rPr>
                <w:rFonts w:cs="Calibri"/>
              </w:rPr>
              <w:t>P</w:t>
            </w:r>
            <w:r w:rsidRPr="00E51767">
              <w:rPr>
                <w:rFonts w:cs="Calibri"/>
              </w:rPr>
              <w:t xml:space="preserve">lanning is the </w:t>
            </w:r>
            <w:r w:rsidR="00C02AB5" w:rsidRPr="00E51767">
              <w:rPr>
                <w:rFonts w:cs="Calibri"/>
              </w:rPr>
              <w:t xml:space="preserve">overall </w:t>
            </w:r>
            <w:r w:rsidRPr="00E51767">
              <w:rPr>
                <w:rFonts w:cs="Calibri"/>
              </w:rPr>
              <w:t xml:space="preserve">planning and documentation of your wishes for the distribution of your wealth following your death.  </w:t>
            </w:r>
          </w:p>
          <w:p w14:paraId="38424561" w14:textId="77777777" w:rsidR="00C02AB5" w:rsidRPr="00E51767" w:rsidRDefault="00C02AB5" w:rsidP="00F55DC0">
            <w:pPr>
              <w:jc w:val="left"/>
              <w:rPr>
                <w:rFonts w:cs="Calibri"/>
              </w:rPr>
            </w:pPr>
          </w:p>
          <w:p w14:paraId="3FA5E2A6" w14:textId="5C072CF3" w:rsidR="00AC1E52" w:rsidRPr="00E51767" w:rsidRDefault="00C02AB5" w:rsidP="00F55DC0">
            <w:pPr>
              <w:jc w:val="left"/>
              <w:rPr>
                <w:rFonts w:cs="Calibri"/>
              </w:rPr>
            </w:pPr>
            <w:r w:rsidRPr="00E51767">
              <w:rPr>
                <w:rFonts w:cs="Calibri"/>
              </w:rPr>
              <w:t xml:space="preserve">A Will is valid only for </w:t>
            </w:r>
            <w:r w:rsidR="00740D3C" w:rsidRPr="00E51767">
              <w:rPr>
                <w:rFonts w:cs="Calibri"/>
              </w:rPr>
              <w:t xml:space="preserve">assets you own personally. </w:t>
            </w:r>
            <w:r w:rsidR="00F55DC0" w:rsidRPr="00E51767">
              <w:rPr>
                <w:rFonts w:cs="Calibri"/>
              </w:rPr>
              <w:t xml:space="preserve">It </w:t>
            </w:r>
            <w:r w:rsidR="003579FE" w:rsidRPr="00E51767">
              <w:rPr>
                <w:rFonts w:cs="Calibri"/>
              </w:rPr>
              <w:t xml:space="preserve">can </w:t>
            </w:r>
            <w:r w:rsidR="00F55DC0" w:rsidRPr="00E51767">
              <w:rPr>
                <w:rFonts w:cs="Calibri"/>
              </w:rPr>
              <w:t xml:space="preserve">also address your wishes </w:t>
            </w:r>
            <w:r w:rsidR="005111BB" w:rsidRPr="00E51767">
              <w:rPr>
                <w:rFonts w:cs="Calibri"/>
              </w:rPr>
              <w:t>regarding the</w:t>
            </w:r>
            <w:r w:rsidR="00F55DC0" w:rsidRPr="00E51767">
              <w:rPr>
                <w:rFonts w:cs="Calibri"/>
              </w:rPr>
              <w:t xml:space="preserve"> control and use of your assets </w:t>
            </w:r>
            <w:r w:rsidR="003579FE" w:rsidRPr="00E51767">
              <w:rPr>
                <w:rFonts w:cs="Calibri"/>
              </w:rPr>
              <w:t xml:space="preserve">even </w:t>
            </w:r>
            <w:r w:rsidR="00F55DC0" w:rsidRPr="00E51767">
              <w:rPr>
                <w:rFonts w:cs="Calibri"/>
              </w:rPr>
              <w:t xml:space="preserve">when they finally </w:t>
            </w:r>
            <w:r w:rsidRPr="00E51767">
              <w:rPr>
                <w:rFonts w:cs="Calibri"/>
              </w:rPr>
              <w:t>are available</w:t>
            </w:r>
            <w:r w:rsidR="00F55DC0" w:rsidRPr="00E51767">
              <w:rPr>
                <w:rFonts w:cs="Calibri"/>
              </w:rPr>
              <w:t xml:space="preserve"> </w:t>
            </w:r>
            <w:r w:rsidR="005B6BBB" w:rsidRPr="00E51767">
              <w:rPr>
                <w:rFonts w:cs="Calibri"/>
              </w:rPr>
              <w:t>for</w:t>
            </w:r>
            <w:r w:rsidR="00F55DC0" w:rsidRPr="00E51767">
              <w:rPr>
                <w:rFonts w:cs="Calibri"/>
              </w:rPr>
              <w:t xml:space="preserve"> beneficiaries.</w:t>
            </w:r>
            <w:r w:rsidRPr="00E51767">
              <w:rPr>
                <w:rFonts w:cs="Calibri"/>
              </w:rPr>
              <w:t xml:space="preserve"> </w:t>
            </w:r>
          </w:p>
          <w:p w14:paraId="52005DAF" w14:textId="77777777" w:rsidR="00AC1E52" w:rsidRPr="00E51767" w:rsidRDefault="00AC1E52" w:rsidP="00F55DC0">
            <w:pPr>
              <w:jc w:val="left"/>
              <w:rPr>
                <w:rFonts w:cs="Calibri"/>
              </w:rPr>
            </w:pPr>
          </w:p>
          <w:p w14:paraId="1AC84526" w14:textId="6C672AFE" w:rsidR="00C02AB5" w:rsidRPr="00E51767" w:rsidRDefault="005111BB" w:rsidP="00F55DC0">
            <w:pPr>
              <w:jc w:val="left"/>
              <w:rPr>
                <w:rFonts w:cs="Calibri"/>
              </w:rPr>
            </w:pPr>
            <w:r w:rsidRPr="00E51767">
              <w:rPr>
                <w:rFonts w:cs="Calibri"/>
              </w:rPr>
              <w:t>Typically,</w:t>
            </w:r>
            <w:r w:rsidR="00C02AB5" w:rsidRPr="00E51767">
              <w:rPr>
                <w:rFonts w:cs="Calibri"/>
              </w:rPr>
              <w:t xml:space="preserve"> a Will cannot control the distribution of:</w:t>
            </w:r>
          </w:p>
          <w:p w14:paraId="39507F9B" w14:textId="31975372" w:rsidR="00AC1E52" w:rsidRPr="00E51767" w:rsidRDefault="00AC1E52" w:rsidP="003812CB">
            <w:pPr>
              <w:pStyle w:val="ListParagraph"/>
              <w:numPr>
                <w:ilvl w:val="0"/>
                <w:numId w:val="70"/>
              </w:numPr>
              <w:jc w:val="left"/>
              <w:rPr>
                <w:rFonts w:cs="Calibri"/>
              </w:rPr>
            </w:pPr>
            <w:r w:rsidRPr="00E51767">
              <w:rPr>
                <w:rFonts w:cs="Calibri"/>
              </w:rPr>
              <w:t>jointly owned assets</w:t>
            </w:r>
          </w:p>
          <w:p w14:paraId="5960965F" w14:textId="474EE914" w:rsidR="00C02AB5" w:rsidRPr="00E51767" w:rsidRDefault="00C02AB5" w:rsidP="003812CB">
            <w:pPr>
              <w:pStyle w:val="ListParagraph"/>
              <w:numPr>
                <w:ilvl w:val="0"/>
                <w:numId w:val="70"/>
              </w:numPr>
              <w:jc w:val="left"/>
              <w:rPr>
                <w:rFonts w:cs="Calibri"/>
              </w:rPr>
            </w:pPr>
            <w:r w:rsidRPr="00E51767">
              <w:rPr>
                <w:rFonts w:cs="Calibri"/>
              </w:rPr>
              <w:t>superannuation</w:t>
            </w:r>
          </w:p>
          <w:p w14:paraId="26147292" w14:textId="77777777" w:rsidR="00C02AB5" w:rsidRPr="00E51767" w:rsidRDefault="00C02AB5" w:rsidP="003812CB">
            <w:pPr>
              <w:pStyle w:val="ListParagraph"/>
              <w:numPr>
                <w:ilvl w:val="0"/>
                <w:numId w:val="70"/>
              </w:numPr>
              <w:jc w:val="left"/>
              <w:rPr>
                <w:rFonts w:cs="Calibri"/>
              </w:rPr>
            </w:pPr>
            <w:r w:rsidRPr="00E51767">
              <w:rPr>
                <w:rFonts w:cs="Calibri"/>
              </w:rPr>
              <w:t>proceeds of a personally held insurance policy</w:t>
            </w:r>
          </w:p>
          <w:p w14:paraId="7CB74BC9" w14:textId="2BBDA94B" w:rsidR="00F55DC0" w:rsidRPr="00E51767" w:rsidRDefault="00C02AB5" w:rsidP="003812CB">
            <w:pPr>
              <w:pStyle w:val="ListParagraph"/>
              <w:numPr>
                <w:ilvl w:val="0"/>
                <w:numId w:val="70"/>
              </w:numPr>
              <w:jc w:val="left"/>
              <w:rPr>
                <w:rFonts w:cs="Calibri"/>
              </w:rPr>
            </w:pPr>
            <w:r w:rsidRPr="00E51767">
              <w:rPr>
                <w:rFonts w:cs="Calibri"/>
              </w:rPr>
              <w:t>assets held in a trust you may control.</w:t>
            </w:r>
          </w:p>
          <w:p w14:paraId="0911A07D" w14:textId="77777777" w:rsidR="00F55DC0" w:rsidRPr="00E51767" w:rsidRDefault="00F55DC0" w:rsidP="00F55DC0">
            <w:pPr>
              <w:jc w:val="left"/>
              <w:rPr>
                <w:rFonts w:cs="Calibri"/>
              </w:rPr>
            </w:pPr>
          </w:p>
          <w:p w14:paraId="7D0B47F5" w14:textId="0EA171E4" w:rsidR="002C2BBA" w:rsidRPr="00E51767" w:rsidRDefault="00740D3C" w:rsidP="00740D3C">
            <w:pPr>
              <w:jc w:val="left"/>
              <w:rPr>
                <w:rFonts w:cs="Calibri"/>
              </w:rPr>
            </w:pPr>
            <w:r w:rsidRPr="00E51767">
              <w:rPr>
                <w:rFonts w:cs="Calibri"/>
              </w:rPr>
              <w:t xml:space="preserve">Estate </w:t>
            </w:r>
            <w:r w:rsidR="00714A5D" w:rsidRPr="00E51767">
              <w:rPr>
                <w:rFonts w:cs="Calibri"/>
              </w:rPr>
              <w:t>P</w:t>
            </w:r>
            <w:r w:rsidRPr="00E51767">
              <w:rPr>
                <w:rFonts w:cs="Calibri"/>
              </w:rPr>
              <w:t xml:space="preserve">lanning is a specialist area and it is therefore important you obtain specialist professional legal advice in relation to all areas of your estate plan. </w:t>
            </w:r>
          </w:p>
          <w:p w14:paraId="29A19796" w14:textId="77777777" w:rsidR="002C2BBA" w:rsidRPr="00E51767" w:rsidRDefault="002C2BBA" w:rsidP="00740D3C">
            <w:pPr>
              <w:jc w:val="left"/>
              <w:rPr>
                <w:rFonts w:cs="Calibri"/>
              </w:rPr>
            </w:pPr>
          </w:p>
          <w:p w14:paraId="4175431B" w14:textId="264113CE" w:rsidR="00740D3C" w:rsidRDefault="00740D3C" w:rsidP="00740D3C">
            <w:pPr>
              <w:jc w:val="left"/>
              <w:rPr>
                <w:rFonts w:cs="Calibri"/>
              </w:rPr>
            </w:pPr>
            <w:r w:rsidRPr="00E51767">
              <w:rPr>
                <w:rFonts w:cs="Calibri"/>
              </w:rPr>
              <w:lastRenderedPageBreak/>
              <w:t>However, we outline below some of the issues you should consider in designing your estate plan.</w:t>
            </w:r>
          </w:p>
          <w:p w14:paraId="1CA0B3F6" w14:textId="113CFE9B" w:rsidR="00D2749F" w:rsidRPr="00D2749F" w:rsidRDefault="00D2749F"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6C0041CB" w14:textId="4419D54C" w:rsidR="00D2749F" w:rsidRPr="00D2749F" w:rsidRDefault="00D2749F"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4A9C4544" w14:textId="77777777" w:rsidR="00740D3C" w:rsidRPr="005F763D" w:rsidRDefault="00740D3C" w:rsidP="00740D3C">
            <w:pPr>
              <w:jc w:val="left"/>
              <w:rPr>
                <w:rFonts w:cs="Calibri"/>
              </w:rPr>
            </w:pPr>
          </w:p>
          <w:p w14:paraId="681A0F1A" w14:textId="5BCA1473" w:rsidR="00740D3C" w:rsidRPr="005F763D" w:rsidRDefault="009F05B1" w:rsidP="00740D3C">
            <w:pPr>
              <w:jc w:val="left"/>
              <w:rPr>
                <w:rFonts w:cs="Calibri"/>
              </w:rPr>
            </w:pPr>
            <w:r w:rsidRPr="00E51767">
              <w:rPr>
                <w:rFonts w:cs="Calibri"/>
              </w:rPr>
              <w:t>Once</w:t>
            </w:r>
            <w:r w:rsidR="00740D3C" w:rsidRPr="00E51767">
              <w:rPr>
                <w:rFonts w:cs="Calibri"/>
              </w:rPr>
              <w:t xml:space="preserve"> you have a current Will in place, it is worthwhile reviewing these on a regular basis to ensure that they continue to fulfil your wishes.</w:t>
            </w:r>
          </w:p>
          <w:p w14:paraId="0D2CE557" w14:textId="77777777" w:rsidR="000173EF" w:rsidRDefault="000173EF" w:rsidP="000173EF">
            <w:pPr>
              <w:jc w:val="left"/>
            </w:pPr>
          </w:p>
          <w:p w14:paraId="0EDECE9F" w14:textId="4CE939F9" w:rsidR="000173EF" w:rsidRPr="009E4CB1" w:rsidRDefault="000173EF" w:rsidP="000173EF">
            <w:pPr>
              <w:jc w:val="left"/>
              <w:rPr>
                <w:color w:val="7030A0"/>
              </w:rPr>
            </w:pPr>
            <w:r w:rsidRPr="00DF45E1">
              <w:rPr>
                <w:color w:val="7030A0"/>
                <w:highlight w:val="yellow"/>
              </w:rPr>
              <w:t>[If you do not have a specialist Estate Planning solicitor, we can refer one to you.]</w:t>
            </w:r>
          </w:p>
          <w:p w14:paraId="5C177380" w14:textId="77777777" w:rsidR="00134F53" w:rsidRPr="001A22F0" w:rsidRDefault="00134F53" w:rsidP="00B45A3A">
            <w:pPr>
              <w:jc w:val="left"/>
            </w:pPr>
          </w:p>
        </w:tc>
      </w:tr>
    </w:tbl>
    <w:p w14:paraId="0249D785" w14:textId="77777777" w:rsidR="00134F53" w:rsidRPr="005F763D" w:rsidRDefault="00134F53" w:rsidP="008C7CE9">
      <w:pPr>
        <w:jc w:val="left"/>
      </w:pPr>
    </w:p>
    <w:p w14:paraId="2139A9D9" w14:textId="77777777" w:rsidR="00C3421C" w:rsidRPr="005F763D" w:rsidRDefault="00C3421C" w:rsidP="008C7CE9">
      <w:pPr>
        <w:jc w:val="left"/>
        <w:rPr>
          <w:color w:val="002060"/>
          <w:sz w:val="24"/>
        </w:rPr>
      </w:pPr>
      <w:r w:rsidRPr="005F763D">
        <w:rPr>
          <w:color w:val="002060"/>
          <w:sz w:val="24"/>
        </w:rPr>
        <w:t>Wills – Review &amp; Update</w:t>
      </w:r>
    </w:p>
    <w:p w14:paraId="3C35BD61" w14:textId="2B4F7925"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D2749F" w:rsidRPr="001A22F0" w14:paraId="1DCEA1A9" w14:textId="77777777" w:rsidTr="00B45A3A">
        <w:tc>
          <w:tcPr>
            <w:tcW w:w="2754" w:type="dxa"/>
          </w:tcPr>
          <w:p w14:paraId="1B63FF09" w14:textId="031BDD3D" w:rsidR="00D2749F" w:rsidRPr="00EA0A06" w:rsidRDefault="00D2749F" w:rsidP="00E164DA">
            <w:pPr>
              <w:pStyle w:val="Instructions"/>
            </w:pPr>
          </w:p>
        </w:tc>
        <w:tc>
          <w:tcPr>
            <w:tcW w:w="6798" w:type="dxa"/>
          </w:tcPr>
          <w:p w14:paraId="616DF07D" w14:textId="77777777" w:rsidR="001801D5" w:rsidRDefault="001801D5" w:rsidP="001801D5">
            <w:pPr>
              <w:jc w:val="left"/>
            </w:pPr>
            <w:r w:rsidRPr="005F763D">
              <w:rPr>
                <w:color w:val="FF0000"/>
              </w:rPr>
              <w:t>[Name]</w:t>
            </w:r>
            <w:r w:rsidRPr="005F763D">
              <w:t>, you have indicated that you have a Will, however it is no longer current.</w:t>
            </w:r>
          </w:p>
          <w:p w14:paraId="494CA261" w14:textId="77777777" w:rsidR="001801D5" w:rsidRDefault="001801D5" w:rsidP="009E4CB1">
            <w:pPr>
              <w:jc w:val="left"/>
              <w:rPr>
                <w:rFonts w:cs="Calibri"/>
              </w:rPr>
            </w:pPr>
          </w:p>
          <w:p w14:paraId="033E8142" w14:textId="16BF7087" w:rsidR="009E4CB1" w:rsidRPr="00D00F49" w:rsidRDefault="009E4CB1" w:rsidP="009E4CB1">
            <w:pPr>
              <w:jc w:val="left"/>
              <w:rPr>
                <w:rFonts w:cs="Calibri"/>
              </w:rPr>
            </w:pPr>
            <w:r w:rsidRPr="00D00F49">
              <w:rPr>
                <w:rFonts w:cs="Calibri"/>
              </w:rPr>
              <w:t>A vital aspect of your financial strategy is how your wealth will be distributed after you pass away.</w:t>
            </w:r>
          </w:p>
          <w:p w14:paraId="0FF16432" w14:textId="77777777" w:rsidR="009E4CB1" w:rsidRPr="00D00F49" w:rsidRDefault="009E4CB1" w:rsidP="009E4CB1">
            <w:pPr>
              <w:jc w:val="left"/>
              <w:rPr>
                <w:rFonts w:cs="Calibri"/>
              </w:rPr>
            </w:pPr>
          </w:p>
          <w:p w14:paraId="3A9D93E1" w14:textId="77777777" w:rsidR="009E4CB1" w:rsidRPr="00D00F49" w:rsidRDefault="009E4CB1" w:rsidP="009E4CB1">
            <w:pPr>
              <w:jc w:val="left"/>
              <w:rPr>
                <w:rFonts w:cs="Calibri"/>
              </w:rPr>
            </w:pPr>
            <w:r w:rsidRPr="00D00F49">
              <w:rPr>
                <w:rFonts w:cs="Calibri"/>
              </w:rPr>
              <w:t xml:space="preserve">Estate Planning is the overall planning and documentation of your wishes for the distribution of your wealth following your death.  </w:t>
            </w:r>
          </w:p>
          <w:p w14:paraId="4A3EF4AE" w14:textId="77777777" w:rsidR="009E4CB1" w:rsidRPr="00D00F49" w:rsidRDefault="009E4CB1" w:rsidP="009E4CB1">
            <w:pPr>
              <w:jc w:val="left"/>
              <w:rPr>
                <w:rFonts w:cs="Calibri"/>
              </w:rPr>
            </w:pPr>
          </w:p>
          <w:p w14:paraId="6C3D9E29" w14:textId="783B718A" w:rsidR="009E4CB1" w:rsidRPr="00D00F49" w:rsidRDefault="009E4CB1" w:rsidP="009E4CB1">
            <w:pPr>
              <w:jc w:val="left"/>
              <w:rPr>
                <w:rFonts w:cs="Calibri"/>
              </w:rPr>
            </w:pPr>
            <w:r w:rsidRPr="00D00F49">
              <w:rPr>
                <w:rFonts w:cs="Calibri"/>
              </w:rPr>
              <w:t xml:space="preserve">A Will is valid only for assets you own personally. It can also address your wishes </w:t>
            </w:r>
            <w:r w:rsidR="005111BB" w:rsidRPr="00D00F49">
              <w:rPr>
                <w:rFonts w:cs="Calibri"/>
              </w:rPr>
              <w:t>regarding the</w:t>
            </w:r>
            <w:r w:rsidRPr="00D00F49">
              <w:rPr>
                <w:rFonts w:cs="Calibri"/>
              </w:rPr>
              <w:t xml:space="preserve"> control and use of your assets even when they finally are available </w:t>
            </w:r>
            <w:r w:rsidR="005111BB" w:rsidRPr="00D00F49">
              <w:rPr>
                <w:rFonts w:cs="Calibri"/>
              </w:rPr>
              <w:t>for beneficiaries</w:t>
            </w:r>
            <w:r w:rsidRPr="00D00F49">
              <w:rPr>
                <w:rFonts w:cs="Calibri"/>
              </w:rPr>
              <w:t xml:space="preserve">. </w:t>
            </w:r>
          </w:p>
          <w:p w14:paraId="12E97AC4" w14:textId="77777777" w:rsidR="009E4CB1" w:rsidRPr="00D00F49" w:rsidRDefault="009E4CB1" w:rsidP="009E4CB1">
            <w:pPr>
              <w:jc w:val="left"/>
              <w:rPr>
                <w:rFonts w:cs="Calibri"/>
              </w:rPr>
            </w:pPr>
          </w:p>
          <w:p w14:paraId="22176C06" w14:textId="7E24CB00" w:rsidR="009E4CB1" w:rsidRPr="00D00F49" w:rsidRDefault="005111BB" w:rsidP="009E4CB1">
            <w:pPr>
              <w:jc w:val="left"/>
              <w:rPr>
                <w:rFonts w:cs="Calibri"/>
              </w:rPr>
            </w:pPr>
            <w:r w:rsidRPr="00D00F49">
              <w:rPr>
                <w:rFonts w:cs="Calibri"/>
              </w:rPr>
              <w:t>Typically,</w:t>
            </w:r>
            <w:r w:rsidR="009E4CB1" w:rsidRPr="00D00F49">
              <w:rPr>
                <w:rFonts w:cs="Calibri"/>
              </w:rPr>
              <w:t xml:space="preserve"> a Will cannot control the distribution of:</w:t>
            </w:r>
          </w:p>
          <w:p w14:paraId="7797EC35" w14:textId="77777777" w:rsidR="009E4CB1" w:rsidRPr="00D00F49" w:rsidRDefault="009E4CB1" w:rsidP="003812CB">
            <w:pPr>
              <w:pStyle w:val="ListParagraph"/>
              <w:numPr>
                <w:ilvl w:val="0"/>
                <w:numId w:val="70"/>
              </w:numPr>
              <w:jc w:val="left"/>
              <w:rPr>
                <w:rFonts w:cs="Calibri"/>
              </w:rPr>
            </w:pPr>
            <w:r w:rsidRPr="00D00F49">
              <w:rPr>
                <w:rFonts w:cs="Calibri"/>
              </w:rPr>
              <w:t>jointly owned assets</w:t>
            </w:r>
          </w:p>
          <w:p w14:paraId="1A4D98C7" w14:textId="77777777" w:rsidR="009E4CB1" w:rsidRPr="00D00F49" w:rsidRDefault="009E4CB1" w:rsidP="003812CB">
            <w:pPr>
              <w:pStyle w:val="ListParagraph"/>
              <w:numPr>
                <w:ilvl w:val="0"/>
                <w:numId w:val="70"/>
              </w:numPr>
              <w:jc w:val="left"/>
              <w:rPr>
                <w:rFonts w:cs="Calibri"/>
              </w:rPr>
            </w:pPr>
            <w:r w:rsidRPr="00D00F49">
              <w:rPr>
                <w:rFonts w:cs="Calibri"/>
              </w:rPr>
              <w:t>superannuation</w:t>
            </w:r>
          </w:p>
          <w:p w14:paraId="2DEAD6F2" w14:textId="77777777" w:rsidR="009E4CB1" w:rsidRPr="00D00F49" w:rsidRDefault="009E4CB1" w:rsidP="003812CB">
            <w:pPr>
              <w:pStyle w:val="ListParagraph"/>
              <w:numPr>
                <w:ilvl w:val="0"/>
                <w:numId w:val="70"/>
              </w:numPr>
              <w:jc w:val="left"/>
              <w:rPr>
                <w:rFonts w:cs="Calibri"/>
              </w:rPr>
            </w:pPr>
            <w:r w:rsidRPr="00D00F49">
              <w:rPr>
                <w:rFonts w:cs="Calibri"/>
              </w:rPr>
              <w:t>proceeds of a personally held insurance policy</w:t>
            </w:r>
          </w:p>
          <w:p w14:paraId="2544D4C9" w14:textId="77777777" w:rsidR="009E4CB1" w:rsidRPr="00D00F49" w:rsidRDefault="009E4CB1" w:rsidP="003812CB">
            <w:pPr>
              <w:pStyle w:val="ListParagraph"/>
              <w:numPr>
                <w:ilvl w:val="0"/>
                <w:numId w:val="70"/>
              </w:numPr>
              <w:jc w:val="left"/>
              <w:rPr>
                <w:rFonts w:cs="Calibri"/>
              </w:rPr>
            </w:pPr>
            <w:r w:rsidRPr="00D00F49">
              <w:rPr>
                <w:rFonts w:cs="Calibri"/>
              </w:rPr>
              <w:t>assets held in a trust you may control.</w:t>
            </w:r>
          </w:p>
          <w:p w14:paraId="5CA3F8D0" w14:textId="77777777" w:rsidR="009E4CB1" w:rsidRPr="00D00F49" w:rsidRDefault="009E4CB1" w:rsidP="009E4CB1">
            <w:pPr>
              <w:jc w:val="left"/>
              <w:rPr>
                <w:rFonts w:cs="Calibri"/>
              </w:rPr>
            </w:pPr>
          </w:p>
          <w:p w14:paraId="198D1C94" w14:textId="77777777" w:rsidR="009E4CB1" w:rsidRPr="00D00F49" w:rsidRDefault="009E4CB1" w:rsidP="009E4CB1">
            <w:pPr>
              <w:jc w:val="left"/>
              <w:rPr>
                <w:rFonts w:cs="Calibri"/>
              </w:rPr>
            </w:pPr>
            <w:r w:rsidRPr="00D00F49">
              <w:rPr>
                <w:rFonts w:cs="Calibri"/>
              </w:rPr>
              <w:t xml:space="preserve">Estate Planning is a specialist area and it is therefore important you obtain specialist professional legal advice in relation to all areas of your estate plan. </w:t>
            </w:r>
          </w:p>
          <w:p w14:paraId="558E2B83" w14:textId="77777777" w:rsidR="009E4CB1" w:rsidRPr="00D00F49" w:rsidRDefault="009E4CB1" w:rsidP="009E4CB1">
            <w:pPr>
              <w:jc w:val="left"/>
              <w:rPr>
                <w:rFonts w:cs="Calibri"/>
              </w:rPr>
            </w:pPr>
          </w:p>
          <w:p w14:paraId="4A2820F3" w14:textId="77777777" w:rsidR="009E4CB1" w:rsidRDefault="009E4CB1" w:rsidP="009E4CB1">
            <w:pPr>
              <w:jc w:val="left"/>
              <w:rPr>
                <w:rFonts w:cs="Calibri"/>
              </w:rPr>
            </w:pPr>
            <w:r w:rsidRPr="00D00F49">
              <w:rPr>
                <w:rFonts w:cs="Calibri"/>
              </w:rPr>
              <w:t>However, we outline below some of the issues you should consider in designing your estate plan.</w:t>
            </w:r>
          </w:p>
          <w:p w14:paraId="0084D463" w14:textId="77777777" w:rsidR="009E4CB1" w:rsidRPr="00D2749F" w:rsidRDefault="009E4CB1"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02D47FBC" w14:textId="77777777" w:rsidR="009E4CB1" w:rsidRPr="00D2749F" w:rsidRDefault="009E4CB1"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2D34F164" w14:textId="77777777" w:rsidR="009E4CB1" w:rsidRPr="005F763D" w:rsidRDefault="009E4CB1" w:rsidP="009E4CB1">
            <w:pPr>
              <w:jc w:val="left"/>
              <w:rPr>
                <w:rFonts w:cs="Calibri"/>
              </w:rPr>
            </w:pPr>
          </w:p>
          <w:p w14:paraId="631D611A" w14:textId="77777777" w:rsidR="009E4CB1" w:rsidRPr="005F763D" w:rsidRDefault="009E4CB1" w:rsidP="009E4CB1">
            <w:pPr>
              <w:jc w:val="left"/>
              <w:rPr>
                <w:rFonts w:cs="Calibri"/>
              </w:rPr>
            </w:pPr>
            <w:r w:rsidRPr="00D00F49">
              <w:rPr>
                <w:rFonts w:cs="Calibri"/>
              </w:rPr>
              <w:t>Once you have a current Will in place, it is worthwhile reviewing these on a regular basis to ensure that they continue to fulfil your wishes.</w:t>
            </w:r>
          </w:p>
          <w:p w14:paraId="792316D8" w14:textId="77777777" w:rsidR="009E4CB1" w:rsidRDefault="009E4CB1" w:rsidP="009E4CB1">
            <w:pPr>
              <w:jc w:val="left"/>
            </w:pPr>
          </w:p>
          <w:p w14:paraId="5230504F" w14:textId="648CAE91" w:rsidR="009E4CB1" w:rsidRPr="009E4CB1" w:rsidRDefault="009E4CB1" w:rsidP="009E4CB1">
            <w:pPr>
              <w:jc w:val="left"/>
              <w:rPr>
                <w:color w:val="7030A0"/>
              </w:rPr>
            </w:pPr>
            <w:r w:rsidRPr="00DF45E1">
              <w:rPr>
                <w:color w:val="7030A0"/>
                <w:highlight w:val="yellow"/>
              </w:rPr>
              <w:t>[If you do not have a specialist Estate Planning solicitor, we can refer one to you.]</w:t>
            </w:r>
          </w:p>
          <w:p w14:paraId="663BC3AD" w14:textId="77777777" w:rsidR="00D2749F" w:rsidRPr="001A22F0" w:rsidRDefault="00D2749F" w:rsidP="009E4CB1">
            <w:pPr>
              <w:jc w:val="left"/>
            </w:pPr>
          </w:p>
        </w:tc>
      </w:tr>
    </w:tbl>
    <w:p w14:paraId="77BA6C1A" w14:textId="77777777" w:rsidR="00C3421C" w:rsidRPr="005F763D" w:rsidRDefault="00C3421C" w:rsidP="008C7CE9">
      <w:pPr>
        <w:jc w:val="left"/>
      </w:pPr>
    </w:p>
    <w:p w14:paraId="2C83B89F" w14:textId="5F032821" w:rsidR="00C3421C" w:rsidRPr="005F763D" w:rsidRDefault="00C3421C" w:rsidP="008C7CE9">
      <w:pPr>
        <w:jc w:val="left"/>
        <w:rPr>
          <w:color w:val="002060"/>
          <w:sz w:val="24"/>
        </w:rPr>
      </w:pPr>
      <w:r w:rsidRPr="005F763D">
        <w:rPr>
          <w:color w:val="002060"/>
          <w:sz w:val="24"/>
        </w:rPr>
        <w:t>Appoint</w:t>
      </w:r>
      <w:r w:rsidR="00BF3ABD">
        <w:rPr>
          <w:color w:val="002060"/>
          <w:sz w:val="24"/>
        </w:rPr>
        <w:t>ing</w:t>
      </w:r>
      <w:r w:rsidRPr="005F763D">
        <w:rPr>
          <w:color w:val="002060"/>
          <w:sz w:val="24"/>
        </w:rPr>
        <w:t xml:space="preserve"> </w:t>
      </w:r>
      <w:r w:rsidR="00BF3ABD">
        <w:rPr>
          <w:color w:val="002060"/>
          <w:sz w:val="24"/>
        </w:rPr>
        <w:t xml:space="preserve">a </w:t>
      </w:r>
      <w:r w:rsidRPr="005F763D">
        <w:rPr>
          <w:color w:val="002060"/>
          <w:sz w:val="24"/>
        </w:rPr>
        <w:t>Guardian</w:t>
      </w:r>
    </w:p>
    <w:p w14:paraId="544E86BA" w14:textId="5D559138"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475B61" w:rsidRPr="001A22F0" w14:paraId="7728B7E2" w14:textId="77777777" w:rsidTr="00CB435F">
        <w:tc>
          <w:tcPr>
            <w:tcW w:w="2754" w:type="dxa"/>
          </w:tcPr>
          <w:p w14:paraId="71636DA9" w14:textId="172751F6" w:rsidR="00475B61" w:rsidRPr="00EA0A06" w:rsidRDefault="00475B61" w:rsidP="00E164DA">
            <w:pPr>
              <w:pStyle w:val="Instructions"/>
            </w:pPr>
          </w:p>
        </w:tc>
        <w:tc>
          <w:tcPr>
            <w:tcW w:w="6798" w:type="dxa"/>
          </w:tcPr>
          <w:p w14:paraId="560B69B9" w14:textId="07F036F7" w:rsidR="00C82037" w:rsidRDefault="00C82037" w:rsidP="00C82037">
            <w:pPr>
              <w:jc w:val="left"/>
            </w:pPr>
            <w:r w:rsidRPr="005F763D">
              <w:t>You have advised us that you do not have Wills that appoint Guardians for your children.</w:t>
            </w:r>
          </w:p>
          <w:p w14:paraId="6FD9D134" w14:textId="77777777" w:rsidR="00CF24A5" w:rsidRDefault="00CF24A5" w:rsidP="00CF24A5">
            <w:pPr>
              <w:jc w:val="left"/>
              <w:rPr>
                <w:rFonts w:cs="Calibri"/>
                <w:highlight w:val="green"/>
              </w:rPr>
            </w:pPr>
          </w:p>
          <w:p w14:paraId="7C4AF1D8" w14:textId="0411DC5A" w:rsidR="009A3F96" w:rsidRPr="00615B50" w:rsidRDefault="00407796" w:rsidP="00CF24A5">
            <w:pPr>
              <w:jc w:val="left"/>
              <w:rPr>
                <w:rFonts w:cs="Calibri"/>
              </w:rPr>
            </w:pPr>
            <w:r w:rsidRPr="00615B50">
              <w:rPr>
                <w:rFonts w:cs="Calibri"/>
              </w:rPr>
              <w:t>A</w:t>
            </w:r>
            <w:r w:rsidR="009A3F96" w:rsidRPr="00615B50">
              <w:rPr>
                <w:rFonts w:cs="Calibri"/>
              </w:rPr>
              <w:t>fter your death</w:t>
            </w:r>
            <w:r w:rsidR="005111BB">
              <w:rPr>
                <w:rFonts w:cs="Calibri"/>
              </w:rPr>
              <w:t>,</w:t>
            </w:r>
            <w:r w:rsidR="009A3F96" w:rsidRPr="00615B50">
              <w:rPr>
                <w:rFonts w:cs="Calibri"/>
              </w:rPr>
              <w:t xml:space="preserve"> an</w:t>
            </w:r>
            <w:r w:rsidRPr="00615B50">
              <w:rPr>
                <w:rFonts w:cs="Calibri"/>
              </w:rPr>
              <w:t xml:space="preserve"> application </w:t>
            </w:r>
            <w:r w:rsidR="00F243EA" w:rsidRPr="00615B50">
              <w:rPr>
                <w:rFonts w:cs="Calibri"/>
              </w:rPr>
              <w:t>can be</w:t>
            </w:r>
            <w:r w:rsidRPr="00615B50">
              <w:rPr>
                <w:rFonts w:cs="Calibri"/>
              </w:rPr>
              <w:t xml:space="preserve"> made to a Court for a Guardianship Order</w:t>
            </w:r>
            <w:r w:rsidR="00656F79" w:rsidRPr="00615B50">
              <w:rPr>
                <w:rFonts w:cs="Calibri"/>
              </w:rPr>
              <w:t>.</w:t>
            </w:r>
            <w:r w:rsidRPr="00615B50">
              <w:rPr>
                <w:rFonts w:cs="Calibri"/>
              </w:rPr>
              <w:t xml:space="preserve"> </w:t>
            </w:r>
          </w:p>
          <w:p w14:paraId="3182AACE" w14:textId="77777777" w:rsidR="009A3F96" w:rsidRPr="00615B50" w:rsidRDefault="009A3F96" w:rsidP="00CF24A5">
            <w:pPr>
              <w:jc w:val="left"/>
              <w:rPr>
                <w:rFonts w:cs="Calibri"/>
              </w:rPr>
            </w:pPr>
          </w:p>
          <w:p w14:paraId="4E5D2617" w14:textId="77777777" w:rsidR="00656F79" w:rsidRPr="00615B50" w:rsidRDefault="009A3F96" w:rsidP="00CF24A5">
            <w:pPr>
              <w:jc w:val="left"/>
              <w:rPr>
                <w:rFonts w:cs="Calibri"/>
              </w:rPr>
            </w:pPr>
            <w:r w:rsidRPr="00615B50">
              <w:rPr>
                <w:rFonts w:cs="Calibri"/>
              </w:rPr>
              <w:t xml:space="preserve">While you are alive, </w:t>
            </w:r>
            <w:r w:rsidR="00F243EA" w:rsidRPr="00615B50">
              <w:rPr>
                <w:rFonts w:cs="Calibri"/>
              </w:rPr>
              <w:t>‘Enduring’ or ‘Supportive’ Power(s) Of Attorney document</w:t>
            </w:r>
            <w:r w:rsidR="00656F79" w:rsidRPr="00615B50">
              <w:rPr>
                <w:rFonts w:cs="Calibri"/>
              </w:rPr>
              <w:t>(s)</w:t>
            </w:r>
            <w:r w:rsidR="00F243EA" w:rsidRPr="00615B50">
              <w:rPr>
                <w:rFonts w:cs="Calibri"/>
              </w:rPr>
              <w:t xml:space="preserve"> can be executed.</w:t>
            </w:r>
            <w:r w:rsidR="00C051B1" w:rsidRPr="00615B50">
              <w:rPr>
                <w:rFonts w:cs="Calibri"/>
              </w:rPr>
              <w:t xml:space="preserve">  </w:t>
            </w:r>
          </w:p>
          <w:p w14:paraId="2132F20D" w14:textId="77777777" w:rsidR="00656F79" w:rsidRPr="00615B50" w:rsidRDefault="00656F79" w:rsidP="00CF24A5">
            <w:pPr>
              <w:jc w:val="left"/>
              <w:rPr>
                <w:rFonts w:cs="Calibri"/>
              </w:rPr>
            </w:pPr>
          </w:p>
          <w:p w14:paraId="3A612E4B" w14:textId="7A0D519D" w:rsidR="00CF24A5" w:rsidRPr="00615B50" w:rsidRDefault="00C051B1" w:rsidP="00CF24A5">
            <w:pPr>
              <w:jc w:val="left"/>
              <w:rPr>
                <w:rFonts w:cs="Calibri"/>
              </w:rPr>
            </w:pPr>
            <w:r w:rsidRPr="00615B50">
              <w:rPr>
                <w:rFonts w:cs="Calibri"/>
              </w:rPr>
              <w:lastRenderedPageBreak/>
              <w:t>However, specific instructions may also be included in your Will for the ongoing care of minor children.</w:t>
            </w:r>
            <w:r w:rsidR="00DA5B09" w:rsidRPr="00615B50">
              <w:rPr>
                <w:rFonts w:cs="Calibri"/>
              </w:rPr>
              <w:t xml:space="preserve"> These will be interpreted by the Court.</w:t>
            </w:r>
          </w:p>
          <w:p w14:paraId="4440BE70" w14:textId="77777777" w:rsidR="00F243EA" w:rsidRPr="00615B50" w:rsidRDefault="00F243EA" w:rsidP="00CF24A5">
            <w:pPr>
              <w:jc w:val="left"/>
              <w:rPr>
                <w:rFonts w:cs="Calibri"/>
              </w:rPr>
            </w:pPr>
          </w:p>
          <w:p w14:paraId="3F4295D1" w14:textId="30DC8F7B" w:rsidR="00CF24A5" w:rsidRDefault="00973338" w:rsidP="00CF24A5">
            <w:pPr>
              <w:jc w:val="left"/>
              <w:rPr>
                <w:rFonts w:cs="Calibri"/>
              </w:rPr>
            </w:pPr>
            <w:r w:rsidRPr="00615B50">
              <w:rPr>
                <w:rFonts w:cs="Calibri"/>
              </w:rPr>
              <w:t>W</w:t>
            </w:r>
            <w:r w:rsidR="00CF24A5" w:rsidRPr="00615B50">
              <w:rPr>
                <w:rFonts w:cs="Calibri"/>
              </w:rPr>
              <w:t>e outline below some of the issues you should consider</w:t>
            </w:r>
            <w:r w:rsidR="00A02B93" w:rsidRPr="00615B50">
              <w:rPr>
                <w:rFonts w:cs="Calibri"/>
              </w:rPr>
              <w:t>:</w:t>
            </w:r>
          </w:p>
          <w:p w14:paraId="09835DAB" w14:textId="77777777" w:rsidR="007C1E69" w:rsidRDefault="00C051B1" w:rsidP="003812CB">
            <w:pPr>
              <w:pStyle w:val="ListParagraph"/>
              <w:numPr>
                <w:ilvl w:val="0"/>
                <w:numId w:val="76"/>
              </w:numPr>
              <w:jc w:val="left"/>
              <w:rPr>
                <w:rFonts w:cs="Calibri"/>
                <w:color w:val="7030A0"/>
                <w:highlight w:val="yellow"/>
              </w:rPr>
            </w:pPr>
            <w:r w:rsidRPr="007C1E69">
              <w:rPr>
                <w:rFonts w:cs="Calibri"/>
                <w:color w:val="7030A0"/>
                <w:highlight w:val="yellow"/>
              </w:rPr>
              <w:t>similarities between your lifestyle, values and religious beliefs</w:t>
            </w:r>
            <w:r w:rsidRPr="007C1E69" w:rsidDel="00C051B1">
              <w:rPr>
                <w:rFonts w:cs="Calibri"/>
                <w:color w:val="7030A0"/>
                <w:highlight w:val="yellow"/>
              </w:rPr>
              <w:t xml:space="preserve"> </w:t>
            </w:r>
          </w:p>
          <w:p w14:paraId="3BE1FD95" w14:textId="4CAC4FEF" w:rsidR="007C1E69" w:rsidRPr="007C1E69" w:rsidRDefault="007C1E69" w:rsidP="003812CB">
            <w:pPr>
              <w:pStyle w:val="ListParagraph"/>
              <w:numPr>
                <w:ilvl w:val="0"/>
                <w:numId w:val="76"/>
              </w:numPr>
              <w:jc w:val="left"/>
              <w:rPr>
                <w:rFonts w:cs="Calibri"/>
                <w:color w:val="7030A0"/>
                <w:highlight w:val="yellow"/>
              </w:rPr>
            </w:pPr>
            <w:r w:rsidRPr="007C1E69">
              <w:rPr>
                <w:rFonts w:cs="Calibri"/>
                <w:color w:val="7030A0"/>
                <w:highlight w:val="yellow"/>
              </w:rPr>
              <w:t>a person with whom your child is comfortable</w:t>
            </w:r>
          </w:p>
          <w:p w14:paraId="6ECFABE1" w14:textId="77777777" w:rsidR="007C1E69" w:rsidRPr="00656F79" w:rsidRDefault="007C1E69" w:rsidP="003812CB">
            <w:pPr>
              <w:pStyle w:val="ListParagraph"/>
              <w:numPr>
                <w:ilvl w:val="0"/>
                <w:numId w:val="76"/>
              </w:numPr>
              <w:jc w:val="left"/>
              <w:rPr>
                <w:rFonts w:cs="Calibri"/>
                <w:color w:val="7030A0"/>
                <w:highlight w:val="yellow"/>
              </w:rPr>
            </w:pPr>
            <w:r w:rsidRPr="0036349F">
              <w:rPr>
                <w:rFonts w:cs="Calibri"/>
                <w:color w:val="7030A0"/>
                <w:highlight w:val="yellow"/>
              </w:rPr>
              <w:t>whether</w:t>
            </w:r>
            <w:r w:rsidRPr="00A02B93">
              <w:rPr>
                <w:rFonts w:cs="Calibri"/>
                <w:color w:val="7030A0"/>
                <w:highlight w:val="yellow"/>
              </w:rPr>
              <w:t xml:space="preserve"> the prospective person already</w:t>
            </w:r>
            <w:r w:rsidRPr="00BD2E70">
              <w:rPr>
                <w:rFonts w:cs="Calibri"/>
                <w:color w:val="7030A0"/>
                <w:highlight w:val="yellow"/>
              </w:rPr>
              <w:t xml:space="preserve"> has children</w:t>
            </w:r>
            <w:r w:rsidRPr="00964A60">
              <w:rPr>
                <w:rFonts w:cs="Calibri"/>
                <w:color w:val="7030A0"/>
                <w:highlight w:val="yellow"/>
              </w:rPr>
              <w:t xml:space="preserve"> or is</w:t>
            </w:r>
            <w:r w:rsidRPr="009A3F96">
              <w:rPr>
                <w:rFonts w:cs="Calibri"/>
                <w:color w:val="7030A0"/>
                <w:highlight w:val="yellow"/>
              </w:rPr>
              <w:t xml:space="preserve"> expecting to </w:t>
            </w:r>
            <w:r w:rsidRPr="00656F79">
              <w:rPr>
                <w:rFonts w:cs="Calibri"/>
                <w:color w:val="7030A0"/>
                <w:highlight w:val="yellow"/>
              </w:rPr>
              <w:t>have a family</w:t>
            </w:r>
          </w:p>
          <w:p w14:paraId="07754627" w14:textId="26CA0962" w:rsidR="00CF24A5" w:rsidRDefault="007C1E69" w:rsidP="003812CB">
            <w:pPr>
              <w:pStyle w:val="ListParagraph"/>
              <w:numPr>
                <w:ilvl w:val="0"/>
                <w:numId w:val="76"/>
              </w:numPr>
              <w:jc w:val="left"/>
              <w:rPr>
                <w:rFonts w:cs="Calibri"/>
                <w:color w:val="7030A0"/>
                <w:highlight w:val="yellow"/>
              </w:rPr>
            </w:pPr>
            <w:r w:rsidRPr="002140F4">
              <w:rPr>
                <w:rFonts w:cs="Calibri"/>
                <w:color w:val="7030A0"/>
                <w:highlight w:val="yellow"/>
              </w:rPr>
              <w:t xml:space="preserve">who is physically, financially and emotionally practical to assume the </w:t>
            </w:r>
            <w:proofErr w:type="gramStart"/>
            <w:r w:rsidRPr="002140F4">
              <w:rPr>
                <w:rFonts w:cs="Calibri"/>
                <w:color w:val="7030A0"/>
                <w:highlight w:val="yellow"/>
              </w:rPr>
              <w:t>role</w:t>
            </w:r>
            <w:proofErr w:type="gramEnd"/>
          </w:p>
          <w:p w14:paraId="2FD6CA2C" w14:textId="10A11890" w:rsidR="00BD2E70" w:rsidRPr="00BD2E70" w:rsidRDefault="00964A60" w:rsidP="003812CB">
            <w:pPr>
              <w:pStyle w:val="ListParagraph"/>
              <w:numPr>
                <w:ilvl w:val="0"/>
                <w:numId w:val="76"/>
              </w:numPr>
              <w:jc w:val="left"/>
              <w:rPr>
                <w:rFonts w:cs="Calibri"/>
                <w:color w:val="7030A0"/>
                <w:highlight w:val="yellow"/>
              </w:rPr>
            </w:pPr>
            <w:r>
              <w:rPr>
                <w:rFonts w:cs="Calibri"/>
                <w:color w:val="7030A0"/>
                <w:highlight w:val="yellow"/>
              </w:rPr>
              <w:t>[</w:t>
            </w:r>
            <w:r w:rsidR="00BD2E70">
              <w:rPr>
                <w:rFonts w:cs="Calibri"/>
                <w:color w:val="7030A0"/>
                <w:highlight w:val="yellow"/>
              </w:rPr>
              <w:t>tailor</w:t>
            </w:r>
            <w:r>
              <w:rPr>
                <w:rFonts w:cs="Calibri"/>
                <w:color w:val="7030A0"/>
                <w:highlight w:val="yellow"/>
              </w:rPr>
              <w:t>]</w:t>
            </w:r>
          </w:p>
          <w:p w14:paraId="3911093B" w14:textId="77777777" w:rsidR="00CF24A5" w:rsidRPr="005F763D" w:rsidRDefault="00CF24A5" w:rsidP="00CF24A5">
            <w:pPr>
              <w:jc w:val="left"/>
              <w:rPr>
                <w:rFonts w:cs="Calibri"/>
              </w:rPr>
            </w:pPr>
          </w:p>
          <w:p w14:paraId="5CF43A50" w14:textId="77777777" w:rsidR="00DA5B09" w:rsidRPr="00615B50" w:rsidRDefault="00DA5B09" w:rsidP="00DA5B09">
            <w:pPr>
              <w:jc w:val="left"/>
              <w:rPr>
                <w:rFonts w:cs="Calibri"/>
              </w:rPr>
            </w:pPr>
            <w:r w:rsidRPr="00615B50">
              <w:rPr>
                <w:rFonts w:cs="Calibri"/>
              </w:rPr>
              <w:t xml:space="preserve">Estate Planning is a specialist area and it is therefore important you obtain specialist professional legal advice in relation to all areas of your estate plan. </w:t>
            </w:r>
          </w:p>
          <w:p w14:paraId="21113F5B" w14:textId="77777777" w:rsidR="00DA5B09" w:rsidRPr="00615B50" w:rsidRDefault="00DA5B09" w:rsidP="00CF24A5">
            <w:pPr>
              <w:jc w:val="left"/>
              <w:rPr>
                <w:rFonts w:cs="Calibri"/>
              </w:rPr>
            </w:pPr>
          </w:p>
          <w:p w14:paraId="5D9BE5B6" w14:textId="0A2A888A" w:rsidR="00CF24A5" w:rsidRPr="005F763D" w:rsidRDefault="00DA5B09" w:rsidP="00CF24A5">
            <w:pPr>
              <w:jc w:val="left"/>
              <w:rPr>
                <w:rFonts w:cs="Calibri"/>
              </w:rPr>
            </w:pPr>
            <w:r w:rsidRPr="00615B50">
              <w:rPr>
                <w:rFonts w:cs="Calibri"/>
              </w:rPr>
              <w:t>Even if</w:t>
            </w:r>
            <w:r w:rsidR="00CF24A5" w:rsidRPr="00615B50">
              <w:rPr>
                <w:rFonts w:cs="Calibri"/>
              </w:rPr>
              <w:t xml:space="preserve"> you have a current Will in place, it is worthwhile reviewing </w:t>
            </w:r>
            <w:r w:rsidR="00E7033C" w:rsidRPr="00615B50">
              <w:rPr>
                <w:rFonts w:cs="Calibri"/>
              </w:rPr>
              <w:t xml:space="preserve">it </w:t>
            </w:r>
            <w:r w:rsidR="00CF24A5" w:rsidRPr="00615B50">
              <w:rPr>
                <w:rFonts w:cs="Calibri"/>
              </w:rPr>
              <w:t>these on a regular basis to ensure that they continue to fulfil your wishes.</w:t>
            </w:r>
          </w:p>
          <w:p w14:paraId="40C869AF" w14:textId="77777777" w:rsidR="00CF24A5" w:rsidRDefault="00CF24A5" w:rsidP="00CF24A5">
            <w:pPr>
              <w:jc w:val="left"/>
            </w:pPr>
          </w:p>
          <w:p w14:paraId="638B2DFF" w14:textId="2B579504" w:rsidR="00CF24A5" w:rsidRPr="009E4CB1" w:rsidRDefault="00CF24A5" w:rsidP="00CF24A5">
            <w:pPr>
              <w:jc w:val="left"/>
              <w:rPr>
                <w:color w:val="7030A0"/>
              </w:rPr>
            </w:pPr>
            <w:r w:rsidRPr="00DF45E1">
              <w:rPr>
                <w:color w:val="7030A0"/>
                <w:highlight w:val="yellow"/>
              </w:rPr>
              <w:t>[If you do not have a specialist Estate Planning solicitor, we can refer one to you.]</w:t>
            </w:r>
          </w:p>
          <w:p w14:paraId="00A52907" w14:textId="77777777" w:rsidR="00C82037" w:rsidRPr="005F763D" w:rsidRDefault="00C82037" w:rsidP="00C82037">
            <w:pPr>
              <w:jc w:val="left"/>
            </w:pPr>
          </w:p>
          <w:p w14:paraId="7897EB3F" w14:textId="77777777" w:rsidR="00475B61" w:rsidRPr="001A22F0" w:rsidRDefault="00475B61" w:rsidP="00CB435F">
            <w:pPr>
              <w:jc w:val="left"/>
            </w:pPr>
          </w:p>
        </w:tc>
      </w:tr>
    </w:tbl>
    <w:p w14:paraId="36B0FF6A" w14:textId="77777777" w:rsidR="00475B61" w:rsidRPr="005F763D" w:rsidRDefault="00475B61" w:rsidP="008C7CE9">
      <w:pPr>
        <w:jc w:val="left"/>
      </w:pPr>
    </w:p>
    <w:p w14:paraId="2996D172" w14:textId="77777777" w:rsidR="00C3421C" w:rsidRPr="005F763D" w:rsidRDefault="00C3421C" w:rsidP="008C7CE9">
      <w:pPr>
        <w:jc w:val="left"/>
      </w:pPr>
    </w:p>
    <w:p w14:paraId="54612435" w14:textId="77777777" w:rsidR="00C3421C" w:rsidRPr="005F763D" w:rsidRDefault="00C3421C" w:rsidP="008C7CE9">
      <w:pPr>
        <w:jc w:val="left"/>
      </w:pPr>
    </w:p>
    <w:p w14:paraId="2DB6EE74" w14:textId="77777777" w:rsidR="00C3421C" w:rsidRPr="005F763D" w:rsidRDefault="00C3421C" w:rsidP="008C7CE9">
      <w:pPr>
        <w:jc w:val="left"/>
        <w:rPr>
          <w:color w:val="002060"/>
          <w:sz w:val="24"/>
        </w:rPr>
      </w:pPr>
      <w:r w:rsidRPr="005F763D">
        <w:rPr>
          <w:color w:val="002060"/>
          <w:sz w:val="24"/>
        </w:rPr>
        <w:t>Powers of Attorney – Establish</w:t>
      </w:r>
    </w:p>
    <w:p w14:paraId="5DE6B2E1" w14:textId="611A630C" w:rsidR="00C3421C" w:rsidRDefault="00C3421C" w:rsidP="008C7CE9">
      <w:pPr>
        <w:jc w:val="left"/>
        <w:rPr>
          <w:highlight w:val="yellow"/>
        </w:rPr>
      </w:pPr>
    </w:p>
    <w:tbl>
      <w:tblPr>
        <w:tblStyle w:val="TableGrid"/>
        <w:tblW w:w="0" w:type="auto"/>
        <w:tblInd w:w="76" w:type="dxa"/>
        <w:tblLook w:val="04A0" w:firstRow="1" w:lastRow="0" w:firstColumn="1" w:lastColumn="0" w:noHBand="0" w:noVBand="1"/>
      </w:tblPr>
      <w:tblGrid>
        <w:gridCol w:w="2754"/>
        <w:gridCol w:w="6798"/>
      </w:tblGrid>
      <w:tr w:rsidR="008500EA" w:rsidRPr="001A22F0" w14:paraId="083EEEDD" w14:textId="77777777" w:rsidTr="00433956">
        <w:tc>
          <w:tcPr>
            <w:tcW w:w="2754" w:type="dxa"/>
          </w:tcPr>
          <w:p w14:paraId="7AC2FF03" w14:textId="5A7FF7EC" w:rsidR="008500EA" w:rsidRPr="00EA0A06" w:rsidRDefault="008500EA" w:rsidP="00E164DA">
            <w:pPr>
              <w:pStyle w:val="Instructions"/>
            </w:pPr>
          </w:p>
        </w:tc>
        <w:tc>
          <w:tcPr>
            <w:tcW w:w="6798" w:type="dxa"/>
          </w:tcPr>
          <w:p w14:paraId="139ECBDA" w14:textId="2291986C" w:rsidR="009D4C8A" w:rsidRPr="005F763D" w:rsidRDefault="009D4C8A" w:rsidP="009D4C8A">
            <w:pPr>
              <w:jc w:val="left"/>
            </w:pPr>
            <w:r w:rsidRPr="005F763D">
              <w:rPr>
                <w:color w:val="FF0000"/>
              </w:rPr>
              <w:t>[Name]</w:t>
            </w:r>
            <w:r w:rsidRPr="005F763D">
              <w:t xml:space="preserve">, </w:t>
            </w:r>
            <w:r>
              <w:t>y</w:t>
            </w:r>
            <w:r w:rsidRPr="005F763D">
              <w:t xml:space="preserve">ou have advised us you do not have a </w:t>
            </w:r>
            <w:r w:rsidRPr="00F048F0">
              <w:rPr>
                <w:color w:val="7030A0"/>
                <w:highlight w:val="yellow"/>
              </w:rPr>
              <w:t>[type]</w:t>
            </w:r>
            <w:r>
              <w:t xml:space="preserve"> </w:t>
            </w:r>
            <w:r w:rsidRPr="005F763D">
              <w:t>Power of Attorney.</w:t>
            </w:r>
          </w:p>
          <w:p w14:paraId="7E60106B" w14:textId="349C295E" w:rsidR="009D4C8A" w:rsidRDefault="009D4C8A" w:rsidP="00F55DC0">
            <w:pPr>
              <w:jc w:val="left"/>
              <w:rPr>
                <w:rFonts w:cs="Calibri"/>
              </w:rPr>
            </w:pPr>
          </w:p>
          <w:p w14:paraId="343E0CC7" w14:textId="4662CB5D" w:rsidR="00F55DC0" w:rsidRPr="00903EB4" w:rsidRDefault="008F71E2" w:rsidP="00F55DC0">
            <w:pPr>
              <w:jc w:val="left"/>
              <w:rPr>
                <w:rFonts w:cs="Calibri"/>
              </w:rPr>
            </w:pPr>
            <w:r w:rsidRPr="00903EB4">
              <w:rPr>
                <w:rFonts w:cs="Calibri"/>
              </w:rPr>
              <w:t xml:space="preserve">Estate Planning is the overall planning and documentation of your wishes for the distribution of your wealth following your death.  </w:t>
            </w:r>
            <w:r w:rsidR="00F55DC0" w:rsidRPr="00903EB4">
              <w:rPr>
                <w:rFonts w:cs="Calibri"/>
              </w:rPr>
              <w:t>It also deals with your wishes with regards to the control of your assets while you are still living but unable to exercise your own decisions.</w:t>
            </w:r>
          </w:p>
          <w:p w14:paraId="7CCF8ED0" w14:textId="77777777" w:rsidR="008500EA" w:rsidRPr="00903EB4" w:rsidRDefault="008500EA" w:rsidP="00CB435F">
            <w:pPr>
              <w:jc w:val="left"/>
            </w:pPr>
          </w:p>
          <w:p w14:paraId="511A9AB7" w14:textId="5C478778" w:rsidR="006C6A3D" w:rsidRPr="00903EB4" w:rsidRDefault="006C6A3D" w:rsidP="006C6A3D">
            <w:pPr>
              <w:jc w:val="left"/>
              <w:rPr>
                <w:rFonts w:cs="Calibri"/>
              </w:rPr>
            </w:pPr>
            <w:r w:rsidRPr="00903EB4">
              <w:rPr>
                <w:rFonts w:cs="Calibri"/>
              </w:rPr>
              <w:t xml:space="preserve">Estate Planning is a specialist area and it is therefore important you obtain specialist professional legal advice in relation to all areas of your estate plan. </w:t>
            </w:r>
          </w:p>
          <w:p w14:paraId="3F24FA6F" w14:textId="19DF208A" w:rsidR="00030542" w:rsidRPr="00903EB4" w:rsidRDefault="00030542" w:rsidP="006C6A3D">
            <w:pPr>
              <w:jc w:val="left"/>
              <w:rPr>
                <w:rFonts w:cs="Calibri"/>
              </w:rPr>
            </w:pPr>
          </w:p>
          <w:p w14:paraId="59E48A7F" w14:textId="77777777" w:rsidR="00030542" w:rsidRDefault="00030542" w:rsidP="00030542">
            <w:pPr>
              <w:jc w:val="left"/>
              <w:rPr>
                <w:rFonts w:cs="Calibri"/>
              </w:rPr>
            </w:pPr>
            <w:r w:rsidRPr="00903EB4">
              <w:rPr>
                <w:rFonts w:cs="Calibri"/>
              </w:rPr>
              <w:t>We outline below some of the issues you should consider:</w:t>
            </w:r>
          </w:p>
          <w:p w14:paraId="27B404BD" w14:textId="4A4A9F4B" w:rsidR="00030542" w:rsidRDefault="00030542" w:rsidP="003812CB">
            <w:pPr>
              <w:pStyle w:val="ListParagraph"/>
              <w:numPr>
                <w:ilvl w:val="0"/>
                <w:numId w:val="76"/>
              </w:numPr>
              <w:jc w:val="left"/>
              <w:rPr>
                <w:rFonts w:cs="Calibri"/>
                <w:color w:val="7030A0"/>
                <w:highlight w:val="yellow"/>
              </w:rPr>
            </w:pPr>
            <w:r>
              <w:rPr>
                <w:rFonts w:cs="Calibri"/>
                <w:color w:val="7030A0"/>
                <w:highlight w:val="yellow"/>
              </w:rPr>
              <w:t>[tailor]</w:t>
            </w:r>
          </w:p>
          <w:p w14:paraId="40268D3E" w14:textId="77777777" w:rsidR="00030542" w:rsidRPr="00BD2E70" w:rsidRDefault="00030542" w:rsidP="003812CB">
            <w:pPr>
              <w:pStyle w:val="ListParagraph"/>
              <w:numPr>
                <w:ilvl w:val="0"/>
                <w:numId w:val="76"/>
              </w:numPr>
              <w:jc w:val="left"/>
              <w:rPr>
                <w:rFonts w:cs="Calibri"/>
                <w:color w:val="7030A0"/>
                <w:highlight w:val="yellow"/>
              </w:rPr>
            </w:pPr>
            <w:r>
              <w:rPr>
                <w:rFonts w:cs="Calibri"/>
                <w:color w:val="7030A0"/>
                <w:highlight w:val="yellow"/>
              </w:rPr>
              <w:t>[tailor]</w:t>
            </w:r>
          </w:p>
          <w:p w14:paraId="1FF0207B" w14:textId="77777777" w:rsidR="00030542" w:rsidRDefault="00030542" w:rsidP="006C6A3D">
            <w:pPr>
              <w:jc w:val="left"/>
              <w:rPr>
                <w:rFonts w:cs="Calibri"/>
              </w:rPr>
            </w:pPr>
          </w:p>
          <w:p w14:paraId="418DFF09" w14:textId="0DA87588" w:rsidR="00030542" w:rsidRPr="00355A89" w:rsidRDefault="00030542" w:rsidP="00030542">
            <w:pPr>
              <w:jc w:val="left"/>
              <w:rPr>
                <w:color w:val="auto"/>
              </w:rPr>
            </w:pPr>
            <w:r w:rsidRPr="00E11BDB">
              <w:rPr>
                <w:color w:val="auto"/>
              </w:rPr>
              <w:t>If you do not have a specialist Estate Planning solicitor, we can refer one to you.</w:t>
            </w:r>
          </w:p>
          <w:p w14:paraId="25BE152C" w14:textId="71AC5F43" w:rsidR="008F71E2" w:rsidRPr="001A22F0" w:rsidRDefault="008F71E2" w:rsidP="00CB435F">
            <w:pPr>
              <w:jc w:val="left"/>
            </w:pPr>
          </w:p>
        </w:tc>
      </w:tr>
    </w:tbl>
    <w:p w14:paraId="13BD8697" w14:textId="77777777" w:rsidR="008500EA" w:rsidRDefault="008500EA" w:rsidP="008C7CE9">
      <w:pPr>
        <w:jc w:val="left"/>
      </w:pPr>
    </w:p>
    <w:p w14:paraId="2FB491EA" w14:textId="77777777" w:rsidR="00C3421C" w:rsidRPr="005F763D" w:rsidRDefault="00C3421C" w:rsidP="008C7CE9">
      <w:pPr>
        <w:jc w:val="left"/>
      </w:pPr>
    </w:p>
    <w:p w14:paraId="3D4E9B25" w14:textId="77777777" w:rsidR="00C3421C" w:rsidRPr="005F763D" w:rsidRDefault="00C3421C" w:rsidP="008C7CE9">
      <w:pPr>
        <w:jc w:val="left"/>
        <w:rPr>
          <w:color w:val="002060"/>
          <w:sz w:val="24"/>
        </w:rPr>
      </w:pPr>
      <w:r w:rsidRPr="005F763D">
        <w:rPr>
          <w:color w:val="002060"/>
          <w:sz w:val="24"/>
        </w:rPr>
        <w:t>Powers of Attorney – Review &amp; Update</w:t>
      </w:r>
    </w:p>
    <w:p w14:paraId="0BA2ABD1" w14:textId="3E5A9F8C" w:rsidR="00C3421C" w:rsidRDefault="00C3421C" w:rsidP="008C7CE9">
      <w:pPr>
        <w:jc w:val="left"/>
        <w:rPr>
          <w:highlight w:val="yellow"/>
        </w:rPr>
      </w:pPr>
    </w:p>
    <w:tbl>
      <w:tblPr>
        <w:tblStyle w:val="TableGrid"/>
        <w:tblW w:w="0" w:type="auto"/>
        <w:tblInd w:w="76" w:type="dxa"/>
        <w:tblLook w:val="04A0" w:firstRow="1" w:lastRow="0" w:firstColumn="1" w:lastColumn="0" w:noHBand="0" w:noVBand="1"/>
      </w:tblPr>
      <w:tblGrid>
        <w:gridCol w:w="2754"/>
        <w:gridCol w:w="6798"/>
      </w:tblGrid>
      <w:tr w:rsidR="007078AB" w:rsidRPr="001A22F0" w14:paraId="0C0C9FFB" w14:textId="77777777" w:rsidTr="00C633C4">
        <w:tc>
          <w:tcPr>
            <w:tcW w:w="2754" w:type="dxa"/>
          </w:tcPr>
          <w:p w14:paraId="791634AF" w14:textId="7A57035B" w:rsidR="007078AB" w:rsidRPr="00EA0A06" w:rsidRDefault="007078AB" w:rsidP="00E164DA">
            <w:pPr>
              <w:pStyle w:val="Instructions"/>
            </w:pPr>
          </w:p>
        </w:tc>
        <w:tc>
          <w:tcPr>
            <w:tcW w:w="6798" w:type="dxa"/>
          </w:tcPr>
          <w:p w14:paraId="513ECC90" w14:textId="6AD029F8" w:rsidR="00283EDE" w:rsidRPr="005F763D" w:rsidRDefault="00283EDE" w:rsidP="00283EDE">
            <w:pPr>
              <w:jc w:val="left"/>
            </w:pPr>
            <w:r w:rsidRPr="00903EB4">
              <w:t>You have indicated that you have</w:t>
            </w:r>
            <w:r w:rsidRPr="005F763D">
              <w:t xml:space="preserve"> </w:t>
            </w:r>
            <w:r w:rsidRPr="006046A9">
              <w:rPr>
                <w:color w:val="7030A0"/>
                <w:highlight w:val="yellow"/>
              </w:rPr>
              <w:t>[a]</w:t>
            </w:r>
            <w:r w:rsidRPr="005F763D">
              <w:t xml:space="preserve"> </w:t>
            </w:r>
            <w:r w:rsidRPr="00903EB4">
              <w:t>Power</w:t>
            </w:r>
            <w:r w:rsidRPr="006046A9">
              <w:rPr>
                <w:color w:val="7030A0"/>
                <w:highlight w:val="yellow"/>
              </w:rPr>
              <w:t>(s)</w:t>
            </w:r>
            <w:r w:rsidRPr="005F763D">
              <w:t xml:space="preserve"> </w:t>
            </w:r>
            <w:r w:rsidRPr="00903EB4">
              <w:t>of Attorney, however [</w:t>
            </w:r>
            <w:r w:rsidRPr="00536808">
              <w:rPr>
                <w:color w:val="7030A0"/>
                <w:highlight w:val="yellow"/>
              </w:rPr>
              <w:t xml:space="preserve">it is/ they </w:t>
            </w:r>
            <w:r w:rsidR="007A375D" w:rsidRPr="00536808">
              <w:rPr>
                <w:color w:val="7030A0"/>
                <w:highlight w:val="yellow"/>
              </w:rPr>
              <w:t>are</w:t>
            </w:r>
            <w:r w:rsidR="007A375D">
              <w:rPr>
                <w:color w:val="7030A0"/>
                <w:highlight w:val="yellow"/>
              </w:rPr>
              <w:t xml:space="preserve">] </w:t>
            </w:r>
            <w:r w:rsidR="007A375D" w:rsidRPr="00903EB4">
              <w:t>no</w:t>
            </w:r>
            <w:r w:rsidRPr="00903EB4">
              <w:t xml:space="preserve"> longer current.</w:t>
            </w:r>
          </w:p>
          <w:p w14:paraId="44719331" w14:textId="77777777" w:rsidR="00283EDE" w:rsidRDefault="00283EDE" w:rsidP="00A9053E">
            <w:pPr>
              <w:jc w:val="left"/>
              <w:rPr>
                <w:rFonts w:cs="Calibri"/>
              </w:rPr>
            </w:pPr>
          </w:p>
          <w:p w14:paraId="752841FD" w14:textId="3B36E810" w:rsidR="00A9053E" w:rsidRPr="004A6C71" w:rsidRDefault="00A9053E" w:rsidP="00A9053E">
            <w:pPr>
              <w:jc w:val="left"/>
              <w:rPr>
                <w:rFonts w:cs="Calibri"/>
              </w:rPr>
            </w:pPr>
            <w:r w:rsidRPr="004A6C71">
              <w:rPr>
                <w:rFonts w:cs="Calibri"/>
              </w:rPr>
              <w:t>Estate Planning is the overall planning and documentation of your wishes for the distribution of your wealth following your death.  It also deals with your wishes with regards to the control of your assets while you are still living but unable to exercise your own decisions.</w:t>
            </w:r>
          </w:p>
          <w:p w14:paraId="247872F5" w14:textId="77777777" w:rsidR="00A9053E" w:rsidRPr="004A6C71" w:rsidRDefault="00A9053E" w:rsidP="00A9053E">
            <w:pPr>
              <w:jc w:val="left"/>
            </w:pPr>
          </w:p>
          <w:p w14:paraId="3BDEF825" w14:textId="77777777" w:rsidR="00A9053E" w:rsidRPr="004A6C71" w:rsidRDefault="00A9053E" w:rsidP="00A9053E">
            <w:pPr>
              <w:jc w:val="left"/>
              <w:rPr>
                <w:rFonts w:cs="Calibri"/>
              </w:rPr>
            </w:pPr>
            <w:r w:rsidRPr="004A6C71">
              <w:rPr>
                <w:rFonts w:cs="Calibri"/>
              </w:rPr>
              <w:t xml:space="preserve">Estate Planning is a specialist area and it is therefore important you obtain specialist professional legal advice in relation to all areas of your estate plan. </w:t>
            </w:r>
          </w:p>
          <w:p w14:paraId="73E286CB" w14:textId="77777777" w:rsidR="00A9053E" w:rsidRPr="004A6C71" w:rsidRDefault="00A9053E" w:rsidP="00A9053E">
            <w:pPr>
              <w:jc w:val="left"/>
              <w:rPr>
                <w:rFonts w:cs="Calibri"/>
              </w:rPr>
            </w:pPr>
          </w:p>
          <w:p w14:paraId="545A1467" w14:textId="77777777" w:rsidR="00A9053E" w:rsidRDefault="00A9053E" w:rsidP="00A9053E">
            <w:pPr>
              <w:jc w:val="left"/>
              <w:rPr>
                <w:rFonts w:cs="Calibri"/>
              </w:rPr>
            </w:pPr>
            <w:r w:rsidRPr="004A6C71">
              <w:rPr>
                <w:rFonts w:cs="Calibri"/>
              </w:rPr>
              <w:lastRenderedPageBreak/>
              <w:t>We outline below some of the issues you should consider:</w:t>
            </w:r>
          </w:p>
          <w:p w14:paraId="1ECD9A99" w14:textId="77777777" w:rsidR="00A9053E" w:rsidRDefault="00A9053E" w:rsidP="003812CB">
            <w:pPr>
              <w:pStyle w:val="ListParagraph"/>
              <w:numPr>
                <w:ilvl w:val="0"/>
                <w:numId w:val="76"/>
              </w:numPr>
              <w:jc w:val="left"/>
              <w:rPr>
                <w:rFonts w:cs="Calibri"/>
                <w:color w:val="7030A0"/>
                <w:highlight w:val="yellow"/>
              </w:rPr>
            </w:pPr>
            <w:r>
              <w:rPr>
                <w:rFonts w:cs="Calibri"/>
                <w:color w:val="7030A0"/>
                <w:highlight w:val="yellow"/>
              </w:rPr>
              <w:t>[tailor]</w:t>
            </w:r>
          </w:p>
          <w:p w14:paraId="50B097A1" w14:textId="77777777" w:rsidR="00A9053E" w:rsidRPr="00BD2E70" w:rsidRDefault="00A9053E" w:rsidP="003812CB">
            <w:pPr>
              <w:pStyle w:val="ListParagraph"/>
              <w:numPr>
                <w:ilvl w:val="0"/>
                <w:numId w:val="76"/>
              </w:numPr>
              <w:jc w:val="left"/>
              <w:rPr>
                <w:rFonts w:cs="Calibri"/>
                <w:color w:val="7030A0"/>
                <w:highlight w:val="yellow"/>
              </w:rPr>
            </w:pPr>
            <w:r>
              <w:rPr>
                <w:rFonts w:cs="Calibri"/>
                <w:color w:val="7030A0"/>
                <w:highlight w:val="yellow"/>
              </w:rPr>
              <w:t>[tailor]</w:t>
            </w:r>
          </w:p>
          <w:p w14:paraId="21B5D03C" w14:textId="77777777" w:rsidR="00A9053E" w:rsidRDefault="00A9053E" w:rsidP="00A9053E">
            <w:pPr>
              <w:jc w:val="left"/>
              <w:rPr>
                <w:rFonts w:cs="Calibri"/>
              </w:rPr>
            </w:pPr>
          </w:p>
          <w:p w14:paraId="570251FB" w14:textId="4EE6F1B3" w:rsidR="00A9053E" w:rsidRPr="00AB3C48" w:rsidRDefault="00A9053E" w:rsidP="00A9053E">
            <w:pPr>
              <w:jc w:val="left"/>
              <w:rPr>
                <w:color w:val="auto"/>
              </w:rPr>
            </w:pPr>
            <w:r w:rsidRPr="00E11BDB">
              <w:rPr>
                <w:color w:val="auto"/>
              </w:rPr>
              <w:t>If you do not have a specialist Estate Planning solicitor, we can refer one to you.</w:t>
            </w:r>
          </w:p>
          <w:p w14:paraId="63F012C3" w14:textId="77777777" w:rsidR="007078AB" w:rsidRPr="001A22F0" w:rsidRDefault="007078AB" w:rsidP="007078AB">
            <w:pPr>
              <w:jc w:val="left"/>
            </w:pPr>
          </w:p>
        </w:tc>
      </w:tr>
    </w:tbl>
    <w:p w14:paraId="5A946652" w14:textId="77777777" w:rsidR="008500EA" w:rsidRPr="005F763D" w:rsidRDefault="008500EA" w:rsidP="008C7CE9">
      <w:pPr>
        <w:jc w:val="left"/>
        <w:rPr>
          <w:highlight w:val="yellow"/>
        </w:rPr>
      </w:pPr>
    </w:p>
    <w:p w14:paraId="16B364C9" w14:textId="77777777" w:rsidR="00C3421C" w:rsidRPr="005F763D" w:rsidRDefault="00C3421C" w:rsidP="008C7CE9">
      <w:pPr>
        <w:jc w:val="left"/>
      </w:pPr>
    </w:p>
    <w:p w14:paraId="7B2E333B" w14:textId="1D64B1F2" w:rsidR="00C3421C" w:rsidRPr="005F763D" w:rsidRDefault="00C3421C" w:rsidP="008C7CE9">
      <w:pPr>
        <w:jc w:val="left"/>
        <w:rPr>
          <w:color w:val="002060"/>
          <w:sz w:val="24"/>
        </w:rPr>
      </w:pPr>
      <w:r w:rsidRPr="005F763D">
        <w:rPr>
          <w:color w:val="002060"/>
          <w:sz w:val="24"/>
        </w:rPr>
        <w:t xml:space="preserve">Superannuation Death Benefit Nominations – </w:t>
      </w:r>
      <w:r w:rsidR="00347FD8">
        <w:rPr>
          <w:color w:val="002060"/>
          <w:sz w:val="24"/>
        </w:rPr>
        <w:t xml:space="preserve">New </w:t>
      </w:r>
      <w:r w:rsidRPr="005F763D">
        <w:rPr>
          <w:color w:val="002060"/>
          <w:sz w:val="24"/>
        </w:rPr>
        <w:t>Binding Nomination</w:t>
      </w:r>
    </w:p>
    <w:p w14:paraId="367051D3" w14:textId="34C9F9E9"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433956" w:rsidRPr="00E51BEA" w14:paraId="45A1C380" w14:textId="77777777" w:rsidTr="00433956">
        <w:tc>
          <w:tcPr>
            <w:tcW w:w="2754" w:type="dxa"/>
          </w:tcPr>
          <w:p w14:paraId="2B6EE9A1" w14:textId="77777777" w:rsidR="00433956" w:rsidRPr="00EA0A06" w:rsidRDefault="00433956"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5905913D" w14:textId="77777777" w:rsidR="00433956" w:rsidRPr="00E51BEA" w:rsidRDefault="00433956" w:rsidP="00D2574D">
            <w:pPr>
              <w:jc w:val="left"/>
              <w:rPr>
                <w:rFonts w:ascii="Calibri Light" w:hAnsi="Calibri Light"/>
              </w:rPr>
            </w:pPr>
          </w:p>
        </w:tc>
      </w:tr>
      <w:tr w:rsidR="008500EA" w:rsidRPr="001A22F0" w14:paraId="5E8FDC17" w14:textId="77777777" w:rsidTr="00433956">
        <w:tc>
          <w:tcPr>
            <w:tcW w:w="2754" w:type="dxa"/>
          </w:tcPr>
          <w:p w14:paraId="176AFE4A" w14:textId="77777777" w:rsidR="008500EA" w:rsidRPr="00EA0A06" w:rsidRDefault="008500EA" w:rsidP="00E164DA">
            <w:pPr>
              <w:pStyle w:val="Instructions"/>
            </w:pPr>
            <w:r w:rsidRPr="00EA0A06">
              <w:t>Title</w:t>
            </w:r>
          </w:p>
        </w:tc>
        <w:tc>
          <w:tcPr>
            <w:tcW w:w="6798" w:type="dxa"/>
          </w:tcPr>
          <w:p w14:paraId="7EAA190C" w14:textId="25AE15BF" w:rsidR="008500EA" w:rsidRPr="001A22F0" w:rsidRDefault="000853CD" w:rsidP="00CB435F">
            <w:pPr>
              <w:jc w:val="left"/>
            </w:pPr>
            <w:r>
              <w:t>Making a new Death Benefit Nomination</w:t>
            </w:r>
          </w:p>
        </w:tc>
      </w:tr>
      <w:tr w:rsidR="008500EA" w:rsidRPr="001A22F0" w14:paraId="2CAF1865" w14:textId="77777777" w:rsidTr="00433956">
        <w:tc>
          <w:tcPr>
            <w:tcW w:w="2754" w:type="dxa"/>
          </w:tcPr>
          <w:p w14:paraId="4FFB4C93" w14:textId="77777777" w:rsidR="008500EA" w:rsidRPr="00EA0A06" w:rsidRDefault="008500EA" w:rsidP="00E164DA">
            <w:pPr>
              <w:pStyle w:val="Instructions"/>
            </w:pPr>
            <w:r w:rsidRPr="00EA0A06">
              <w:t>Explanation</w:t>
            </w:r>
          </w:p>
        </w:tc>
        <w:tc>
          <w:tcPr>
            <w:tcW w:w="6798" w:type="dxa"/>
          </w:tcPr>
          <w:p w14:paraId="6749D3D2" w14:textId="1E9948BC" w:rsidR="008500EA" w:rsidRDefault="008A2F93" w:rsidP="00CB435F">
            <w:pPr>
              <w:jc w:val="left"/>
              <w:rPr>
                <w:color w:val="7030A0"/>
                <w:highlight w:val="green"/>
              </w:rPr>
            </w:pPr>
            <w:r w:rsidRPr="004A6C71">
              <w:t xml:space="preserve">Nominate </w:t>
            </w:r>
            <w:r w:rsidR="007A375D" w:rsidRPr="007A375D">
              <w:rPr>
                <w:highlight w:val="yellow"/>
              </w:rPr>
              <w:t>[</w:t>
            </w:r>
            <w:r w:rsidRPr="008A2F93">
              <w:rPr>
                <w:color w:val="7030A0"/>
                <w:highlight w:val="yellow"/>
              </w:rPr>
              <w:t>Name]</w:t>
            </w:r>
            <w:r w:rsidRPr="004A6C71">
              <w:t xml:space="preserve"> as your </w:t>
            </w:r>
            <w:r w:rsidRPr="007E7D1C">
              <w:rPr>
                <w:color w:val="7030A0"/>
                <w:highlight w:val="yellow"/>
              </w:rPr>
              <w:t>[binding], [non-binding], [non-lapsing]</w:t>
            </w:r>
            <w:r w:rsidRPr="004A6C71">
              <w:rPr>
                <w:color w:val="7030A0"/>
              </w:rPr>
              <w:t xml:space="preserve"> </w:t>
            </w:r>
            <w:r w:rsidR="007E7D1C" w:rsidRPr="006E7746">
              <w:rPr>
                <w:color w:val="auto"/>
              </w:rPr>
              <w:t>to receive your superannuation</w:t>
            </w:r>
            <w:r w:rsidR="0031500A" w:rsidRPr="006E7746">
              <w:rPr>
                <w:color w:val="auto"/>
              </w:rPr>
              <w:t xml:space="preserve"> from</w:t>
            </w:r>
            <w:r w:rsidR="007E7D1C" w:rsidRPr="006E7746">
              <w:rPr>
                <w:color w:val="auto"/>
                <w:highlight w:val="yellow"/>
              </w:rPr>
              <w:t xml:space="preserve"> </w:t>
            </w:r>
            <w:r w:rsidR="007E7D1C">
              <w:rPr>
                <w:color w:val="7030A0"/>
                <w:highlight w:val="yellow"/>
              </w:rPr>
              <w:t xml:space="preserve">[fund name] </w:t>
            </w:r>
            <w:r w:rsidR="007E7D1C" w:rsidRPr="006E7746">
              <w:rPr>
                <w:color w:val="auto"/>
              </w:rPr>
              <w:t>when you die.</w:t>
            </w:r>
          </w:p>
          <w:p w14:paraId="342D90C8" w14:textId="77777777" w:rsidR="007E7D1C" w:rsidRDefault="007E7D1C" w:rsidP="00CB435F">
            <w:pPr>
              <w:jc w:val="left"/>
              <w:rPr>
                <w:color w:val="7030A0"/>
                <w:highlight w:val="yellow"/>
              </w:rPr>
            </w:pPr>
          </w:p>
          <w:p w14:paraId="76B584A8" w14:textId="5E9F5AF8" w:rsidR="007E7D1C" w:rsidRPr="001A22F0" w:rsidRDefault="007E7D1C" w:rsidP="00CB435F">
            <w:pPr>
              <w:jc w:val="left"/>
            </w:pPr>
            <w:r w:rsidRPr="004A6C71">
              <w:t>This person qualifies as a valid death benefit recipient</w:t>
            </w:r>
            <w:r>
              <w:t xml:space="preserve"> </w:t>
            </w:r>
            <w:r w:rsidRPr="007E7D1C">
              <w:rPr>
                <w:color w:val="7030A0"/>
                <w:highlight w:val="yellow"/>
              </w:rPr>
              <w:t>[and tax-dependant]</w:t>
            </w:r>
            <w:r w:rsidRPr="007E7D1C">
              <w:rPr>
                <w:color w:val="7030A0"/>
              </w:rPr>
              <w:t xml:space="preserve"> </w:t>
            </w:r>
            <w:r w:rsidRPr="007E7D1C">
              <w:t>under the superannuation rules.</w:t>
            </w:r>
          </w:p>
        </w:tc>
      </w:tr>
      <w:tr w:rsidR="008500EA" w:rsidRPr="001A22F0" w14:paraId="251D33BD" w14:textId="77777777" w:rsidTr="00433956">
        <w:tc>
          <w:tcPr>
            <w:tcW w:w="2754" w:type="dxa"/>
          </w:tcPr>
          <w:p w14:paraId="54479BCE" w14:textId="77777777" w:rsidR="008500EA" w:rsidRPr="00EA0A06" w:rsidRDefault="008500EA" w:rsidP="00E164DA">
            <w:pPr>
              <w:pStyle w:val="Instructions"/>
            </w:pPr>
            <w:r w:rsidRPr="00EA0A06">
              <w:t>In your Best Interest</w:t>
            </w:r>
          </w:p>
        </w:tc>
        <w:tc>
          <w:tcPr>
            <w:tcW w:w="6798" w:type="dxa"/>
          </w:tcPr>
          <w:p w14:paraId="5A3101C1" w14:textId="77777777" w:rsidR="008500EA" w:rsidRPr="001A22F0" w:rsidRDefault="008500EA" w:rsidP="008A2F93">
            <w:pPr>
              <w:jc w:val="left"/>
            </w:pPr>
          </w:p>
        </w:tc>
      </w:tr>
      <w:tr w:rsidR="008500EA" w:rsidRPr="001A22F0" w14:paraId="74EFB7DC" w14:textId="77777777" w:rsidTr="00433956">
        <w:tc>
          <w:tcPr>
            <w:tcW w:w="2754" w:type="dxa"/>
          </w:tcPr>
          <w:p w14:paraId="6C569F57" w14:textId="77777777" w:rsidR="008500EA" w:rsidRPr="00EA0A06" w:rsidRDefault="008500EA" w:rsidP="00E164DA">
            <w:pPr>
              <w:pStyle w:val="Instructions"/>
            </w:pPr>
            <w:r w:rsidRPr="00EA0A06">
              <w:t>Further Detail</w:t>
            </w:r>
          </w:p>
        </w:tc>
        <w:tc>
          <w:tcPr>
            <w:tcW w:w="6798" w:type="dxa"/>
          </w:tcPr>
          <w:p w14:paraId="3F8E0CDB" w14:textId="77777777" w:rsidR="008A2F93" w:rsidRPr="005F763D" w:rsidRDefault="008A2F93">
            <w:pPr>
              <w:pStyle w:val="InterPracBullet"/>
              <w:numPr>
                <w:ilvl w:val="0"/>
                <w:numId w:val="37"/>
              </w:numPr>
            </w:pPr>
            <w:r w:rsidRPr="005F763D">
              <w:t xml:space="preserve">Making a death benefit nomination instructs the trustee of your superannuation fund to direct a death benefit payment directly to your nominated beneficiaries.  This situation is preferable to a </w:t>
            </w:r>
            <w:r>
              <w:rPr>
                <w:lang w:val="en-AU"/>
              </w:rPr>
              <w:t>n</w:t>
            </w:r>
            <w:r w:rsidRPr="005F763D">
              <w:t>on-</w:t>
            </w:r>
            <w:r>
              <w:rPr>
                <w:lang w:val="en-AU"/>
              </w:rPr>
              <w:t>b</w:t>
            </w:r>
            <w:proofErr w:type="spellStart"/>
            <w:r w:rsidRPr="005F763D">
              <w:t>inding</w:t>
            </w:r>
            <w:proofErr w:type="spellEnd"/>
            <w:r w:rsidRPr="005F763D">
              <w:t xml:space="preserve"> </w:t>
            </w:r>
            <w:r>
              <w:rPr>
                <w:lang w:val="en-AU"/>
              </w:rPr>
              <w:t>n</w:t>
            </w:r>
            <w:proofErr w:type="spellStart"/>
            <w:r w:rsidRPr="005F763D">
              <w:t>omination</w:t>
            </w:r>
            <w:proofErr w:type="spellEnd"/>
            <w:r w:rsidRPr="005F763D">
              <w:t xml:space="preserve"> whereby the fund Trustees may take your direction into account but are not bound to do so.</w:t>
            </w:r>
          </w:p>
          <w:p w14:paraId="479012B6" w14:textId="77777777" w:rsidR="008A2F93" w:rsidRPr="005F763D" w:rsidRDefault="008A2F93">
            <w:pPr>
              <w:pStyle w:val="InterPracBullet"/>
              <w:numPr>
                <w:ilvl w:val="0"/>
                <w:numId w:val="37"/>
              </w:numPr>
            </w:pPr>
            <w:r w:rsidRPr="005F763D">
              <w:t xml:space="preserve">A Binding Nomination can only be made in favour of a </w:t>
            </w:r>
            <w:r>
              <w:rPr>
                <w:lang w:val="en-AU"/>
              </w:rPr>
              <w:t>valid dependant as defined under Superannuation Law.</w:t>
            </w:r>
            <w:r w:rsidRPr="005F763D">
              <w:t xml:space="preserve"> </w:t>
            </w:r>
            <w:r>
              <w:rPr>
                <w:lang w:val="en-AU"/>
              </w:rPr>
              <w:t>D</w:t>
            </w:r>
            <w:proofErr w:type="spellStart"/>
            <w:r w:rsidRPr="005F763D">
              <w:t>epending</w:t>
            </w:r>
            <w:proofErr w:type="spellEnd"/>
            <w:r w:rsidRPr="005F763D">
              <w:t xml:space="preserve"> upon the superannuation fund</w:t>
            </w:r>
            <w:r>
              <w:rPr>
                <w:lang w:val="en-AU"/>
              </w:rPr>
              <w:t>, it</w:t>
            </w:r>
            <w:r w:rsidRPr="005F763D">
              <w:t xml:space="preserve"> </w:t>
            </w:r>
            <w:r>
              <w:rPr>
                <w:lang w:val="en-AU"/>
              </w:rPr>
              <w:t>may</w:t>
            </w:r>
            <w:r w:rsidRPr="005F763D">
              <w:t xml:space="preserve"> need to be renewed every three years.  Binding Nominations must also be witnessed by a person other than one of the nominated beneficiaries.</w:t>
            </w:r>
          </w:p>
          <w:p w14:paraId="7D2AB232" w14:textId="77777777" w:rsidR="008A2F93" w:rsidRPr="005F763D" w:rsidRDefault="008A2F93" w:rsidP="008A2F93">
            <w:pPr>
              <w:jc w:val="left"/>
            </w:pPr>
          </w:p>
          <w:p w14:paraId="6A031F73" w14:textId="77777777" w:rsidR="008A2F93" w:rsidRPr="005F763D" w:rsidRDefault="008A2F93" w:rsidP="008A2F93">
            <w:pPr>
              <w:jc w:val="left"/>
            </w:pPr>
            <w:r w:rsidRPr="005F763D">
              <w:t>Before proceeding, you should consider the following:</w:t>
            </w:r>
          </w:p>
          <w:p w14:paraId="14DA5F37" w14:textId="77777777" w:rsidR="008A2F93" w:rsidRDefault="008A2F93">
            <w:pPr>
              <w:pStyle w:val="InterPracBullet"/>
              <w:numPr>
                <w:ilvl w:val="0"/>
                <w:numId w:val="37"/>
              </w:numPr>
            </w:pPr>
            <w:r w:rsidRPr="005F763D">
              <w:t xml:space="preserve">In future your wishes may change in relation to a nominated beneficiary, </w:t>
            </w:r>
            <w:r>
              <w:rPr>
                <w:lang w:val="en-AU"/>
              </w:rPr>
              <w:t>and nominations that automatically lapse after</w:t>
            </w:r>
            <w:r w:rsidRPr="005F763D">
              <w:t xml:space="preserve"> three year</w:t>
            </w:r>
            <w:r>
              <w:rPr>
                <w:lang w:val="en-AU"/>
              </w:rPr>
              <w:t>s</w:t>
            </w:r>
            <w:r w:rsidRPr="005F763D">
              <w:t xml:space="preserve"> provide a </w:t>
            </w:r>
            <w:r>
              <w:rPr>
                <w:lang w:val="en-AU"/>
              </w:rPr>
              <w:t>periodic trigger</w:t>
            </w:r>
            <w:r w:rsidRPr="005F763D">
              <w:t xml:space="preserve"> to review your preference.  </w:t>
            </w:r>
          </w:p>
          <w:p w14:paraId="18836BB1" w14:textId="77777777" w:rsidR="008A2F93" w:rsidRPr="005F763D" w:rsidRDefault="008A2F93">
            <w:pPr>
              <w:pStyle w:val="InterPracBullet"/>
              <w:numPr>
                <w:ilvl w:val="0"/>
                <w:numId w:val="37"/>
              </w:numPr>
            </w:pPr>
            <w:r w:rsidRPr="005F763D">
              <w:t>However, should a situation occur where you wish to remove a beneficiary</w:t>
            </w:r>
            <w:r>
              <w:rPr>
                <w:lang w:val="en-AU"/>
              </w:rPr>
              <w:t>,</w:t>
            </w:r>
            <w:r w:rsidRPr="005F763D">
              <w:t xml:space="preserve"> this can be changed at any time by simply making a new nomination.</w:t>
            </w:r>
          </w:p>
          <w:p w14:paraId="21E9018E" w14:textId="77777777" w:rsidR="008500EA" w:rsidRDefault="008500EA" w:rsidP="00CB435F">
            <w:pPr>
              <w:jc w:val="left"/>
            </w:pPr>
          </w:p>
          <w:p w14:paraId="4A0275DE" w14:textId="77777777" w:rsidR="00AF7BE8" w:rsidRPr="00747286" w:rsidRDefault="00AF7BE8">
            <w:pPr>
              <w:pStyle w:val="InterPracBullet"/>
              <w:numPr>
                <w:ilvl w:val="0"/>
                <w:numId w:val="37"/>
              </w:numPr>
              <w:rPr>
                <w:highlight w:val="lightGray"/>
              </w:rPr>
            </w:pPr>
            <w:r w:rsidRPr="00747286">
              <w:rPr>
                <w:highlight w:val="lightGray"/>
              </w:rPr>
              <w:t xml:space="preserve">A binding death benefit nomination can be made to ensure the proceeds of the </w:t>
            </w:r>
            <w:commentRangeStart w:id="19"/>
            <w:r w:rsidRPr="00747286">
              <w:rPr>
                <w:highlight w:val="lightGray"/>
              </w:rPr>
              <w:t>policy</w:t>
            </w:r>
            <w:commentRangeEnd w:id="19"/>
            <w:r w:rsidR="000574E1">
              <w:rPr>
                <w:rStyle w:val="CommentReference"/>
                <w:rFonts w:eastAsia="MS Mincho"/>
                <w:lang w:val="en-AU" w:eastAsia="ja-JP"/>
              </w:rPr>
              <w:commentReference w:id="19"/>
            </w:r>
            <w:r w:rsidRPr="00747286">
              <w:rPr>
                <w:highlight w:val="lightGray"/>
              </w:rPr>
              <w:t xml:space="preserve"> will be paid in accordance with your wishes.</w:t>
            </w:r>
          </w:p>
          <w:p w14:paraId="1B080498" w14:textId="77777777" w:rsidR="00AF7BE8" w:rsidRPr="00747286" w:rsidRDefault="00AF7BE8">
            <w:pPr>
              <w:pStyle w:val="InterPracBullet"/>
              <w:numPr>
                <w:ilvl w:val="0"/>
                <w:numId w:val="37"/>
              </w:numPr>
              <w:rPr>
                <w:highlight w:val="lightGray"/>
              </w:rPr>
            </w:pPr>
            <w:r w:rsidRPr="00747286">
              <w:rPr>
                <w:highlight w:val="lightGray"/>
              </w:rPr>
              <w:t>The nomination may only be valid for 3 years. In that case, a new nomination form needs to be provided to the trustee every 3 years to ensure that your nomination is valid.</w:t>
            </w:r>
          </w:p>
          <w:p w14:paraId="1DA4ECC0" w14:textId="77777777" w:rsidR="00AF7BE8" w:rsidRPr="00747286" w:rsidRDefault="00AF7BE8">
            <w:pPr>
              <w:pStyle w:val="InterPracBullet"/>
              <w:numPr>
                <w:ilvl w:val="0"/>
                <w:numId w:val="37"/>
              </w:numPr>
              <w:rPr>
                <w:highlight w:val="lightGray"/>
              </w:rPr>
            </w:pPr>
            <w:r w:rsidRPr="00747286">
              <w:rPr>
                <w:highlight w:val="lightGray"/>
              </w:rPr>
              <w:t>Further information on Binding Death Nominations can be found in the attached appendices.</w:t>
            </w:r>
          </w:p>
          <w:p w14:paraId="62EEEC6C" w14:textId="77777777" w:rsidR="00AF7BE8" w:rsidRPr="00747286" w:rsidRDefault="00AF7BE8">
            <w:pPr>
              <w:pStyle w:val="InterPracBullet"/>
              <w:numPr>
                <w:ilvl w:val="0"/>
                <w:numId w:val="37"/>
              </w:numPr>
              <w:rPr>
                <w:highlight w:val="lightGray"/>
              </w:rPr>
            </w:pPr>
            <w:r w:rsidRPr="00747286">
              <w:rPr>
                <w:highlight w:val="lightGray"/>
              </w:rPr>
              <w:t>Taxation of death benefits payments can be increased on the amounts paid to non-dependant beneficiaries (as determined under Taxation law) because of an insurance payout.</w:t>
            </w:r>
          </w:p>
          <w:p w14:paraId="02F0DC3B" w14:textId="77777777" w:rsidR="00AF7BE8" w:rsidRPr="00747286" w:rsidRDefault="00AF7BE8">
            <w:pPr>
              <w:pStyle w:val="InterPracBullet"/>
              <w:numPr>
                <w:ilvl w:val="0"/>
                <w:numId w:val="37"/>
              </w:numPr>
              <w:rPr>
                <w:highlight w:val="lightGray"/>
              </w:rPr>
            </w:pPr>
            <w:r w:rsidRPr="00747286">
              <w:rPr>
                <w:highlight w:val="lightGray"/>
              </w:rPr>
              <w:t>Access to benefit payments can be slow.</w:t>
            </w:r>
          </w:p>
          <w:p w14:paraId="6D3D739C" w14:textId="7E036641" w:rsidR="00AF7BE8" w:rsidRDefault="00AF7BE8">
            <w:pPr>
              <w:pStyle w:val="InterPracBullet"/>
              <w:numPr>
                <w:ilvl w:val="0"/>
                <w:numId w:val="37"/>
              </w:numPr>
              <w:rPr>
                <w:highlight w:val="lightGray"/>
              </w:rPr>
            </w:pPr>
            <w:r w:rsidRPr="00747286">
              <w:rPr>
                <w:highlight w:val="lightGray"/>
              </w:rPr>
              <w:t xml:space="preserve">Inability to pay the </w:t>
            </w:r>
            <w:r w:rsidRPr="00747286">
              <w:rPr>
                <w:highlight w:val="lightGray"/>
                <w:lang w:val="en-AU"/>
              </w:rPr>
              <w:t xml:space="preserve">insured </w:t>
            </w:r>
            <w:r w:rsidRPr="00747286">
              <w:rPr>
                <w:highlight w:val="lightGray"/>
              </w:rPr>
              <w:t>benefit to non-dependant beneficiaries</w:t>
            </w:r>
            <w:r w:rsidRPr="00747286">
              <w:rPr>
                <w:highlight w:val="lightGray"/>
                <w:lang w:val="en-AU"/>
              </w:rPr>
              <w:t xml:space="preserve"> as </w:t>
            </w:r>
            <w:r w:rsidRPr="00DE584C">
              <w:rPr>
                <w:highlight w:val="lightGray"/>
              </w:rPr>
              <w:t>determined under Superannuation Law</w:t>
            </w:r>
            <w:r w:rsidRPr="00747286">
              <w:rPr>
                <w:highlight w:val="lightGray"/>
              </w:rPr>
              <w:t>.</w:t>
            </w:r>
          </w:p>
          <w:p w14:paraId="028920B6" w14:textId="2932F246" w:rsidR="00DE584C" w:rsidRPr="00DE584C" w:rsidRDefault="00CC2A93">
            <w:pPr>
              <w:pStyle w:val="InterPracBullet"/>
              <w:numPr>
                <w:ilvl w:val="0"/>
                <w:numId w:val="37"/>
              </w:numPr>
              <w:rPr>
                <w:highlight w:val="lightGray"/>
              </w:rPr>
            </w:pPr>
            <w:r>
              <w:rPr>
                <w:highlight w:val="lightGray"/>
                <w:lang w:val="en-AU"/>
              </w:rPr>
              <w:t>I</w:t>
            </w:r>
            <w:r w:rsidR="00DE584C" w:rsidRPr="00DE584C">
              <w:rPr>
                <w:highlight w:val="lightGray"/>
              </w:rPr>
              <w:t xml:space="preserve">f the nominated person is not a dependant as defined under the Superannuation legislation, the nomination will be invalid and the trustees </w:t>
            </w:r>
            <w:r w:rsidR="00DE584C" w:rsidRPr="00DE584C">
              <w:rPr>
                <w:highlight w:val="lightGray"/>
              </w:rPr>
              <w:lastRenderedPageBreak/>
              <w:t xml:space="preserve">will decide whom to pay. In certain circumstances, a binding nomination </w:t>
            </w:r>
            <w:r>
              <w:rPr>
                <w:highlight w:val="lightGray"/>
                <w:lang w:val="en-AU"/>
              </w:rPr>
              <w:t>might</w:t>
            </w:r>
            <w:r w:rsidR="00DE584C" w:rsidRPr="00DE584C">
              <w:rPr>
                <w:highlight w:val="lightGray"/>
              </w:rPr>
              <w:t xml:space="preserve"> be overruled by a court order. </w:t>
            </w:r>
          </w:p>
          <w:p w14:paraId="61B88B21" w14:textId="77777777" w:rsidR="00DE584C" w:rsidRPr="00DE584C" w:rsidRDefault="00DE584C">
            <w:pPr>
              <w:pStyle w:val="InterPracBullet"/>
              <w:rPr>
                <w:highlight w:val="lightGray"/>
              </w:rPr>
            </w:pPr>
            <w:r w:rsidRPr="00DE584C">
              <w:rPr>
                <w:highlight w:val="lightGray"/>
              </w:rPr>
              <w:t>This risk can be minimised if your binding nomination is considered in conjunction with your Will.</w:t>
            </w:r>
          </w:p>
          <w:p w14:paraId="7FBE66D9" w14:textId="5E89E80B" w:rsidR="00DE584C" w:rsidRPr="00DE584C" w:rsidRDefault="00DE584C">
            <w:pPr>
              <w:pStyle w:val="InterPracBullet"/>
              <w:numPr>
                <w:ilvl w:val="0"/>
                <w:numId w:val="37"/>
              </w:numPr>
              <w:rPr>
                <w:highlight w:val="lightGray"/>
              </w:rPr>
            </w:pPr>
            <w:r w:rsidRPr="00DE584C">
              <w:rPr>
                <w:highlight w:val="lightGray"/>
              </w:rPr>
              <w:t>If trustee discretion applies and disputes arise in relation to a beneficiary</w:t>
            </w:r>
            <w:r w:rsidR="00CC2A93">
              <w:rPr>
                <w:highlight w:val="lightGray"/>
                <w:lang w:val="en-AU"/>
              </w:rPr>
              <w:t>,</w:t>
            </w:r>
            <w:r w:rsidRPr="00DE584C">
              <w:rPr>
                <w:highlight w:val="lightGray"/>
              </w:rPr>
              <w:t xml:space="preserve"> it can take a long period of time to resolve the dispute. The Superannuation Complaints Tribunal may need to mediate or decide </w:t>
            </w:r>
            <w:r w:rsidR="00CC2A93">
              <w:rPr>
                <w:highlight w:val="lightGray"/>
                <w:lang w:val="en-AU"/>
              </w:rPr>
              <w:t xml:space="preserve">to </w:t>
            </w:r>
            <w:r w:rsidRPr="00DE584C">
              <w:rPr>
                <w:highlight w:val="lightGray"/>
              </w:rPr>
              <w:t>who</w:t>
            </w:r>
            <w:r w:rsidR="00CC2A93">
              <w:rPr>
                <w:highlight w:val="lightGray"/>
                <w:lang w:val="en-AU"/>
              </w:rPr>
              <w:t>m</w:t>
            </w:r>
            <w:r w:rsidRPr="00DE584C">
              <w:rPr>
                <w:highlight w:val="lightGray"/>
              </w:rPr>
              <w:t xml:space="preserve"> the benefit is paid. </w:t>
            </w:r>
          </w:p>
          <w:p w14:paraId="467C9F53" w14:textId="01C045AF" w:rsidR="00DE584C" w:rsidRPr="00DE584C" w:rsidRDefault="00DE584C">
            <w:pPr>
              <w:pStyle w:val="InterPracBullet"/>
              <w:numPr>
                <w:ilvl w:val="0"/>
                <w:numId w:val="37"/>
              </w:numPr>
              <w:rPr>
                <w:highlight w:val="lightGray"/>
              </w:rPr>
            </w:pPr>
            <w:r w:rsidRPr="00DE584C">
              <w:rPr>
                <w:highlight w:val="lightGray"/>
              </w:rPr>
              <w:t xml:space="preserve">Non-dependents can only receive funds as a lump sum </w:t>
            </w:r>
            <w:r w:rsidR="00CC2A93">
              <w:rPr>
                <w:highlight w:val="lightGray"/>
                <w:lang w:val="en-AU"/>
              </w:rPr>
              <w:t>as</w:t>
            </w:r>
            <w:r w:rsidRPr="00DE584C">
              <w:rPr>
                <w:highlight w:val="lightGray"/>
              </w:rPr>
              <w:t xml:space="preserve"> they do not have the option to draw a death benefit pension.</w:t>
            </w:r>
          </w:p>
          <w:p w14:paraId="6376B94E" w14:textId="77777777" w:rsidR="00DE584C" w:rsidRPr="00747286" w:rsidRDefault="00DE584C">
            <w:pPr>
              <w:pStyle w:val="InterPracBullet"/>
              <w:rPr>
                <w:highlight w:val="lightGray"/>
              </w:rPr>
            </w:pPr>
          </w:p>
          <w:p w14:paraId="522BC9F6" w14:textId="6BCA1409" w:rsidR="00AF7BE8" w:rsidRPr="001A22F0" w:rsidRDefault="00AF7BE8" w:rsidP="00CB435F">
            <w:pPr>
              <w:jc w:val="left"/>
            </w:pPr>
          </w:p>
        </w:tc>
      </w:tr>
    </w:tbl>
    <w:p w14:paraId="549BC701" w14:textId="77777777" w:rsidR="008500EA" w:rsidRDefault="008500EA" w:rsidP="008C7CE9">
      <w:pPr>
        <w:jc w:val="left"/>
      </w:pPr>
    </w:p>
    <w:p w14:paraId="582D5182" w14:textId="77777777" w:rsidR="00C3421C" w:rsidRPr="005F763D" w:rsidRDefault="00C3421C" w:rsidP="008C7CE9">
      <w:pPr>
        <w:jc w:val="left"/>
      </w:pPr>
    </w:p>
    <w:p w14:paraId="5D9CBCF8" w14:textId="77777777" w:rsidR="00C3421C" w:rsidRPr="005F763D" w:rsidRDefault="00C3421C" w:rsidP="008C7CE9">
      <w:pPr>
        <w:jc w:val="left"/>
        <w:rPr>
          <w:color w:val="002060"/>
          <w:sz w:val="24"/>
        </w:rPr>
      </w:pPr>
      <w:r w:rsidRPr="005F763D">
        <w:rPr>
          <w:color w:val="002060"/>
          <w:sz w:val="24"/>
        </w:rPr>
        <w:t>Superannuation Death Benefit Nominations – Renew Existing Binding Nominations</w:t>
      </w:r>
    </w:p>
    <w:p w14:paraId="610A60A4" w14:textId="175B3422"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9C21F0" w:rsidRPr="00E51BEA" w14:paraId="7F00A36B" w14:textId="77777777" w:rsidTr="009C21F0">
        <w:tc>
          <w:tcPr>
            <w:tcW w:w="2754" w:type="dxa"/>
          </w:tcPr>
          <w:p w14:paraId="5C581ED2" w14:textId="77777777" w:rsidR="009C21F0" w:rsidRPr="00EA0A06" w:rsidRDefault="009C21F0"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BA333A2" w14:textId="77777777" w:rsidR="009C21F0" w:rsidRPr="00E51BEA" w:rsidRDefault="009C21F0" w:rsidP="00D2574D">
            <w:pPr>
              <w:jc w:val="left"/>
              <w:rPr>
                <w:rFonts w:ascii="Calibri Light" w:hAnsi="Calibri Light"/>
              </w:rPr>
            </w:pPr>
          </w:p>
        </w:tc>
      </w:tr>
      <w:tr w:rsidR="008500EA" w:rsidRPr="001A22F0" w14:paraId="0F6FDCA2" w14:textId="77777777" w:rsidTr="009C21F0">
        <w:tc>
          <w:tcPr>
            <w:tcW w:w="2754" w:type="dxa"/>
          </w:tcPr>
          <w:p w14:paraId="73A64212" w14:textId="77777777" w:rsidR="008500EA" w:rsidRPr="00EA0A06" w:rsidRDefault="008500EA" w:rsidP="00E164DA">
            <w:pPr>
              <w:pStyle w:val="Instructions"/>
            </w:pPr>
            <w:r w:rsidRPr="00EA0A06">
              <w:t>Title</w:t>
            </w:r>
          </w:p>
        </w:tc>
        <w:tc>
          <w:tcPr>
            <w:tcW w:w="6798" w:type="dxa"/>
          </w:tcPr>
          <w:p w14:paraId="4C41B2A9" w14:textId="7728A61A" w:rsidR="008500EA" w:rsidRPr="001A22F0" w:rsidRDefault="00E66BEB" w:rsidP="00CB435F">
            <w:pPr>
              <w:jc w:val="left"/>
            </w:pPr>
            <w:r>
              <w:t>Renew a</w:t>
            </w:r>
            <w:r w:rsidR="00E153CC">
              <w:t>n existing</w:t>
            </w:r>
            <w:r w:rsidR="00EB355C">
              <w:t xml:space="preserve"> </w:t>
            </w:r>
            <w:r w:rsidR="00CB2107">
              <w:t>Death Benefit Nomination</w:t>
            </w:r>
          </w:p>
        </w:tc>
      </w:tr>
      <w:tr w:rsidR="008500EA" w:rsidRPr="001A22F0" w14:paraId="276DDE5F" w14:textId="77777777" w:rsidTr="009C21F0">
        <w:tc>
          <w:tcPr>
            <w:tcW w:w="2754" w:type="dxa"/>
          </w:tcPr>
          <w:p w14:paraId="516FE128" w14:textId="77777777" w:rsidR="008500EA" w:rsidRPr="00EA0A06" w:rsidRDefault="008500EA" w:rsidP="00E164DA">
            <w:pPr>
              <w:pStyle w:val="Instructions"/>
            </w:pPr>
            <w:r w:rsidRPr="00EA0A06">
              <w:t>Explanation</w:t>
            </w:r>
          </w:p>
        </w:tc>
        <w:tc>
          <w:tcPr>
            <w:tcW w:w="6798" w:type="dxa"/>
          </w:tcPr>
          <w:p w14:paraId="5773A036" w14:textId="1EC3B408" w:rsidR="00EB355C" w:rsidRPr="005F763D" w:rsidRDefault="00F44F99" w:rsidP="00EB355C">
            <w:pPr>
              <w:jc w:val="left"/>
            </w:pPr>
            <w:proofErr w:type="spellStart"/>
            <w:r>
              <w:t>R</w:t>
            </w:r>
            <w:r w:rsidR="00EB355C" w:rsidRPr="004A6C71">
              <w:t>enewi</w:t>
            </w:r>
            <w:proofErr w:type="spellEnd"/>
            <w:r w:rsidR="00EB355C" w:rsidRPr="004A6C71">
              <w:t xml:space="preserve"> your existing binding death benefit nominations</w:t>
            </w:r>
            <w:r w:rsidR="002F3B8E">
              <w:t>.</w:t>
            </w:r>
            <w:r>
              <w:t xml:space="preserve"> in </w:t>
            </w:r>
            <w:r w:rsidRPr="002F3B8E">
              <w:rPr>
                <w:color w:val="7030A0"/>
                <w:highlight w:val="yellow"/>
              </w:rPr>
              <w:t>[Product/Platform]</w:t>
            </w:r>
          </w:p>
          <w:p w14:paraId="4C1D9F1C" w14:textId="54DE6CB3" w:rsidR="008500EA" w:rsidRPr="001A22F0" w:rsidRDefault="008500EA" w:rsidP="003812CB">
            <w:pPr>
              <w:pStyle w:val="ListParagraph"/>
              <w:numPr>
                <w:ilvl w:val="0"/>
                <w:numId w:val="77"/>
              </w:numPr>
              <w:jc w:val="left"/>
            </w:pPr>
          </w:p>
        </w:tc>
      </w:tr>
      <w:tr w:rsidR="008500EA" w:rsidRPr="001A22F0" w14:paraId="4CA1D83A" w14:textId="77777777" w:rsidTr="009C21F0">
        <w:tc>
          <w:tcPr>
            <w:tcW w:w="2754" w:type="dxa"/>
          </w:tcPr>
          <w:p w14:paraId="3CF8BD40" w14:textId="77777777" w:rsidR="008500EA" w:rsidRPr="00EA0A06" w:rsidRDefault="008500EA" w:rsidP="00E164DA">
            <w:pPr>
              <w:pStyle w:val="Instructions"/>
            </w:pPr>
            <w:r w:rsidRPr="00EA0A06">
              <w:t>In your Best Interest</w:t>
            </w:r>
          </w:p>
        </w:tc>
        <w:tc>
          <w:tcPr>
            <w:tcW w:w="6798" w:type="dxa"/>
          </w:tcPr>
          <w:p w14:paraId="2D8118D1" w14:textId="77777777" w:rsidR="008500EA" w:rsidRPr="001A22F0" w:rsidRDefault="008500EA" w:rsidP="00CB435F">
            <w:pPr>
              <w:jc w:val="left"/>
            </w:pPr>
          </w:p>
        </w:tc>
      </w:tr>
      <w:tr w:rsidR="008500EA" w:rsidRPr="001A22F0" w14:paraId="3DEB8F47" w14:textId="77777777" w:rsidTr="009C21F0">
        <w:tc>
          <w:tcPr>
            <w:tcW w:w="2754" w:type="dxa"/>
          </w:tcPr>
          <w:p w14:paraId="77F0FBCA" w14:textId="77777777" w:rsidR="008500EA" w:rsidRPr="00EA0A06" w:rsidRDefault="008500EA" w:rsidP="00E164DA">
            <w:pPr>
              <w:pStyle w:val="Instructions"/>
            </w:pPr>
            <w:r w:rsidRPr="00EA0A06">
              <w:t>Further Detail</w:t>
            </w:r>
          </w:p>
        </w:tc>
        <w:tc>
          <w:tcPr>
            <w:tcW w:w="6798" w:type="dxa"/>
          </w:tcPr>
          <w:p w14:paraId="06FF26CE" w14:textId="77777777" w:rsidR="00EB355C" w:rsidRPr="004A6C71" w:rsidRDefault="00EB355C">
            <w:pPr>
              <w:pStyle w:val="InterPracBullet"/>
              <w:numPr>
                <w:ilvl w:val="0"/>
                <w:numId w:val="48"/>
              </w:numPr>
            </w:pPr>
            <w:r w:rsidRPr="004A6C71">
              <w:t xml:space="preserve">Making a death benefit nomination instructs the trustee of your superannuation fund to direct a death benefit payment directly to your nominated beneficiaries.  This situation is preferable to a </w:t>
            </w:r>
            <w:r w:rsidRPr="004A6C71">
              <w:rPr>
                <w:lang w:val="en-AU"/>
              </w:rPr>
              <w:t>n</w:t>
            </w:r>
            <w:r w:rsidRPr="004A6C71">
              <w:t>on-</w:t>
            </w:r>
            <w:r w:rsidRPr="004A6C71">
              <w:rPr>
                <w:lang w:val="en-AU"/>
              </w:rPr>
              <w:t>b</w:t>
            </w:r>
            <w:proofErr w:type="spellStart"/>
            <w:r w:rsidRPr="004A6C71">
              <w:t>inding</w:t>
            </w:r>
            <w:proofErr w:type="spellEnd"/>
            <w:r w:rsidRPr="004A6C71">
              <w:t xml:space="preserve"> </w:t>
            </w:r>
            <w:r w:rsidRPr="004A6C71">
              <w:rPr>
                <w:lang w:val="en-AU"/>
              </w:rPr>
              <w:t>n</w:t>
            </w:r>
            <w:proofErr w:type="spellStart"/>
            <w:r w:rsidRPr="004A6C71">
              <w:t>omination</w:t>
            </w:r>
            <w:proofErr w:type="spellEnd"/>
            <w:r w:rsidRPr="004A6C71">
              <w:t xml:space="preserve"> whereby the fund Trustees may take your direction into account but are not bound to do so.</w:t>
            </w:r>
          </w:p>
          <w:p w14:paraId="058058F9" w14:textId="77777777" w:rsidR="00EB355C" w:rsidRPr="004A6C71" w:rsidRDefault="00EB355C">
            <w:pPr>
              <w:pStyle w:val="InterPracBullet"/>
              <w:numPr>
                <w:ilvl w:val="0"/>
                <w:numId w:val="48"/>
              </w:numPr>
            </w:pPr>
            <w:r w:rsidRPr="004A6C71">
              <w:t xml:space="preserve">A Binding Nomination can only be made in favour of a </w:t>
            </w:r>
            <w:r w:rsidRPr="004A6C71">
              <w:rPr>
                <w:lang w:val="en-AU"/>
              </w:rPr>
              <w:t>valid dependant as defined under Superannuation Law.</w:t>
            </w:r>
            <w:r w:rsidRPr="004A6C71">
              <w:t xml:space="preserve"> </w:t>
            </w:r>
            <w:r w:rsidRPr="004A6C71">
              <w:rPr>
                <w:lang w:val="en-AU"/>
              </w:rPr>
              <w:t>D</w:t>
            </w:r>
            <w:proofErr w:type="spellStart"/>
            <w:r w:rsidRPr="004A6C71">
              <w:t>epending</w:t>
            </w:r>
            <w:proofErr w:type="spellEnd"/>
            <w:r w:rsidRPr="004A6C71">
              <w:t xml:space="preserve"> upon the superannuation fund</w:t>
            </w:r>
            <w:r w:rsidRPr="004A6C71">
              <w:rPr>
                <w:lang w:val="en-AU"/>
              </w:rPr>
              <w:t>,</w:t>
            </w:r>
            <w:r w:rsidRPr="004A6C71">
              <w:t xml:space="preserve"> </w:t>
            </w:r>
            <w:r w:rsidRPr="004A6C71">
              <w:rPr>
                <w:lang w:val="en-AU"/>
              </w:rPr>
              <w:t xml:space="preserve">it may </w:t>
            </w:r>
            <w:r w:rsidRPr="004A6C71">
              <w:t>need to be renewed every three years.  Binding Nominations must also be witnessed by a person other than one of the nominated beneficiaries.</w:t>
            </w:r>
          </w:p>
          <w:p w14:paraId="27E1FB69" w14:textId="77777777" w:rsidR="00EB355C" w:rsidRPr="004A6C71" w:rsidRDefault="00EB355C" w:rsidP="00EB355C">
            <w:pPr>
              <w:jc w:val="left"/>
            </w:pPr>
          </w:p>
          <w:p w14:paraId="2376B267" w14:textId="77777777" w:rsidR="00EB355C" w:rsidRPr="004A6C71" w:rsidRDefault="00EB355C" w:rsidP="00EB355C">
            <w:pPr>
              <w:jc w:val="left"/>
            </w:pPr>
            <w:r w:rsidRPr="004A6C71">
              <w:t>Before proceeding, you should consider the following:</w:t>
            </w:r>
          </w:p>
          <w:p w14:paraId="65F1D0D6" w14:textId="34D95296" w:rsidR="001C4C47" w:rsidRPr="004A6C71" w:rsidRDefault="001C4C47">
            <w:pPr>
              <w:pStyle w:val="InterPracBullet"/>
              <w:numPr>
                <w:ilvl w:val="0"/>
                <w:numId w:val="49"/>
              </w:numPr>
            </w:pPr>
            <w:r w:rsidRPr="004A6C71">
              <w:rPr>
                <w:lang w:val="en-AU"/>
              </w:rPr>
              <w:t>I</w:t>
            </w:r>
            <w:r w:rsidR="00EB355C" w:rsidRPr="004A6C71">
              <w:t xml:space="preserve">n future your wishes may change in relation to a nominated beneficiary, </w:t>
            </w:r>
          </w:p>
          <w:p w14:paraId="2F318362" w14:textId="032EF625" w:rsidR="00EB355C" w:rsidRPr="004A6C71" w:rsidRDefault="001C4C47">
            <w:pPr>
              <w:pStyle w:val="InterPracBullet"/>
              <w:numPr>
                <w:ilvl w:val="0"/>
                <w:numId w:val="49"/>
              </w:numPr>
            </w:pPr>
            <w:r w:rsidRPr="004A6C71">
              <w:t>Some</w:t>
            </w:r>
            <w:r w:rsidR="00EB355C" w:rsidRPr="004A6C71">
              <w:t xml:space="preserve"> nominations  automatically lapse after three years provide a periodic trigger to review your preference.  </w:t>
            </w:r>
          </w:p>
          <w:p w14:paraId="198A1B33" w14:textId="405C6419" w:rsidR="00EB355C" w:rsidRPr="004A6C71" w:rsidRDefault="001C4C47">
            <w:pPr>
              <w:pStyle w:val="InterPracBullet"/>
              <w:numPr>
                <w:ilvl w:val="0"/>
                <w:numId w:val="49"/>
              </w:numPr>
            </w:pPr>
            <w:r w:rsidRPr="004A6C71">
              <w:rPr>
                <w:lang w:val="en-AU"/>
              </w:rPr>
              <w:t>S</w:t>
            </w:r>
            <w:proofErr w:type="spellStart"/>
            <w:r w:rsidR="00EB355C" w:rsidRPr="004A6C71">
              <w:t>hould</w:t>
            </w:r>
            <w:proofErr w:type="spellEnd"/>
            <w:r w:rsidR="00EB355C" w:rsidRPr="004A6C71">
              <w:t xml:space="preserve"> a situation occur where you wish to remove a beneficiary</w:t>
            </w:r>
            <w:r w:rsidR="00EB355C" w:rsidRPr="004A6C71">
              <w:rPr>
                <w:lang w:val="en-AU"/>
              </w:rPr>
              <w:t>,</w:t>
            </w:r>
            <w:r w:rsidR="00EB355C" w:rsidRPr="004A6C71">
              <w:t xml:space="preserve"> this can be changed at any time by simply making a new nomination.</w:t>
            </w:r>
          </w:p>
          <w:p w14:paraId="72F86299" w14:textId="77777777" w:rsidR="008500EA" w:rsidRPr="004A6C71" w:rsidRDefault="008500EA" w:rsidP="00CB435F">
            <w:pPr>
              <w:jc w:val="left"/>
            </w:pPr>
          </w:p>
        </w:tc>
      </w:tr>
    </w:tbl>
    <w:p w14:paraId="7A87C882" w14:textId="77777777" w:rsidR="008500EA" w:rsidRDefault="008500EA" w:rsidP="008C7CE9">
      <w:pPr>
        <w:jc w:val="left"/>
      </w:pPr>
    </w:p>
    <w:p w14:paraId="1597CDAD" w14:textId="03DDE959" w:rsidR="00C3421C" w:rsidRPr="005F763D" w:rsidRDefault="00C3421C">
      <w:pPr>
        <w:pStyle w:val="InterPracBullet"/>
      </w:pPr>
    </w:p>
    <w:p w14:paraId="7BBA19D8" w14:textId="77777777" w:rsidR="00C3421C" w:rsidRPr="005F763D" w:rsidRDefault="00C3421C" w:rsidP="008C7CE9">
      <w:pPr>
        <w:jc w:val="left"/>
      </w:pPr>
    </w:p>
    <w:p w14:paraId="2D7E75EC" w14:textId="77777777" w:rsidR="00C3421C" w:rsidRPr="005F763D" w:rsidRDefault="00C3421C" w:rsidP="008C7CE9">
      <w:pPr>
        <w:jc w:val="left"/>
        <w:rPr>
          <w:color w:val="002060"/>
          <w:sz w:val="24"/>
        </w:rPr>
      </w:pPr>
      <w:r w:rsidRPr="005F763D">
        <w:rPr>
          <w:color w:val="002060"/>
          <w:sz w:val="24"/>
        </w:rPr>
        <w:t>Funeral Bonds</w:t>
      </w:r>
    </w:p>
    <w:p w14:paraId="677E9B59" w14:textId="26BE240C"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9C21F0" w:rsidRPr="00E51BEA" w14:paraId="220EF0C5" w14:textId="77777777" w:rsidTr="009C21F0">
        <w:tc>
          <w:tcPr>
            <w:tcW w:w="2754" w:type="dxa"/>
          </w:tcPr>
          <w:p w14:paraId="2D80F694" w14:textId="77777777" w:rsidR="009C21F0" w:rsidRPr="00EA0A06" w:rsidRDefault="009C21F0"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7805A24" w14:textId="77777777" w:rsidR="009C21F0" w:rsidRPr="00E51BEA" w:rsidRDefault="009C21F0" w:rsidP="00D2574D">
            <w:pPr>
              <w:jc w:val="left"/>
              <w:rPr>
                <w:rFonts w:ascii="Calibri Light" w:hAnsi="Calibri Light"/>
              </w:rPr>
            </w:pPr>
          </w:p>
        </w:tc>
      </w:tr>
      <w:tr w:rsidR="00882CFF" w:rsidRPr="001A22F0" w14:paraId="4EE7AA60" w14:textId="77777777" w:rsidTr="009C21F0">
        <w:tc>
          <w:tcPr>
            <w:tcW w:w="2754" w:type="dxa"/>
          </w:tcPr>
          <w:p w14:paraId="228FD4C8" w14:textId="77777777" w:rsidR="00882CFF" w:rsidRPr="00EA0A06" w:rsidRDefault="00882CFF" w:rsidP="00E164DA">
            <w:pPr>
              <w:pStyle w:val="Instructions"/>
            </w:pPr>
            <w:r w:rsidRPr="00EA0A06">
              <w:t>Title</w:t>
            </w:r>
          </w:p>
        </w:tc>
        <w:tc>
          <w:tcPr>
            <w:tcW w:w="6798" w:type="dxa"/>
          </w:tcPr>
          <w:p w14:paraId="02E2B934" w14:textId="211CC921" w:rsidR="00882CFF" w:rsidRPr="001A22F0" w:rsidRDefault="00D02FE6" w:rsidP="00CB435F">
            <w:pPr>
              <w:jc w:val="left"/>
            </w:pPr>
            <w:r>
              <w:t>Pre-paying for your funeral</w:t>
            </w:r>
            <w:r w:rsidR="00640943">
              <w:t xml:space="preserve"> using Funeral </w:t>
            </w:r>
            <w:r w:rsidR="006C406F">
              <w:t>Bo</w:t>
            </w:r>
            <w:r w:rsidR="00640943">
              <w:t>nds</w:t>
            </w:r>
          </w:p>
        </w:tc>
      </w:tr>
      <w:tr w:rsidR="00882CFF" w:rsidRPr="001A22F0" w14:paraId="1AFC0C67" w14:textId="77777777" w:rsidTr="009C21F0">
        <w:tc>
          <w:tcPr>
            <w:tcW w:w="2754" w:type="dxa"/>
          </w:tcPr>
          <w:p w14:paraId="287FFE58" w14:textId="77777777" w:rsidR="00882CFF" w:rsidRPr="00EA0A06" w:rsidRDefault="00882CFF" w:rsidP="00E164DA">
            <w:pPr>
              <w:pStyle w:val="Instructions"/>
            </w:pPr>
            <w:r w:rsidRPr="00EA0A06">
              <w:t>Explanation</w:t>
            </w:r>
          </w:p>
        </w:tc>
        <w:tc>
          <w:tcPr>
            <w:tcW w:w="6798" w:type="dxa"/>
          </w:tcPr>
          <w:p w14:paraId="688377F3" w14:textId="77777777" w:rsidR="002140F4" w:rsidRPr="005F763D" w:rsidRDefault="002140F4" w:rsidP="002140F4">
            <w:pPr>
              <w:jc w:val="left"/>
            </w:pPr>
            <w:r w:rsidRPr="005F763D">
              <w:t xml:space="preserve">We recommend you </w:t>
            </w:r>
            <w:r w:rsidRPr="000D0191">
              <w:rPr>
                <w:color w:val="7030A0"/>
                <w:highlight w:val="yellow"/>
              </w:rPr>
              <w:t>[each]</w:t>
            </w:r>
            <w:r w:rsidRPr="000D0191">
              <w:rPr>
                <w:color w:val="7030A0"/>
              </w:rPr>
              <w:t xml:space="preserve"> </w:t>
            </w:r>
            <w:r w:rsidRPr="005F763D">
              <w:t>invest $</w:t>
            </w:r>
            <w:r w:rsidRPr="005F763D">
              <w:rPr>
                <w:color w:val="FF0000"/>
              </w:rPr>
              <w:t>[_</w:t>
            </w:r>
            <w:proofErr w:type="gramStart"/>
            <w:r w:rsidRPr="005F763D">
              <w:rPr>
                <w:color w:val="FF0000"/>
              </w:rPr>
              <w:t>_,_</w:t>
            </w:r>
            <w:proofErr w:type="gramEnd"/>
            <w:r w:rsidRPr="005F763D">
              <w:rPr>
                <w:color w:val="FF0000"/>
              </w:rPr>
              <w:t>__]</w:t>
            </w:r>
            <w:r w:rsidRPr="005F763D">
              <w:t xml:space="preserve"> into a funeral bond.  The funds will be sourced from </w:t>
            </w:r>
            <w:r w:rsidRPr="005F763D">
              <w:rPr>
                <w:color w:val="FF0000"/>
              </w:rPr>
              <w:t>[insert source of funds]</w:t>
            </w:r>
            <w:r w:rsidRPr="005F763D">
              <w:t>.</w:t>
            </w:r>
          </w:p>
          <w:p w14:paraId="514D3BCD" w14:textId="77777777" w:rsidR="00882CFF" w:rsidRPr="001A22F0" w:rsidRDefault="00882CFF" w:rsidP="00CB435F">
            <w:pPr>
              <w:jc w:val="left"/>
            </w:pPr>
          </w:p>
        </w:tc>
      </w:tr>
      <w:tr w:rsidR="00882CFF" w:rsidRPr="001A22F0" w14:paraId="7B2E202B" w14:textId="77777777" w:rsidTr="009C21F0">
        <w:tc>
          <w:tcPr>
            <w:tcW w:w="2754" w:type="dxa"/>
          </w:tcPr>
          <w:p w14:paraId="52749898" w14:textId="77777777" w:rsidR="00882CFF" w:rsidRPr="00EA0A06" w:rsidRDefault="00882CFF" w:rsidP="00E164DA">
            <w:pPr>
              <w:pStyle w:val="Instructions"/>
            </w:pPr>
            <w:r w:rsidRPr="00EA0A06">
              <w:t>In your Best Interest</w:t>
            </w:r>
          </w:p>
        </w:tc>
        <w:tc>
          <w:tcPr>
            <w:tcW w:w="6798" w:type="dxa"/>
          </w:tcPr>
          <w:p w14:paraId="5E0EDC81" w14:textId="77777777" w:rsidR="00882CFF" w:rsidRPr="00140D01" w:rsidRDefault="00882CFF">
            <w:pPr>
              <w:pStyle w:val="InterPracBullet"/>
            </w:pPr>
          </w:p>
        </w:tc>
      </w:tr>
      <w:tr w:rsidR="00882CFF" w:rsidRPr="001A22F0" w14:paraId="26121FCA" w14:textId="77777777" w:rsidTr="009C21F0">
        <w:tc>
          <w:tcPr>
            <w:tcW w:w="2754" w:type="dxa"/>
          </w:tcPr>
          <w:p w14:paraId="3395139F" w14:textId="77777777" w:rsidR="00882CFF" w:rsidRPr="00EA0A06" w:rsidRDefault="00882CFF" w:rsidP="00E164DA">
            <w:pPr>
              <w:pStyle w:val="Instructions"/>
            </w:pPr>
            <w:r w:rsidRPr="00EA0A06">
              <w:lastRenderedPageBreak/>
              <w:t>Further Detail</w:t>
            </w:r>
          </w:p>
        </w:tc>
        <w:tc>
          <w:tcPr>
            <w:tcW w:w="6798" w:type="dxa"/>
          </w:tcPr>
          <w:p w14:paraId="647564E6" w14:textId="77777777" w:rsidR="00B114CC" w:rsidRPr="00140D01" w:rsidRDefault="00B114CC">
            <w:pPr>
              <w:pStyle w:val="InterPracBullet"/>
            </w:pPr>
            <w:r w:rsidRPr="00140D01">
              <w:t>We estimate that this will increase your Centrelink Age Pension by approximately $</w:t>
            </w:r>
            <w:r w:rsidRPr="00140D01">
              <w:rPr>
                <w:color w:val="FF0000"/>
              </w:rPr>
              <w:t>[__,___]</w:t>
            </w:r>
            <w:r w:rsidRPr="00140D01">
              <w:t xml:space="preserve"> per annum.</w:t>
            </w:r>
          </w:p>
          <w:p w14:paraId="0CAA2B14" w14:textId="2F67EA3A" w:rsidR="00355E6D" w:rsidRPr="00140D01" w:rsidRDefault="00355E6D">
            <w:pPr>
              <w:pStyle w:val="InterPracBullet"/>
            </w:pPr>
            <w:r w:rsidRPr="00140D01">
              <w:t>Typically</w:t>
            </w:r>
            <w:r w:rsidRPr="00140D01">
              <w:rPr>
                <w:lang w:val="en-AU"/>
              </w:rPr>
              <w:t xml:space="preserve">, </w:t>
            </w:r>
            <w:proofErr w:type="spellStart"/>
            <w:r w:rsidRPr="00140D01">
              <w:rPr>
                <w:lang w:val="en-AU"/>
              </w:rPr>
              <w:t>t</w:t>
            </w:r>
            <w:r w:rsidRPr="00140D01">
              <w:t>he</w:t>
            </w:r>
            <w:proofErr w:type="spellEnd"/>
            <w:r w:rsidRPr="00140D01">
              <w:t xml:space="preserve"> benefits of this recommendation</w:t>
            </w:r>
            <w:r w:rsidRPr="00140D01">
              <w:rPr>
                <w:lang w:val="en-AU"/>
              </w:rPr>
              <w:t xml:space="preserve"> are</w:t>
            </w:r>
            <w:r w:rsidRPr="00140D01">
              <w:t xml:space="preserve">: </w:t>
            </w:r>
          </w:p>
          <w:p w14:paraId="40DCBDA6" w14:textId="77777777" w:rsidR="002140F4" w:rsidRPr="00140D01" w:rsidRDefault="002140F4">
            <w:pPr>
              <w:pStyle w:val="InterPracBullet"/>
              <w:numPr>
                <w:ilvl w:val="0"/>
                <w:numId w:val="88"/>
              </w:numPr>
            </w:pPr>
            <w:r w:rsidRPr="00140D01">
              <w:t>Your funeral expenses will be pre-paid and therefore organised.</w:t>
            </w:r>
          </w:p>
          <w:p w14:paraId="6F64665D" w14:textId="485EBFBE" w:rsidR="002140F4" w:rsidRPr="00140D01" w:rsidRDefault="002140F4">
            <w:pPr>
              <w:pStyle w:val="InterPracBullet"/>
              <w:numPr>
                <w:ilvl w:val="0"/>
                <w:numId w:val="88"/>
              </w:numPr>
            </w:pPr>
            <w:r w:rsidRPr="00140D01">
              <w:t>These investments are exempt from Centrelink’s Assets Test, up to the limit of $1</w:t>
            </w:r>
            <w:r w:rsidR="001F4515">
              <w:rPr>
                <w:lang w:val="en-AU"/>
              </w:rPr>
              <w:t>3</w:t>
            </w:r>
            <w:r w:rsidRPr="00140D01">
              <w:t>,</w:t>
            </w:r>
            <w:r w:rsidR="008B7D85">
              <w:rPr>
                <w:lang w:val="en-AU"/>
              </w:rPr>
              <w:t>5</w:t>
            </w:r>
            <w:commentRangeStart w:id="20"/>
            <w:r w:rsidRPr="00140D01">
              <w:t>00</w:t>
            </w:r>
            <w:commentRangeEnd w:id="20"/>
            <w:r w:rsidR="001F4515">
              <w:rPr>
                <w:rStyle w:val="CommentReference"/>
                <w:rFonts w:eastAsia="MS Mincho"/>
                <w:lang w:val="en-AU" w:eastAsia="ja-JP"/>
              </w:rPr>
              <w:commentReference w:id="20"/>
            </w:r>
            <w:r w:rsidRPr="00140D01">
              <w:t xml:space="preserve"> each You can each purchase a funeral bond, reducing your Centrelink assessable assets by a combined amount of $2</w:t>
            </w:r>
            <w:r w:rsidR="008B7D85">
              <w:rPr>
                <w:lang w:val="en-AU"/>
              </w:rPr>
              <w:t>7</w:t>
            </w:r>
            <w:r w:rsidRPr="00140D01">
              <w:t>,000.</w:t>
            </w:r>
          </w:p>
          <w:p w14:paraId="20477F4D" w14:textId="77777777" w:rsidR="002140F4" w:rsidRPr="00140D01" w:rsidRDefault="002140F4" w:rsidP="002140F4">
            <w:pPr>
              <w:jc w:val="left"/>
            </w:pPr>
          </w:p>
          <w:p w14:paraId="71EB6BFC" w14:textId="16830E87" w:rsidR="002140F4" w:rsidRPr="00140D01" w:rsidRDefault="00547234" w:rsidP="002140F4">
            <w:pPr>
              <w:jc w:val="left"/>
              <w:rPr>
                <w:rFonts w:ascii="Wingdings" w:hAnsi="Wingdings" w:hint="eastAsia"/>
              </w:rPr>
            </w:pPr>
            <w:r w:rsidRPr="00140D01">
              <w:t>Typically,</w:t>
            </w:r>
            <w:r w:rsidR="00B55425" w:rsidRPr="00140D01">
              <w:t xml:space="preserve"> t</w:t>
            </w:r>
            <w:r w:rsidR="002140F4" w:rsidRPr="00140D01">
              <w:t>he risks associated with this recommendation are:</w:t>
            </w:r>
          </w:p>
          <w:p w14:paraId="6F9A9988" w14:textId="77777777" w:rsidR="002140F4" w:rsidRPr="00140D01" w:rsidRDefault="002140F4">
            <w:pPr>
              <w:pStyle w:val="InterPracBullet"/>
              <w:numPr>
                <w:ilvl w:val="0"/>
                <w:numId w:val="88"/>
              </w:numPr>
            </w:pPr>
            <w:r w:rsidRPr="00140D01">
              <w:t>You lose access to the capital invested.</w:t>
            </w:r>
          </w:p>
          <w:p w14:paraId="1900E155" w14:textId="77777777" w:rsidR="002140F4" w:rsidRPr="00140D01" w:rsidRDefault="002140F4">
            <w:pPr>
              <w:pStyle w:val="InterPracBullet"/>
              <w:numPr>
                <w:ilvl w:val="0"/>
                <w:numId w:val="88"/>
              </w:numPr>
            </w:pPr>
            <w:r w:rsidRPr="00140D01">
              <w:t>Historically poor investment returns.</w:t>
            </w:r>
          </w:p>
          <w:p w14:paraId="791E9A4B" w14:textId="77777777" w:rsidR="00882CFF" w:rsidRPr="00140D01" w:rsidRDefault="00882CFF" w:rsidP="00CB435F">
            <w:pPr>
              <w:jc w:val="left"/>
            </w:pPr>
          </w:p>
        </w:tc>
      </w:tr>
    </w:tbl>
    <w:p w14:paraId="5C6A32F6" w14:textId="77777777" w:rsidR="00882CFF" w:rsidRPr="005F763D" w:rsidRDefault="00882CFF" w:rsidP="008C7CE9">
      <w:pPr>
        <w:jc w:val="left"/>
      </w:pPr>
    </w:p>
    <w:p w14:paraId="54899171" w14:textId="212F125B" w:rsidR="00C3421C" w:rsidRDefault="00C3421C" w:rsidP="008C7CE9">
      <w:pPr>
        <w:jc w:val="left"/>
        <w:rPr>
          <w:highlight w:val="yellow"/>
        </w:rPr>
      </w:pPr>
    </w:p>
    <w:p w14:paraId="25DFF631" w14:textId="77777777" w:rsidR="00800D94" w:rsidRPr="005F763D" w:rsidRDefault="00800D94" w:rsidP="008C7CE9">
      <w:pPr>
        <w:jc w:val="left"/>
        <w:rPr>
          <w:highlight w:val="yellow"/>
        </w:rPr>
      </w:pPr>
    </w:p>
    <w:p w14:paraId="3C9D7477" w14:textId="77777777" w:rsidR="00C3421C" w:rsidRPr="005F763D" w:rsidRDefault="00C3421C" w:rsidP="008C7CE9">
      <w:pPr>
        <w:jc w:val="left"/>
        <w:rPr>
          <w:color w:val="002060"/>
          <w:sz w:val="24"/>
        </w:rPr>
      </w:pPr>
      <w:r w:rsidRPr="005F763D">
        <w:rPr>
          <w:color w:val="002060"/>
          <w:sz w:val="24"/>
        </w:rPr>
        <w:t>Testamentary Trusts</w:t>
      </w:r>
    </w:p>
    <w:p w14:paraId="7F89DFF4" w14:textId="68140DEF"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882CFF" w:rsidRPr="001A22F0" w14:paraId="247C8FAB" w14:textId="77777777" w:rsidTr="000A047B">
        <w:tc>
          <w:tcPr>
            <w:tcW w:w="2754" w:type="dxa"/>
          </w:tcPr>
          <w:p w14:paraId="2BA8B2A4" w14:textId="75EEBC74" w:rsidR="00882CFF" w:rsidRPr="00EA0A06" w:rsidRDefault="00882CFF" w:rsidP="00E164DA">
            <w:pPr>
              <w:pStyle w:val="Instructions"/>
            </w:pPr>
          </w:p>
        </w:tc>
        <w:tc>
          <w:tcPr>
            <w:tcW w:w="6798" w:type="dxa"/>
          </w:tcPr>
          <w:p w14:paraId="49AC722F" w14:textId="2D618A51" w:rsidR="00EF2EC0" w:rsidRDefault="00EF2EC0" w:rsidP="00EF2EC0">
            <w:pPr>
              <w:jc w:val="left"/>
            </w:pPr>
            <w:r w:rsidRPr="005F763D">
              <w:t xml:space="preserve">A testamentary trust is established under a Will and activated as a result of death of the testator (person making the Will).  </w:t>
            </w:r>
            <w:r>
              <w:t xml:space="preserve">All or part of </w:t>
            </w:r>
            <w:r w:rsidR="00547234">
              <w:t xml:space="preserve">the </w:t>
            </w:r>
            <w:r w:rsidR="00547234" w:rsidRPr="005F763D">
              <w:t>assets</w:t>
            </w:r>
            <w:r w:rsidRPr="005F763D">
              <w:t xml:space="preserve"> that form part of the testator’s estate can be placed into a testamentary trust</w:t>
            </w:r>
            <w:r>
              <w:t xml:space="preserve"> when the will-maker deceases</w:t>
            </w:r>
            <w:r w:rsidRPr="005F763D">
              <w:t xml:space="preserve">.  </w:t>
            </w:r>
          </w:p>
          <w:p w14:paraId="77A55E58" w14:textId="77777777" w:rsidR="00EF2EC0" w:rsidRDefault="00EF2EC0" w:rsidP="00EF2EC0">
            <w:pPr>
              <w:jc w:val="left"/>
            </w:pPr>
          </w:p>
          <w:p w14:paraId="1E215E0A" w14:textId="3E5C3CFC" w:rsidR="00EF2EC0" w:rsidRDefault="00EF2EC0" w:rsidP="00EF2EC0">
            <w:pPr>
              <w:jc w:val="left"/>
            </w:pPr>
            <w:r>
              <w:t>For example</w:t>
            </w:r>
            <w:r w:rsidRPr="005F763D">
              <w:t xml:space="preserve">, </w:t>
            </w:r>
            <w:r>
              <w:t xml:space="preserve">the assets of </w:t>
            </w:r>
            <w:r w:rsidRPr="005F763D">
              <w:t xml:space="preserve">a family trust </w:t>
            </w:r>
            <w:r>
              <w:t xml:space="preserve">could not automatically pass into a testamentary trust when the person dies as a </w:t>
            </w:r>
            <w:r w:rsidRPr="005F763D">
              <w:t xml:space="preserve">family trust </w:t>
            </w:r>
            <w:r>
              <w:t xml:space="preserve">does </w:t>
            </w:r>
            <w:r w:rsidRPr="005F763D">
              <w:t xml:space="preserve">not form part of </w:t>
            </w:r>
            <w:r>
              <w:t>the deceased’s</w:t>
            </w:r>
            <w:r w:rsidRPr="005F763D">
              <w:t xml:space="preserve"> estate</w:t>
            </w:r>
            <w:r>
              <w:t xml:space="preserve"> despite any provisions in the Will</w:t>
            </w:r>
            <w:r w:rsidRPr="005F763D">
              <w:t xml:space="preserve">.  </w:t>
            </w:r>
            <w:r>
              <w:t xml:space="preserve">Similarly, superannuation and insurance </w:t>
            </w:r>
            <w:r w:rsidR="00547234">
              <w:t>policy proceeds</w:t>
            </w:r>
            <w:r>
              <w:t xml:space="preserve"> are not automatically estate assets. However, an established testamentary trust can subsequently acquire other assets.</w:t>
            </w:r>
          </w:p>
          <w:p w14:paraId="01217A15" w14:textId="77777777" w:rsidR="00EF2EC0" w:rsidRDefault="00EF2EC0" w:rsidP="00EF2EC0">
            <w:pPr>
              <w:jc w:val="left"/>
            </w:pPr>
          </w:p>
          <w:p w14:paraId="7C551FF0" w14:textId="538C40BD" w:rsidR="00EF2EC0" w:rsidRPr="005F763D" w:rsidRDefault="00EF2EC0" w:rsidP="00EF2EC0">
            <w:pPr>
              <w:jc w:val="left"/>
            </w:pPr>
            <w:r w:rsidRPr="005F763D">
              <w:t xml:space="preserve">The trustee has discretion over the distribution of income and capital to beneficiaries.  In some circumstances, the law will set up a testamentary trust when beneficiaries are unable to hold or deal with property in their own name i.e. minor </w:t>
            </w:r>
            <w:r w:rsidR="00547234">
              <w:t>children.</w:t>
            </w:r>
          </w:p>
          <w:p w14:paraId="68B72FC0" w14:textId="77777777" w:rsidR="00EF2EC0" w:rsidRPr="005F763D" w:rsidRDefault="00EF2EC0" w:rsidP="00EF2EC0">
            <w:pPr>
              <w:jc w:val="left"/>
            </w:pPr>
          </w:p>
          <w:p w14:paraId="56AFBDFA" w14:textId="77777777" w:rsidR="00EF2EC0" w:rsidRPr="005F763D" w:rsidRDefault="00EF2EC0" w:rsidP="00EF2EC0">
            <w:pPr>
              <w:jc w:val="left"/>
            </w:pPr>
            <w:r w:rsidRPr="005F763D">
              <w:t>A trust must ‘vest’ (distribute the trust assets) within 80 years from the date of death of the testator.  It is possible to create a vesting date that is linked to the death of a person such as a beneficiary or some other event.</w:t>
            </w:r>
          </w:p>
          <w:p w14:paraId="2F1808DF" w14:textId="77777777" w:rsidR="00EF2EC0" w:rsidRPr="005F763D" w:rsidRDefault="00EF2EC0" w:rsidP="00EF2EC0">
            <w:pPr>
              <w:jc w:val="left"/>
            </w:pPr>
          </w:p>
          <w:p w14:paraId="48191FD0" w14:textId="0D4F960C" w:rsidR="00EF2EC0" w:rsidRPr="00EF2EC0" w:rsidRDefault="00EF2EC0" w:rsidP="00EF2EC0">
            <w:pPr>
              <w:jc w:val="left"/>
              <w:rPr>
                <w:b/>
              </w:rPr>
            </w:pPr>
            <w:r>
              <w:rPr>
                <w:b/>
              </w:rPr>
              <w:t xml:space="preserve">General </w:t>
            </w:r>
            <w:r w:rsidRPr="00EF2EC0">
              <w:rPr>
                <w:b/>
              </w:rPr>
              <w:t>Advantages of testamentary trusts:</w:t>
            </w:r>
          </w:p>
          <w:p w14:paraId="06E64F60" w14:textId="77777777" w:rsidR="00EF2EC0" w:rsidRDefault="00EF2EC0">
            <w:pPr>
              <w:pStyle w:val="InterPracBullet"/>
              <w:numPr>
                <w:ilvl w:val="0"/>
                <w:numId w:val="89"/>
              </w:numPr>
            </w:pPr>
            <w:r w:rsidRPr="005F763D">
              <w:t xml:space="preserve">Allows for income and capital to be split between beneficiaries, at the time and in amounts as determined by the trustee.  </w:t>
            </w:r>
          </w:p>
          <w:p w14:paraId="6AB165F7" w14:textId="7A9C34ED" w:rsidR="00EF2EC0" w:rsidRPr="005F763D" w:rsidRDefault="00EF2EC0">
            <w:pPr>
              <w:pStyle w:val="InterPracBullet"/>
              <w:numPr>
                <w:ilvl w:val="0"/>
                <w:numId w:val="89"/>
              </w:numPr>
            </w:pPr>
            <w:r>
              <w:rPr>
                <w:lang w:val="en-AU"/>
              </w:rPr>
              <w:t xml:space="preserve">Minor children are taxed at adult </w:t>
            </w:r>
            <w:r w:rsidR="00547234">
              <w:rPr>
                <w:lang w:val="en-AU"/>
              </w:rPr>
              <w:t>rates when</w:t>
            </w:r>
            <w:r>
              <w:rPr>
                <w:lang w:val="en-AU"/>
              </w:rPr>
              <w:t xml:space="preserve"> distributions are made. </w:t>
            </w:r>
            <w:r w:rsidRPr="005F763D">
              <w:t>This makes it possible to reduce tax, as distributions to beneficiaries under the age of 18 years are t</w:t>
            </w:r>
            <w:r>
              <w:rPr>
                <w:lang w:val="en-AU"/>
              </w:rPr>
              <w:t>ypically t</w:t>
            </w:r>
            <w:r w:rsidRPr="005F763D">
              <w:t>axed at penalty tax rate</w:t>
            </w:r>
            <w:r>
              <w:rPr>
                <w:lang w:val="en-AU"/>
              </w:rPr>
              <w:t>s</w:t>
            </w:r>
            <w:r w:rsidRPr="005F763D">
              <w:t xml:space="preserve"> (</w:t>
            </w:r>
            <w:r>
              <w:rPr>
                <w:lang w:val="en-AU"/>
              </w:rPr>
              <w:t>up to</w:t>
            </w:r>
            <w:r w:rsidRPr="005F763D">
              <w:t xml:space="preserve"> 66%</w:t>
            </w:r>
            <w:r>
              <w:rPr>
                <w:lang w:val="en-AU"/>
              </w:rPr>
              <w:t xml:space="preserve"> on some portions of the income</w:t>
            </w:r>
            <w:r w:rsidRPr="005F763D">
              <w:t>).  The trustee can take into account the other income of beneficiaries prior to distribution to minimise tax and maximise the distribution to beneficiaries.</w:t>
            </w:r>
          </w:p>
          <w:p w14:paraId="32A1953E" w14:textId="77777777" w:rsidR="00EF2EC0" w:rsidRPr="005F763D" w:rsidRDefault="00EF2EC0">
            <w:pPr>
              <w:pStyle w:val="InterPracBullet"/>
              <w:numPr>
                <w:ilvl w:val="0"/>
                <w:numId w:val="89"/>
              </w:numPr>
            </w:pPr>
            <w:r w:rsidRPr="005F763D">
              <w:t>The trustee controls the estate assets until the beneficiaries are of sufficient age to hold the assets in their own name.</w:t>
            </w:r>
          </w:p>
          <w:p w14:paraId="7BE72B0F" w14:textId="77777777" w:rsidR="00EF2EC0" w:rsidRPr="005F763D" w:rsidRDefault="00EF2EC0">
            <w:pPr>
              <w:pStyle w:val="InterPracBullet"/>
              <w:numPr>
                <w:ilvl w:val="0"/>
                <w:numId w:val="89"/>
              </w:numPr>
            </w:pPr>
            <w:r w:rsidRPr="005F763D">
              <w:t xml:space="preserve">Estate assets can be prevented from being vested directly into a beneficiary’s own name.  This may help protect assets in the event of a family breakdown.  Assets in a trust will not be included by the Family Court in the division of matrimonial property in the event of a marriage breakdown and property dispute. (The Court, however, may take into account the presence of a trust </w:t>
            </w:r>
            <w:r w:rsidRPr="005F763D">
              <w:lastRenderedPageBreak/>
              <w:t>in calculating what they consider to be an equitable distribution of the non-trust assets.)</w:t>
            </w:r>
          </w:p>
          <w:p w14:paraId="6E6BDFD9" w14:textId="77777777" w:rsidR="00EF2EC0" w:rsidRPr="005F763D" w:rsidRDefault="00EF2EC0">
            <w:pPr>
              <w:pStyle w:val="InterPracBullet"/>
              <w:numPr>
                <w:ilvl w:val="0"/>
                <w:numId w:val="89"/>
              </w:numPr>
            </w:pPr>
            <w:r w:rsidRPr="005F763D">
              <w:t>The benefit of an insolvent or potentially insolvent person can be provided for.  By having an independent third party trustee the assets in the trust may be out of the reach of creditors but at the same time available for family members and, in particular, the children of a bankrupt person.</w:t>
            </w:r>
          </w:p>
          <w:p w14:paraId="3B777C59" w14:textId="77777777" w:rsidR="00EF2EC0" w:rsidRPr="005F763D" w:rsidRDefault="00EF2EC0">
            <w:pPr>
              <w:pStyle w:val="InterPracBullet"/>
              <w:numPr>
                <w:ilvl w:val="0"/>
                <w:numId w:val="89"/>
              </w:numPr>
            </w:pPr>
            <w:r w:rsidRPr="005F763D">
              <w:t>The trustee has total flexibility to invest in whatever assets they wish (subject to the trust deed) and can draw on capital or income at any time.</w:t>
            </w:r>
          </w:p>
          <w:p w14:paraId="21C44F66" w14:textId="77777777" w:rsidR="00994F7E" w:rsidRPr="005F763D" w:rsidRDefault="00994F7E" w:rsidP="00994F7E">
            <w:pPr>
              <w:jc w:val="left"/>
            </w:pPr>
          </w:p>
          <w:p w14:paraId="0326B587" w14:textId="17C6FDAB" w:rsidR="00994F7E" w:rsidRPr="00994F7E" w:rsidRDefault="00994F7E" w:rsidP="00994F7E">
            <w:pPr>
              <w:jc w:val="left"/>
              <w:rPr>
                <w:b/>
              </w:rPr>
            </w:pPr>
            <w:r>
              <w:rPr>
                <w:b/>
              </w:rPr>
              <w:t xml:space="preserve">General </w:t>
            </w:r>
            <w:r w:rsidRPr="00994F7E">
              <w:rPr>
                <w:b/>
              </w:rPr>
              <w:t>Disadvantages of testamentary trusts:</w:t>
            </w:r>
          </w:p>
          <w:p w14:paraId="7F0EBBBA" w14:textId="77777777" w:rsidR="00994F7E" w:rsidRDefault="00994F7E">
            <w:pPr>
              <w:pStyle w:val="InterPracBullet"/>
              <w:numPr>
                <w:ilvl w:val="0"/>
                <w:numId w:val="90"/>
              </w:numPr>
            </w:pPr>
            <w:r w:rsidRPr="005F763D">
              <w:t xml:space="preserve">In incorporating a trust arrangement into a will, it is difficult to perceive what the needs and requirements of beneficiaries will be in 10, 20 etc. years’ time.  Wills are prepared on the basis of the testator’s current circumstances as well as their wishes for the future.  </w:t>
            </w:r>
          </w:p>
          <w:p w14:paraId="7344DDE8" w14:textId="77777777" w:rsidR="00994F7E" w:rsidRDefault="00994F7E">
            <w:pPr>
              <w:pStyle w:val="InterPracBullet"/>
              <w:numPr>
                <w:ilvl w:val="0"/>
                <w:numId w:val="90"/>
              </w:numPr>
            </w:pPr>
            <w:r w:rsidRPr="005F763D">
              <w:t xml:space="preserve">It is therefore </w:t>
            </w:r>
            <w:r>
              <w:t>possible</w:t>
            </w:r>
            <w:r w:rsidRPr="005F763D">
              <w:t xml:space="preserve"> for </w:t>
            </w:r>
            <w:r>
              <w:t>will-makers</w:t>
            </w:r>
            <w:r w:rsidRPr="005F763D">
              <w:t xml:space="preserve"> to consider a mechanism </w:t>
            </w:r>
            <w:r>
              <w:t xml:space="preserve">whereby the executor has the discretion to determine whether a trust is required due to changed circumstances. </w:t>
            </w:r>
          </w:p>
          <w:p w14:paraId="3402107B" w14:textId="55A76740" w:rsidR="00994F7E" w:rsidRPr="005F763D" w:rsidRDefault="00994F7E">
            <w:pPr>
              <w:pStyle w:val="InterPracBullet"/>
              <w:numPr>
                <w:ilvl w:val="0"/>
                <w:numId w:val="90"/>
              </w:numPr>
            </w:pPr>
            <w:r>
              <w:t>I</w:t>
            </w:r>
            <w:r w:rsidRPr="005F763D">
              <w:t>n a</w:t>
            </w:r>
            <w:r>
              <w:t>n</w:t>
            </w:r>
            <w:r w:rsidRPr="005F763D">
              <w:t xml:space="preserve"> </w:t>
            </w:r>
            <w:r>
              <w:t xml:space="preserve">established </w:t>
            </w:r>
            <w:r w:rsidRPr="005F763D">
              <w:t>trust</w:t>
            </w:r>
            <w:r>
              <w:t>, the trust deed can allow a trustee to wind up the trust in the interest of beneficiaries.</w:t>
            </w:r>
            <w:r w:rsidRPr="005F763D">
              <w:t xml:space="preserve"> </w:t>
            </w:r>
          </w:p>
          <w:p w14:paraId="25C5A370" w14:textId="77777777" w:rsidR="00B74920" w:rsidRDefault="00B74920" w:rsidP="00994F7E">
            <w:pPr>
              <w:jc w:val="left"/>
            </w:pPr>
          </w:p>
          <w:p w14:paraId="01DA0849" w14:textId="7E4B31E2" w:rsidR="00882CFF" w:rsidRPr="001A22F0" w:rsidRDefault="00994F7E" w:rsidP="00994F7E">
            <w:pPr>
              <w:jc w:val="left"/>
            </w:pPr>
            <w:r w:rsidRPr="005F763D">
              <w:t>In the case of beneficiaries who are in receipt of social security benefits, assets held in a testamentary trust for their benefit are no</w:t>
            </w:r>
            <w:r>
              <w:t xml:space="preserve">t Centrelink </w:t>
            </w:r>
            <w:r w:rsidRPr="005F763D">
              <w:t>exempt assets. This may result in a reduction of social security entitlements.</w:t>
            </w:r>
          </w:p>
        </w:tc>
      </w:tr>
    </w:tbl>
    <w:p w14:paraId="3518808F" w14:textId="77777777" w:rsidR="00C3421C" w:rsidRPr="005F763D" w:rsidRDefault="00C3421C" w:rsidP="008C7CE9">
      <w:pPr>
        <w:jc w:val="left"/>
      </w:pPr>
    </w:p>
    <w:p w14:paraId="0808B150" w14:textId="77777777" w:rsidR="00224D18" w:rsidRPr="005F763D" w:rsidRDefault="00961112" w:rsidP="008C7CE9">
      <w:pPr>
        <w:jc w:val="left"/>
      </w:pPr>
      <w:r w:rsidRPr="005F763D">
        <w:br w:type="page"/>
      </w:r>
    </w:p>
    <w:p w14:paraId="508708DA" w14:textId="77777777" w:rsidR="00224D18" w:rsidRPr="005F763D" w:rsidRDefault="00224D18" w:rsidP="0008751D">
      <w:pPr>
        <w:pStyle w:val="Heading2"/>
      </w:pPr>
      <w:bookmarkStart w:id="21" w:name="_Toc46236022"/>
      <w:r w:rsidRPr="005F763D">
        <w:lastRenderedPageBreak/>
        <w:t>Gearing</w:t>
      </w:r>
      <w:bookmarkEnd w:id="21"/>
    </w:p>
    <w:p w14:paraId="676B7546" w14:textId="77777777" w:rsidR="00224D18" w:rsidRPr="005F763D" w:rsidRDefault="00224D18" w:rsidP="008C7CE9">
      <w:pPr>
        <w:jc w:val="left"/>
        <w:rPr>
          <w:rFonts w:cs="Calibri"/>
        </w:rPr>
      </w:pPr>
    </w:p>
    <w:p w14:paraId="207EF5B8" w14:textId="77777777" w:rsidR="00224D18" w:rsidRPr="005F763D" w:rsidRDefault="00224D18" w:rsidP="008C7CE9">
      <w:pPr>
        <w:jc w:val="left"/>
        <w:rPr>
          <w:color w:val="002060"/>
          <w:sz w:val="24"/>
        </w:rPr>
      </w:pPr>
      <w:r w:rsidRPr="005F763D">
        <w:rPr>
          <w:color w:val="002060"/>
          <w:sz w:val="24"/>
        </w:rPr>
        <w:t xml:space="preserve">Instalment </w:t>
      </w:r>
      <w:commentRangeStart w:id="22"/>
      <w:r w:rsidRPr="005F763D">
        <w:rPr>
          <w:color w:val="002060"/>
          <w:sz w:val="24"/>
        </w:rPr>
        <w:t>Gearing</w:t>
      </w:r>
      <w:commentRangeEnd w:id="22"/>
      <w:r w:rsidR="00B356EB">
        <w:rPr>
          <w:rStyle w:val="CommentReference"/>
          <w:color w:val="auto"/>
          <w:lang w:eastAsia="ja-JP"/>
        </w:rPr>
        <w:commentReference w:id="22"/>
      </w:r>
    </w:p>
    <w:p w14:paraId="41A54DEA" w14:textId="71EDAB0F" w:rsidR="00224D18" w:rsidRDefault="00224D1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4ED54BCA" w14:textId="77777777" w:rsidTr="00C633C4">
        <w:tc>
          <w:tcPr>
            <w:tcW w:w="2754" w:type="dxa"/>
          </w:tcPr>
          <w:p w14:paraId="769E5316"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2E679A4" w14:textId="77777777" w:rsidR="00C633C4" w:rsidRPr="00E51BEA" w:rsidRDefault="00C633C4" w:rsidP="00D2574D">
            <w:pPr>
              <w:jc w:val="left"/>
              <w:rPr>
                <w:rFonts w:ascii="Calibri Light" w:hAnsi="Calibri Light"/>
              </w:rPr>
            </w:pPr>
          </w:p>
        </w:tc>
      </w:tr>
      <w:tr w:rsidR="00882CFF" w:rsidRPr="001A22F0" w14:paraId="08F9C1BD" w14:textId="77777777" w:rsidTr="00C633C4">
        <w:tc>
          <w:tcPr>
            <w:tcW w:w="2754" w:type="dxa"/>
          </w:tcPr>
          <w:p w14:paraId="707E6D8E" w14:textId="77777777" w:rsidR="00882CFF" w:rsidRPr="00EA0A06" w:rsidRDefault="00882CFF" w:rsidP="00E164DA">
            <w:pPr>
              <w:pStyle w:val="Instructions"/>
            </w:pPr>
            <w:r w:rsidRPr="00EA0A06">
              <w:t>Title</w:t>
            </w:r>
          </w:p>
        </w:tc>
        <w:tc>
          <w:tcPr>
            <w:tcW w:w="6798" w:type="dxa"/>
          </w:tcPr>
          <w:p w14:paraId="3D3DDAA5" w14:textId="250259AC" w:rsidR="00882CFF" w:rsidRPr="001A22F0" w:rsidRDefault="008B4DF9" w:rsidP="00CB435F">
            <w:pPr>
              <w:jc w:val="left"/>
            </w:pPr>
            <w:r>
              <w:t>Instalment Gearing</w:t>
            </w:r>
          </w:p>
        </w:tc>
      </w:tr>
      <w:tr w:rsidR="00882CFF" w:rsidRPr="001A22F0" w14:paraId="57516DA1" w14:textId="77777777" w:rsidTr="00C633C4">
        <w:tc>
          <w:tcPr>
            <w:tcW w:w="2754" w:type="dxa"/>
          </w:tcPr>
          <w:p w14:paraId="708A224F" w14:textId="77777777" w:rsidR="00882CFF" w:rsidRPr="00EA0A06" w:rsidRDefault="00882CFF" w:rsidP="00E164DA">
            <w:pPr>
              <w:pStyle w:val="Instructions"/>
            </w:pPr>
            <w:r w:rsidRPr="00EA0A06">
              <w:t>Explanation</w:t>
            </w:r>
          </w:p>
        </w:tc>
        <w:tc>
          <w:tcPr>
            <w:tcW w:w="6798" w:type="dxa"/>
          </w:tcPr>
          <w:p w14:paraId="4B80A1A9" w14:textId="00850901" w:rsidR="008B4DF9" w:rsidRDefault="008B4DF9" w:rsidP="008B4DF9">
            <w:pPr>
              <w:jc w:val="left"/>
            </w:pPr>
            <w:r w:rsidRPr="005F763D">
              <w:t>We recommend you commence an instalment gearing strategy in</w:t>
            </w:r>
            <w:r>
              <w:t xml:space="preserve"> </w:t>
            </w:r>
            <w:r>
              <w:rPr>
                <w:color w:val="FF0000"/>
              </w:rPr>
              <w:t>[</w:t>
            </w:r>
            <w:r w:rsidRPr="005F763D">
              <w:rPr>
                <w:color w:val="FF0000"/>
              </w:rPr>
              <w:t>Clie</w:t>
            </w:r>
            <w:r>
              <w:rPr>
                <w:color w:val="FF0000"/>
              </w:rPr>
              <w:t>nt</w:t>
            </w:r>
            <w:r w:rsidRPr="007F367D">
              <w:rPr>
                <w:color w:val="FF0000"/>
              </w:rPr>
              <w:t>][</w:t>
            </w:r>
            <w:r w:rsidRPr="000D0191">
              <w:rPr>
                <w:color w:val="FF0000"/>
              </w:rPr>
              <w:t xml:space="preserve">s’] </w:t>
            </w:r>
            <w:r>
              <w:t>name</w:t>
            </w:r>
            <w:r w:rsidRPr="000D0191">
              <w:rPr>
                <w:color w:val="FF0000"/>
              </w:rPr>
              <w:t>[s]</w:t>
            </w:r>
            <w:r>
              <w:t xml:space="preserve"> </w:t>
            </w:r>
            <w:r w:rsidRPr="005F763D">
              <w:t>using $</w:t>
            </w:r>
            <w:r w:rsidRPr="005F763D">
              <w:rPr>
                <w:color w:val="FF0000"/>
              </w:rPr>
              <w:t>[___,___]</w:t>
            </w:r>
            <w:r w:rsidRPr="005F763D">
              <w:t xml:space="preserve"> per month of your own capital and borrowing $</w:t>
            </w:r>
            <w:r w:rsidRPr="005F763D">
              <w:rPr>
                <w:color w:val="FF0000"/>
              </w:rPr>
              <w:t>[___,___]</w:t>
            </w:r>
            <w:r w:rsidRPr="005F763D">
              <w:t xml:space="preserve"> per month from </w:t>
            </w:r>
            <w:r w:rsidRPr="005F763D">
              <w:rPr>
                <w:color w:val="FF0000"/>
              </w:rPr>
              <w:t>[</w:t>
            </w:r>
            <w:r>
              <w:rPr>
                <w:color w:val="FF0000"/>
              </w:rPr>
              <w:t>lender</w:t>
            </w:r>
            <w:r w:rsidRPr="005F763D">
              <w:rPr>
                <w:color w:val="FF0000"/>
              </w:rPr>
              <w:t>]</w:t>
            </w:r>
            <w:r w:rsidRPr="005F763D">
              <w:t xml:space="preserve">, using your </w:t>
            </w:r>
            <w:r w:rsidRPr="005F763D">
              <w:rPr>
                <w:color w:val="FF0000"/>
              </w:rPr>
              <w:t>[</w:t>
            </w:r>
            <w:r>
              <w:rPr>
                <w:color w:val="FF0000"/>
              </w:rPr>
              <w:t>security</w:t>
            </w:r>
            <w:r w:rsidRPr="005F763D">
              <w:rPr>
                <w:color w:val="FF0000"/>
              </w:rPr>
              <w:t>]</w:t>
            </w:r>
            <w:r w:rsidRPr="005F763D">
              <w:t xml:space="preserve"> as security for </w:t>
            </w:r>
            <w:r>
              <w:t xml:space="preserve">the </w:t>
            </w:r>
            <w:r w:rsidRPr="005F763D">
              <w:t>loan.</w:t>
            </w:r>
          </w:p>
          <w:p w14:paraId="0AB7291C" w14:textId="77777777" w:rsidR="008B4DF9" w:rsidRPr="005F763D" w:rsidRDefault="008B4DF9" w:rsidP="008B4DF9">
            <w:pPr>
              <w:jc w:val="left"/>
            </w:pPr>
          </w:p>
          <w:p w14:paraId="07A33E1A" w14:textId="2F7C2F18" w:rsidR="008B4DF9" w:rsidRDefault="008B4DF9" w:rsidP="008B4DF9">
            <w:pPr>
              <w:jc w:val="left"/>
              <w:rPr>
                <w:highlight w:val="green"/>
              </w:rPr>
            </w:pPr>
            <w:r w:rsidRPr="00140D01">
              <w:t>We recommend the gearing strategy be commenced i</w:t>
            </w:r>
            <w:r w:rsidRPr="00140D01">
              <w:rPr>
                <w:color w:val="7030A0"/>
              </w:rPr>
              <w:t xml:space="preserve">n </w:t>
            </w:r>
            <w:r w:rsidRPr="0074759C">
              <w:rPr>
                <w:color w:val="7030A0"/>
                <w:highlight w:val="yellow"/>
              </w:rPr>
              <w:t>[Client][s’]</w:t>
            </w:r>
            <w:r w:rsidRPr="00140D01">
              <w:rPr>
                <w:color w:val="7030A0"/>
              </w:rPr>
              <w:t xml:space="preserve"> </w:t>
            </w:r>
            <w:r w:rsidRPr="00140D01">
              <w:t>name</w:t>
            </w:r>
            <w:r w:rsidRPr="0074759C">
              <w:rPr>
                <w:color w:val="7030A0"/>
                <w:highlight w:val="yellow"/>
              </w:rPr>
              <w:t>[s]</w:t>
            </w:r>
            <w:r w:rsidRPr="00140D01">
              <w:t xml:space="preserve"> as</w:t>
            </w:r>
            <w:r w:rsidRPr="0074759C">
              <w:rPr>
                <w:highlight w:val="green"/>
              </w:rPr>
              <w:t xml:space="preserve"> </w:t>
            </w:r>
            <w:r w:rsidRPr="000F2F4C">
              <w:rPr>
                <w:color w:val="FF0000"/>
                <w:highlight w:val="yellow"/>
              </w:rPr>
              <w:t>[</w:t>
            </w:r>
            <w:r w:rsidRPr="000F2F4C">
              <w:rPr>
                <w:color w:val="7030A0"/>
                <w:highlight w:val="yellow"/>
              </w:rPr>
              <w:t xml:space="preserve">your][his][her] </w:t>
            </w:r>
            <w:r w:rsidRPr="00140D01">
              <w:t>higher marginal tax rate will maximise the benefit obtainable via deductible interest costs.</w:t>
            </w:r>
          </w:p>
          <w:p w14:paraId="4A27839C" w14:textId="77777777" w:rsidR="005905B4" w:rsidRPr="005F763D" w:rsidRDefault="005905B4" w:rsidP="008B4DF9">
            <w:pPr>
              <w:jc w:val="left"/>
            </w:pPr>
          </w:p>
          <w:p w14:paraId="241DBAEB" w14:textId="13D9FE7B" w:rsidR="005905B4" w:rsidRDefault="005905B4" w:rsidP="005905B4">
            <w:pPr>
              <w:jc w:val="left"/>
            </w:pPr>
            <w:r w:rsidRPr="005F763D">
              <w:t xml:space="preserve">We recommend </w:t>
            </w:r>
            <w:r>
              <w:rPr>
                <w:color w:val="FF0000"/>
              </w:rPr>
              <w:t>[</w:t>
            </w:r>
            <w:r w:rsidRPr="005F763D">
              <w:rPr>
                <w:color w:val="FF0000"/>
              </w:rPr>
              <w:t>Clie</w:t>
            </w:r>
            <w:r>
              <w:rPr>
                <w:color w:val="FF0000"/>
              </w:rPr>
              <w:t>nt</w:t>
            </w:r>
            <w:r w:rsidRPr="002A5787">
              <w:rPr>
                <w:color w:val="FF0000"/>
              </w:rPr>
              <w:t xml:space="preserve">][s’] </w:t>
            </w:r>
            <w:r w:rsidRPr="005F763D">
              <w:t xml:space="preserve">invest the proceeds into a diversified portfolio of </w:t>
            </w:r>
            <w:r w:rsidRPr="005F763D">
              <w:rPr>
                <w:color w:val="FF0000"/>
              </w:rPr>
              <w:t>[managed investments]</w:t>
            </w:r>
            <w:r w:rsidRPr="005F763D">
              <w:t xml:space="preserve"> through </w:t>
            </w:r>
            <w:r w:rsidRPr="005F763D">
              <w:rPr>
                <w:color w:val="FF0000"/>
              </w:rPr>
              <w:t>[p</w:t>
            </w:r>
            <w:r>
              <w:rPr>
                <w:color w:val="FF0000"/>
              </w:rPr>
              <w:t>latform</w:t>
            </w:r>
            <w:r w:rsidRPr="005F763D">
              <w:rPr>
                <w:color w:val="FF0000"/>
              </w:rPr>
              <w:t>]</w:t>
            </w:r>
            <w:r w:rsidRPr="005F763D">
              <w:t>.</w:t>
            </w:r>
          </w:p>
          <w:p w14:paraId="2D047D37" w14:textId="77777777" w:rsidR="005905B4" w:rsidRPr="005F763D" w:rsidRDefault="005905B4" w:rsidP="005905B4">
            <w:pPr>
              <w:jc w:val="left"/>
            </w:pPr>
          </w:p>
          <w:p w14:paraId="5D03FD56" w14:textId="77777777" w:rsidR="005905B4" w:rsidRPr="005F763D" w:rsidRDefault="005905B4" w:rsidP="005905B4">
            <w:pPr>
              <w:jc w:val="left"/>
            </w:pPr>
            <w:r w:rsidRPr="005F763D">
              <w:t xml:space="preserve">We recommend the loan repayments be structured as interest only in order to minimise the impact on your cashflow and maximise tax-deductibility. Based on an annual interest rate of </w:t>
            </w:r>
            <w:r w:rsidRPr="005F763D">
              <w:rPr>
                <w:color w:val="FF0000"/>
              </w:rPr>
              <w:t>[__</w:t>
            </w:r>
            <w:proofErr w:type="gramStart"/>
            <w:r w:rsidRPr="005F763D">
              <w:rPr>
                <w:color w:val="FF0000"/>
              </w:rPr>
              <w:t>_]</w:t>
            </w:r>
            <w:r w:rsidRPr="005F763D">
              <w:t>%</w:t>
            </w:r>
            <w:proofErr w:type="gramEnd"/>
            <w:r w:rsidRPr="005F763D">
              <w:t>, we estimate your annual interest cost (before tax) to be $</w:t>
            </w:r>
            <w:r w:rsidRPr="005F763D">
              <w:rPr>
                <w:color w:val="FF0000"/>
              </w:rPr>
              <w:t>[___,___]</w:t>
            </w:r>
            <w:r w:rsidRPr="005F763D">
              <w:t xml:space="preserve">. We will arrange for interest repayments to be paid from your </w:t>
            </w:r>
            <w:r w:rsidRPr="000D0191">
              <w:rPr>
                <w:color w:val="7030A0"/>
                <w:highlight w:val="yellow"/>
              </w:rPr>
              <w:t>[everyday][nominated]</w:t>
            </w:r>
            <w:r w:rsidRPr="000D0191">
              <w:rPr>
                <w:color w:val="7030A0"/>
              </w:rPr>
              <w:t xml:space="preserve"> </w:t>
            </w:r>
            <w:r w:rsidRPr="005F763D">
              <w:t>bank account.</w:t>
            </w:r>
          </w:p>
          <w:p w14:paraId="7E5328CE" w14:textId="77777777" w:rsidR="00882CFF" w:rsidRPr="001A22F0" w:rsidRDefault="00882CFF" w:rsidP="00CB435F">
            <w:pPr>
              <w:jc w:val="left"/>
            </w:pPr>
          </w:p>
        </w:tc>
      </w:tr>
      <w:tr w:rsidR="00882CFF" w:rsidRPr="001A22F0" w14:paraId="19040A88" w14:textId="77777777" w:rsidTr="00C633C4">
        <w:tc>
          <w:tcPr>
            <w:tcW w:w="2754" w:type="dxa"/>
          </w:tcPr>
          <w:p w14:paraId="69E7B0FF" w14:textId="77777777" w:rsidR="00882CFF" w:rsidRPr="00EA0A06" w:rsidRDefault="00882CFF" w:rsidP="00E164DA">
            <w:pPr>
              <w:pStyle w:val="Instructions"/>
            </w:pPr>
            <w:r w:rsidRPr="00EA0A06">
              <w:t>In your Best Interest</w:t>
            </w:r>
          </w:p>
        </w:tc>
        <w:tc>
          <w:tcPr>
            <w:tcW w:w="6798" w:type="dxa"/>
          </w:tcPr>
          <w:p w14:paraId="787E1BF9" w14:textId="77777777" w:rsidR="00882CFF" w:rsidRPr="001A22F0" w:rsidRDefault="00882CFF" w:rsidP="00CB435F">
            <w:pPr>
              <w:jc w:val="left"/>
            </w:pPr>
          </w:p>
        </w:tc>
      </w:tr>
      <w:tr w:rsidR="00882CFF" w:rsidRPr="001A22F0" w14:paraId="5C7EF29C" w14:textId="77777777" w:rsidTr="00C633C4">
        <w:tc>
          <w:tcPr>
            <w:tcW w:w="2754" w:type="dxa"/>
          </w:tcPr>
          <w:p w14:paraId="4B14CC9C" w14:textId="77777777" w:rsidR="00882CFF" w:rsidRPr="00EA0A06" w:rsidRDefault="00882CFF" w:rsidP="00E164DA">
            <w:pPr>
              <w:pStyle w:val="Instructions"/>
            </w:pPr>
            <w:r w:rsidRPr="00EA0A06">
              <w:t>Further Detail</w:t>
            </w:r>
          </w:p>
        </w:tc>
        <w:tc>
          <w:tcPr>
            <w:tcW w:w="6798" w:type="dxa"/>
          </w:tcPr>
          <w:p w14:paraId="08E37E74" w14:textId="77777777" w:rsidR="008B4DF9" w:rsidRPr="005F763D" w:rsidRDefault="008B4DF9" w:rsidP="008B4DF9">
            <w:pPr>
              <w:jc w:val="left"/>
            </w:pPr>
            <w:r w:rsidRPr="005F763D">
              <w:t>Instalment gearing is an easy and efficient way to save and accumulate wealth over time. It allows you to gain exposure to the debt and investment markets on a more gradual basis. Instalment gearing combines two powerful investment strategies – gearing and regular investing – in a way that gives you the ability to build a substantial investment portfolio one month at a time.</w:t>
            </w:r>
          </w:p>
          <w:p w14:paraId="1A76DF37" w14:textId="77777777" w:rsidR="008B4DF9" w:rsidRPr="005F763D" w:rsidRDefault="008B4DF9" w:rsidP="008B4DF9">
            <w:pPr>
              <w:jc w:val="left"/>
            </w:pPr>
            <w:r w:rsidRPr="005F763D">
              <w:t xml:space="preserve"> </w:t>
            </w:r>
          </w:p>
          <w:p w14:paraId="5D5E07DC" w14:textId="77777777" w:rsidR="008B4DF9" w:rsidRPr="005F763D" w:rsidRDefault="008B4DF9" w:rsidP="008B4DF9">
            <w:pPr>
              <w:jc w:val="left"/>
            </w:pPr>
            <w:r w:rsidRPr="005F763D">
              <w:t>It can be particularly useful in times of volatility because you can make use of the ‘dollar cost averaging’ strategy – you’re not trying to time your entry into investment markets. The regular investments ensure that when markets are falling, you buy more units at lower prices so your average entry cost is automatically lower.</w:t>
            </w:r>
          </w:p>
          <w:p w14:paraId="20468A68" w14:textId="77777777" w:rsidR="00882CFF" w:rsidRDefault="00882CFF" w:rsidP="00CB435F">
            <w:pPr>
              <w:jc w:val="left"/>
            </w:pPr>
          </w:p>
          <w:p w14:paraId="22541C46" w14:textId="77777777" w:rsidR="00214E10" w:rsidRPr="000D0191" w:rsidRDefault="00214E10" w:rsidP="00214E10">
            <w:pPr>
              <w:jc w:val="left"/>
              <w:rPr>
                <w:b/>
                <w:color w:val="auto"/>
              </w:rPr>
            </w:pPr>
            <w:r w:rsidRPr="000D0191">
              <w:rPr>
                <w:b/>
                <w:color w:val="auto"/>
                <w:highlight w:val="yellow"/>
              </w:rPr>
              <w:t>If using a margin loan facility:</w:t>
            </w:r>
          </w:p>
          <w:p w14:paraId="0FCD7E2D" w14:textId="77777777" w:rsidR="00214E10" w:rsidRPr="005F763D" w:rsidRDefault="00214E10" w:rsidP="00214E10">
            <w:pPr>
              <w:jc w:val="left"/>
            </w:pPr>
            <w:r w:rsidRPr="005F763D">
              <w:t xml:space="preserve">Our recommendations are based on a margin lending gearing facility. With a margin loan, the lender will generally lend to a maximum of 70% of the market value of the approved investments, although this </w:t>
            </w:r>
            <w:r>
              <w:t xml:space="preserve">will </w:t>
            </w:r>
            <w:r w:rsidRPr="005F763D">
              <w:t xml:space="preserve">depend </w:t>
            </w:r>
            <w:r>
              <w:t>up</w:t>
            </w:r>
            <w:r w:rsidRPr="005F763D">
              <w:t xml:space="preserve">on the actual investments. For example, on an investment portfolio of $100,000 with a maximum lending margin of 65%, the lender will provide borrowed funds up to $65,000. The remaining $35,000 (35%) will be the investor’s own </w:t>
            </w:r>
            <w:r>
              <w:t>money</w:t>
            </w:r>
            <w:r w:rsidRPr="005F763D">
              <w:t>.</w:t>
            </w:r>
          </w:p>
          <w:p w14:paraId="596E4888" w14:textId="77777777" w:rsidR="00214E10" w:rsidRPr="005F763D" w:rsidRDefault="00214E10" w:rsidP="00214E10">
            <w:pPr>
              <w:jc w:val="left"/>
            </w:pPr>
          </w:p>
          <w:p w14:paraId="76E16E7B" w14:textId="77777777" w:rsidR="00214E10" w:rsidRPr="005F763D" w:rsidRDefault="00214E10" w:rsidP="00214E10">
            <w:pPr>
              <w:jc w:val="left"/>
            </w:pPr>
            <w:r w:rsidRPr="005F763D">
              <w:t>The level of borrowings we recommend aim</w:t>
            </w:r>
            <w:r>
              <w:t>s</w:t>
            </w:r>
            <w:r w:rsidRPr="005F763D">
              <w:t xml:space="preserve"> to </w:t>
            </w:r>
            <w:r>
              <w:t>set</w:t>
            </w:r>
            <w:r w:rsidRPr="005F763D">
              <w:t xml:space="preserve"> your </w:t>
            </w:r>
            <w:r>
              <w:t>‘</w:t>
            </w:r>
            <w:r w:rsidRPr="005F763D">
              <w:t>loan to equity ratio</w:t>
            </w:r>
            <w:r>
              <w:t>’</w:t>
            </w:r>
            <w:r w:rsidRPr="005F763D">
              <w:t xml:space="preserve"> at approximately </w:t>
            </w:r>
            <w:r w:rsidRPr="005F763D">
              <w:rPr>
                <w:color w:val="FF0000"/>
              </w:rPr>
              <w:t xml:space="preserve">[loan/equity </w:t>
            </w:r>
            <w:proofErr w:type="gramStart"/>
            <w:r w:rsidRPr="005F763D">
              <w:rPr>
                <w:color w:val="FF0000"/>
              </w:rPr>
              <w:t>ratio]</w:t>
            </w:r>
            <w:r w:rsidRPr="005F763D">
              <w:t>%</w:t>
            </w:r>
            <w:proofErr w:type="gramEnd"/>
            <w:r w:rsidRPr="005F763D">
              <w:t xml:space="preserve">. This loan to equity ratio aims to provide protection against a margin call in the event </w:t>
            </w:r>
            <w:r>
              <w:t>of an</w:t>
            </w:r>
            <w:r w:rsidRPr="005F763D">
              <w:t xml:space="preserve"> investment market downturn.</w:t>
            </w:r>
          </w:p>
          <w:p w14:paraId="41586629" w14:textId="77777777" w:rsidR="00214E10" w:rsidRPr="005F763D" w:rsidRDefault="00214E10" w:rsidP="00214E10">
            <w:pPr>
              <w:jc w:val="left"/>
            </w:pPr>
          </w:p>
          <w:p w14:paraId="775407EF" w14:textId="77777777" w:rsidR="00214E10" w:rsidRDefault="00214E10" w:rsidP="00214E10">
            <w:pPr>
              <w:jc w:val="left"/>
            </w:pPr>
            <w:r w:rsidRPr="005F763D">
              <w:t>Margin Calls occur if the loan balance is greater than the maximum loan limit</w:t>
            </w:r>
            <w:r>
              <w:t xml:space="preserve"> plus a buffer amount</w:t>
            </w:r>
            <w:r w:rsidRPr="005F763D">
              <w:t xml:space="preserve">. This can occur when there is a market downturn and the value of your portfolio falls. </w:t>
            </w:r>
          </w:p>
          <w:p w14:paraId="6DC1623E" w14:textId="77777777" w:rsidR="00214E10" w:rsidRPr="005F763D" w:rsidRDefault="00214E10" w:rsidP="00214E10">
            <w:pPr>
              <w:jc w:val="left"/>
            </w:pPr>
            <w:r w:rsidRPr="005F763D">
              <w:t>For example, the lender in the above example may make a margin call when the value of the loan balance exceeds 70</w:t>
            </w:r>
            <w:r>
              <w:t xml:space="preserve">% </w:t>
            </w:r>
            <w:r w:rsidRPr="005F763D">
              <w:t>of the portfolio</w:t>
            </w:r>
            <w:r>
              <w:t>,</w:t>
            </w:r>
            <w:r w:rsidRPr="005F763D">
              <w:t xml:space="preserve"> </w:t>
            </w:r>
            <w:r>
              <w:t>plus a 5% ‘buffer’. A buffer is used to avoid unnecessary margin calls due to temporary asset value fluctuations</w:t>
            </w:r>
            <w:r w:rsidRPr="005F763D">
              <w:t>.</w:t>
            </w:r>
            <w:r>
              <w:t xml:space="preserve"> In this example, a loan balance of 72% would not trigger a margin call.</w:t>
            </w:r>
          </w:p>
          <w:p w14:paraId="35E3D1D0" w14:textId="77777777" w:rsidR="00214E10" w:rsidRDefault="00214E10" w:rsidP="00CB435F">
            <w:pPr>
              <w:jc w:val="left"/>
            </w:pPr>
          </w:p>
          <w:p w14:paraId="7A9E3F31" w14:textId="77777777" w:rsidR="00214E10" w:rsidRPr="000D0191" w:rsidRDefault="00214E10" w:rsidP="00214E10">
            <w:pPr>
              <w:jc w:val="left"/>
              <w:rPr>
                <w:b/>
                <w:color w:val="auto"/>
              </w:rPr>
            </w:pPr>
            <w:r w:rsidRPr="000D0191">
              <w:rPr>
                <w:b/>
                <w:color w:val="auto"/>
                <w:highlight w:val="yellow"/>
              </w:rPr>
              <w:t>Always Include:</w:t>
            </w:r>
          </w:p>
          <w:p w14:paraId="23EB462C" w14:textId="7C593087" w:rsidR="00214E10" w:rsidRPr="005F763D" w:rsidRDefault="00214E10" w:rsidP="00214E10">
            <w:pPr>
              <w:jc w:val="left"/>
            </w:pPr>
            <w:r w:rsidRPr="005F763D">
              <w:t xml:space="preserve">The </w:t>
            </w:r>
            <w:r w:rsidR="0079168A">
              <w:t xml:space="preserve">typical </w:t>
            </w:r>
            <w:r w:rsidRPr="005F763D">
              <w:t>benefits of implementing the recommended gearing strategy are:</w:t>
            </w:r>
          </w:p>
          <w:p w14:paraId="13EFBF4F" w14:textId="77777777" w:rsidR="00214E10" w:rsidRPr="005F763D" w:rsidRDefault="00214E10">
            <w:pPr>
              <w:pStyle w:val="InterPracBullet"/>
              <w:numPr>
                <w:ilvl w:val="0"/>
                <w:numId w:val="91"/>
              </w:numPr>
            </w:pPr>
            <w:r w:rsidRPr="005F763D">
              <w:t>You implement an investment strategy which provides the potential for accelerated wealth creation which will assist in achieving your long term goals.</w:t>
            </w:r>
          </w:p>
          <w:p w14:paraId="6F8AEB73" w14:textId="77777777" w:rsidR="00214E10" w:rsidRPr="005F763D" w:rsidRDefault="00214E10">
            <w:pPr>
              <w:pStyle w:val="InterPracBullet"/>
              <w:numPr>
                <w:ilvl w:val="0"/>
                <w:numId w:val="91"/>
              </w:numPr>
            </w:pPr>
            <w:r w:rsidRPr="005F763D">
              <w:t>You utilise your surplus cashflow for wealth creation purposes.</w:t>
            </w:r>
          </w:p>
          <w:p w14:paraId="3F778BFF" w14:textId="77777777" w:rsidR="00214E10" w:rsidRPr="005F763D" w:rsidRDefault="00214E10">
            <w:pPr>
              <w:pStyle w:val="InterPracBullet"/>
              <w:numPr>
                <w:ilvl w:val="0"/>
                <w:numId w:val="91"/>
              </w:numPr>
            </w:pPr>
            <w:r w:rsidRPr="005F763D">
              <w:t>You can achieve greater diversification of your investment portfolio due to the large sum of capital available to invest.</w:t>
            </w:r>
          </w:p>
          <w:p w14:paraId="68427ACB" w14:textId="39788554" w:rsidR="00214E10" w:rsidRDefault="00214E10">
            <w:pPr>
              <w:pStyle w:val="InterPracBullet"/>
              <w:numPr>
                <w:ilvl w:val="0"/>
                <w:numId w:val="91"/>
              </w:numPr>
            </w:pPr>
            <w:r w:rsidRPr="005F763D">
              <w:t>You have a greater number of assets working for you to build wealth over the long term.</w:t>
            </w:r>
          </w:p>
          <w:p w14:paraId="5F9FCB05" w14:textId="77777777" w:rsidR="006952DB" w:rsidRPr="005F763D" w:rsidRDefault="006952DB">
            <w:pPr>
              <w:pStyle w:val="InterPracBullet"/>
            </w:pPr>
          </w:p>
          <w:p w14:paraId="43CC1C26" w14:textId="7866DB08" w:rsidR="0079168A" w:rsidRPr="005F763D" w:rsidRDefault="0079168A" w:rsidP="0079168A">
            <w:pPr>
              <w:jc w:val="left"/>
            </w:pPr>
            <w:r w:rsidRPr="005F763D">
              <w:t xml:space="preserve">The </w:t>
            </w:r>
            <w:r>
              <w:t xml:space="preserve">typical </w:t>
            </w:r>
            <w:r w:rsidRPr="005F763D">
              <w:t>risks associated with implementing the recommended gearing strategy are:</w:t>
            </w:r>
          </w:p>
          <w:p w14:paraId="0860AA3C" w14:textId="77777777" w:rsidR="0079168A" w:rsidRPr="005F763D" w:rsidRDefault="0079168A">
            <w:pPr>
              <w:pStyle w:val="InterPracBullet"/>
              <w:numPr>
                <w:ilvl w:val="0"/>
                <w:numId w:val="92"/>
              </w:numPr>
            </w:pPr>
            <w:r w:rsidRPr="005F763D">
              <w:t>As a higher level of capital is invested (some of which is borrowed and at some point must be re-paid), capital losses may be magnified in the event of a market downturn.</w:t>
            </w:r>
          </w:p>
          <w:p w14:paraId="7F6F7DC2" w14:textId="77777777" w:rsidR="0079168A" w:rsidRPr="005F763D" w:rsidRDefault="0079168A">
            <w:pPr>
              <w:pStyle w:val="InterPracBullet"/>
              <w:numPr>
                <w:ilvl w:val="0"/>
                <w:numId w:val="92"/>
              </w:numPr>
            </w:pPr>
            <w:r w:rsidRPr="005F763D">
              <w:t>Loss of a regular source of income (e.g. employment income) could cause cash flow problems, which might necessitate liquidation of all or part of the portfolio at an unfavourable time.</w:t>
            </w:r>
          </w:p>
          <w:p w14:paraId="733883FE" w14:textId="77777777" w:rsidR="0079168A" w:rsidRDefault="0079168A">
            <w:pPr>
              <w:pStyle w:val="InterPracBullet"/>
              <w:numPr>
                <w:ilvl w:val="0"/>
                <w:numId w:val="92"/>
              </w:numPr>
            </w:pPr>
            <w:r w:rsidRPr="005F763D">
              <w:t>If the interest rate is not fixed for the whole term of the investment, interest rates may increase which will increase interest costs and place potential further burden on your cashflow.</w:t>
            </w:r>
          </w:p>
          <w:p w14:paraId="15DEE332" w14:textId="77777777" w:rsidR="000F5E21" w:rsidRDefault="000F5E21" w:rsidP="000F5E21">
            <w:pPr>
              <w:jc w:val="left"/>
              <w:rPr>
                <w:b/>
                <w:color w:val="auto"/>
                <w:highlight w:val="yellow"/>
              </w:rPr>
            </w:pPr>
          </w:p>
          <w:p w14:paraId="0066FC26" w14:textId="3BC529BC" w:rsidR="000F5E21" w:rsidRPr="000D0191" w:rsidRDefault="000F5E21" w:rsidP="000F5E21">
            <w:pPr>
              <w:jc w:val="left"/>
              <w:rPr>
                <w:highlight w:val="yellow"/>
              </w:rPr>
            </w:pPr>
            <w:r w:rsidRPr="000D0191">
              <w:rPr>
                <w:b/>
                <w:color w:val="auto"/>
                <w:highlight w:val="yellow"/>
              </w:rPr>
              <w:t>If using a margin loan facility:</w:t>
            </w:r>
          </w:p>
          <w:p w14:paraId="09E3DB7B" w14:textId="77777777" w:rsidR="000F5E21" w:rsidRPr="005F763D" w:rsidRDefault="000F5E21">
            <w:pPr>
              <w:pStyle w:val="InterPracBullet"/>
            </w:pPr>
            <w:r w:rsidRPr="005F763D">
              <w:t>In the event of a market downturn a margin call may be triggered, requiring additional capital to be added to the investment to re-establish the loan to equity ratio.</w:t>
            </w:r>
          </w:p>
          <w:p w14:paraId="77FA6844" w14:textId="09DE72B9" w:rsidR="00214E10" w:rsidRPr="001A22F0" w:rsidRDefault="00214E10" w:rsidP="00CB435F">
            <w:pPr>
              <w:jc w:val="left"/>
            </w:pPr>
          </w:p>
        </w:tc>
      </w:tr>
    </w:tbl>
    <w:p w14:paraId="4C66B538" w14:textId="77777777" w:rsidR="00882CFF" w:rsidRDefault="00882CFF" w:rsidP="008C7CE9">
      <w:pPr>
        <w:jc w:val="left"/>
      </w:pPr>
    </w:p>
    <w:p w14:paraId="1EA37CA3" w14:textId="77777777" w:rsidR="00224D18" w:rsidRPr="005F763D" w:rsidRDefault="00224D18" w:rsidP="008C7CE9">
      <w:pPr>
        <w:jc w:val="left"/>
      </w:pPr>
    </w:p>
    <w:p w14:paraId="4EBD6692" w14:textId="6D77BDAA" w:rsidR="00224D18" w:rsidRPr="00214E10" w:rsidRDefault="00214E10" w:rsidP="008C7CE9">
      <w:pPr>
        <w:jc w:val="left"/>
        <w:rPr>
          <w:b/>
        </w:rPr>
      </w:pPr>
      <w:r w:rsidRPr="00214E10">
        <w:rPr>
          <w:b/>
        </w:rPr>
        <w:t>Further Detail continued</w:t>
      </w:r>
    </w:p>
    <w:p w14:paraId="34067251" w14:textId="77777777" w:rsidR="00224D18" w:rsidRPr="005F763D" w:rsidRDefault="00224D18" w:rsidP="008C7CE9">
      <w:pPr>
        <w:jc w:val="left"/>
      </w:pPr>
      <w:r w:rsidRPr="005F763D">
        <w:t>We estimate you will achieve the following tax savings via the gearing strategy in the first year:</w:t>
      </w:r>
    </w:p>
    <w:p w14:paraId="765C6E3B" w14:textId="77777777" w:rsidR="00224D18" w:rsidRPr="005F763D" w:rsidRDefault="00224D18" w:rsidP="00224D18"/>
    <w:tbl>
      <w:tblPr>
        <w:tblW w:w="5000" w:type="pct"/>
        <w:jc w:val="center"/>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8185"/>
        <w:gridCol w:w="1445"/>
      </w:tblGrid>
      <w:tr w:rsidR="00224D18" w:rsidRPr="005F763D" w14:paraId="567062A8"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BFBFBF"/>
            <w:vAlign w:val="center"/>
          </w:tcPr>
          <w:p w14:paraId="52FDC159" w14:textId="77777777" w:rsidR="00224D18" w:rsidRPr="005F763D" w:rsidRDefault="00224D18" w:rsidP="00036DDB">
            <w:pPr>
              <w:pStyle w:val="Table2-Left"/>
              <w:rPr>
                <w:rFonts w:ascii="Calibri" w:hAnsi="Calibri"/>
              </w:rPr>
            </w:pPr>
          </w:p>
        </w:tc>
        <w:tc>
          <w:tcPr>
            <w:tcW w:w="750" w:type="pct"/>
            <w:tcBorders>
              <w:top w:val="single" w:sz="4" w:space="0" w:color="808080"/>
              <w:left w:val="single" w:sz="4" w:space="0" w:color="808080"/>
              <w:bottom w:val="single" w:sz="4" w:space="0" w:color="808080"/>
              <w:right w:val="outset" w:sz="6" w:space="0" w:color="ECE9D8"/>
            </w:tcBorders>
            <w:shd w:val="clear" w:color="auto" w:fill="BFBFBF"/>
            <w:vAlign w:val="center"/>
          </w:tcPr>
          <w:p w14:paraId="6BEF4D2B" w14:textId="77777777" w:rsidR="00224D18" w:rsidRPr="005F763D" w:rsidRDefault="00224D18" w:rsidP="00036DDB">
            <w:pPr>
              <w:pStyle w:val="TableHeader2-Centre"/>
              <w:rPr>
                <w:rFonts w:ascii="Calibri" w:hAnsi="Calibri"/>
              </w:rPr>
            </w:pPr>
            <w:r w:rsidRPr="005F763D">
              <w:rPr>
                <w:rFonts w:ascii="Calibri" w:hAnsi="Calibri"/>
              </w:rPr>
              <w:t>Value ($)</w:t>
            </w:r>
          </w:p>
        </w:tc>
      </w:tr>
      <w:tr w:rsidR="00224D18" w:rsidRPr="005F763D" w14:paraId="3ECBD767"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3085A092" w14:textId="77777777" w:rsidR="00224D18" w:rsidRPr="008B46CA" w:rsidRDefault="00224D18" w:rsidP="000D0191">
            <w:pPr>
              <w:jc w:val="left"/>
            </w:pPr>
            <w:r w:rsidRPr="008B46CA">
              <w:t>Estimated interest cost on borrowings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116DDD34" w14:textId="693B98C0" w:rsidR="00224D18" w:rsidRPr="005F763D" w:rsidRDefault="00D120E5" w:rsidP="00036DDB">
            <w:pPr>
              <w:pStyle w:val="Table3-Right"/>
              <w:rPr>
                <w:rFonts w:ascii="Calibri" w:hAnsi="Calibri"/>
              </w:rPr>
            </w:pPr>
            <w:r w:rsidRPr="005F763D">
              <w:rPr>
                <w:color w:val="FF0000"/>
              </w:rPr>
              <w:t>$___,___</w:t>
            </w:r>
          </w:p>
        </w:tc>
      </w:tr>
      <w:tr w:rsidR="00224D18" w:rsidRPr="005F763D" w14:paraId="402E9BD4"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28ACB311" w14:textId="343E818B" w:rsidR="00224D18" w:rsidRPr="008B46CA" w:rsidRDefault="00224D18" w:rsidP="000D0191">
            <w:pPr>
              <w:jc w:val="left"/>
            </w:pPr>
            <w:r w:rsidRPr="008B46CA">
              <w:t xml:space="preserve">Estimated income generated from investment of borrowed </w:t>
            </w:r>
            <w:commentRangeStart w:id="23"/>
            <w:r w:rsidRPr="008B46CA">
              <w:t xml:space="preserve">funds (assumed </w:t>
            </w:r>
            <w:commentRangeEnd w:id="23"/>
            <w:r w:rsidR="00E161F9" w:rsidRPr="000D0191">
              <w:commentReference w:id="23"/>
            </w:r>
            <w:proofErr w:type="gramStart"/>
            <w:r w:rsidRPr="008B46CA">
              <w:t>[</w:t>
            </w:r>
            <w:r w:rsidR="001264A3" w:rsidRPr="000D0191">
              <w:t xml:space="preserve"> </w:t>
            </w:r>
            <w:r w:rsidRPr="008B46CA">
              <w:t>]</w:t>
            </w:r>
            <w:proofErr w:type="gramEnd"/>
            <w:r w:rsidRPr="008B46CA">
              <w:t>%)</w:t>
            </w:r>
          </w:p>
          <w:p w14:paraId="2D135725" w14:textId="5B8EFA7E" w:rsidR="001264A3" w:rsidRPr="000D0191" w:rsidRDefault="001264A3" w:rsidP="000D0191">
            <w:pPr>
              <w:jc w:val="left"/>
              <w:rPr>
                <w:b/>
                <w:sz w:val="16"/>
                <w:szCs w:val="16"/>
              </w:rPr>
            </w:pPr>
            <w:r w:rsidRPr="000D0191">
              <w:rPr>
                <w:b/>
                <w:sz w:val="16"/>
                <w:szCs w:val="16"/>
                <w:highlight w:val="yellow"/>
              </w:rPr>
              <w:t>Assume ‘risk-free’ rate of % earnings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5A030047" w14:textId="27763045" w:rsidR="00224D18" w:rsidRPr="005F763D" w:rsidRDefault="00D120E5" w:rsidP="00036DDB">
            <w:pPr>
              <w:pStyle w:val="Table3-Right"/>
              <w:rPr>
                <w:rFonts w:ascii="Calibri" w:hAnsi="Calibri"/>
              </w:rPr>
            </w:pPr>
            <w:r w:rsidRPr="005F763D">
              <w:rPr>
                <w:color w:val="FF0000"/>
              </w:rPr>
              <w:t>$___,___</w:t>
            </w:r>
          </w:p>
        </w:tc>
      </w:tr>
      <w:tr w:rsidR="00224D18" w:rsidRPr="005F763D" w14:paraId="3EE4817B"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571CED67" w14:textId="77777777" w:rsidR="00224D18" w:rsidRPr="005F763D" w:rsidRDefault="00224D18" w:rsidP="000D0191">
            <w:pPr>
              <w:jc w:val="left"/>
            </w:pPr>
            <w:r w:rsidRPr="005F763D">
              <w:t>Net Tax Deduction</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0BCC7D03" w14:textId="2354296B" w:rsidR="00224D18" w:rsidRPr="005F763D" w:rsidRDefault="00D120E5" w:rsidP="00036DDB">
            <w:pPr>
              <w:pStyle w:val="Table3-Right"/>
              <w:rPr>
                <w:rFonts w:ascii="Calibri" w:hAnsi="Calibri"/>
              </w:rPr>
            </w:pPr>
            <w:r w:rsidRPr="005F763D">
              <w:rPr>
                <w:color w:val="FF0000"/>
              </w:rPr>
              <w:t>$___,___</w:t>
            </w:r>
          </w:p>
        </w:tc>
      </w:tr>
      <w:tr w:rsidR="00224D18" w:rsidRPr="005F763D" w14:paraId="55456B50" w14:textId="77777777" w:rsidTr="00036DDB">
        <w:trPr>
          <w:trHeight w:val="340"/>
          <w:jc w:val="center"/>
        </w:trPr>
        <w:tc>
          <w:tcPr>
            <w:tcW w:w="4250" w:type="pct"/>
            <w:tcBorders>
              <w:top w:val="single" w:sz="4" w:space="0" w:color="808080"/>
              <w:left w:val="nil"/>
              <w:bottom w:val="nil"/>
              <w:right w:val="single" w:sz="4" w:space="0" w:color="808080"/>
            </w:tcBorders>
            <w:shd w:val="clear" w:color="auto" w:fill="auto"/>
            <w:vAlign w:val="center"/>
          </w:tcPr>
          <w:p w14:paraId="5F4817A9" w14:textId="68E6D9E5" w:rsidR="00224D18" w:rsidRPr="005F763D" w:rsidRDefault="00224D18" w:rsidP="000D6E4F">
            <w:pPr>
              <w:pStyle w:val="TableText-RightBold"/>
            </w:pPr>
            <w:r w:rsidRPr="005F763D">
              <w:t xml:space="preserve">Net Tax Savings </w:t>
            </w:r>
            <w:r w:rsidRPr="000D0191">
              <w:t xml:space="preserve">Assuming </w:t>
            </w:r>
            <w:r w:rsidR="007F7797" w:rsidRPr="000D0191">
              <w:t>an</w:t>
            </w:r>
            <w:r w:rsidRPr="000D0191">
              <w:t xml:space="preserve"> MTR of </w:t>
            </w:r>
            <w:r w:rsidR="002E5D21" w:rsidRPr="000D0191">
              <w:rPr>
                <w:color w:val="7030A0"/>
                <w:highlight w:val="yellow"/>
              </w:rPr>
              <w:t>4</w:t>
            </w:r>
            <w:r w:rsidR="00B576C7">
              <w:rPr>
                <w:color w:val="7030A0"/>
                <w:highlight w:val="yellow"/>
              </w:rPr>
              <w:t>5</w:t>
            </w:r>
            <w:r w:rsidRPr="000D0191">
              <w:t>%</w:t>
            </w:r>
          </w:p>
        </w:tc>
        <w:tc>
          <w:tcPr>
            <w:tcW w:w="750" w:type="pct"/>
            <w:tcBorders>
              <w:top w:val="single" w:sz="4" w:space="0" w:color="808080"/>
              <w:left w:val="single" w:sz="4" w:space="0" w:color="808080"/>
              <w:bottom w:val="single" w:sz="4" w:space="0" w:color="808080"/>
              <w:right w:val="outset" w:sz="6" w:space="0" w:color="ECE9D8"/>
            </w:tcBorders>
            <w:shd w:val="clear" w:color="auto" w:fill="D9D9D9"/>
            <w:vAlign w:val="center"/>
          </w:tcPr>
          <w:p w14:paraId="6BC08F46" w14:textId="460082C4" w:rsidR="00224D18" w:rsidRPr="005F763D" w:rsidRDefault="00D120E5" w:rsidP="000D6E4F">
            <w:pPr>
              <w:pStyle w:val="TableText-RightBold"/>
            </w:pPr>
            <w:r w:rsidRPr="005F763D">
              <w:t>$___,___</w:t>
            </w:r>
          </w:p>
        </w:tc>
      </w:tr>
    </w:tbl>
    <w:p w14:paraId="2AD837D5" w14:textId="5B2397C1" w:rsidR="00224D18" w:rsidRPr="00F14008" w:rsidRDefault="00224D18" w:rsidP="00F14008">
      <w:pPr>
        <w:pStyle w:val="Notes-Heading"/>
        <w:rPr>
          <w:b w:val="0"/>
        </w:rPr>
      </w:pPr>
      <w:r w:rsidRPr="005F763D">
        <w:t>Notes:</w:t>
      </w:r>
      <w:r w:rsidR="001264A3">
        <w:t xml:space="preserve">  </w:t>
      </w:r>
      <w:r w:rsidRPr="00F14008">
        <w:rPr>
          <w:b w:val="0"/>
        </w:rPr>
        <w:t xml:space="preserve">MTR = Marginal Tax Rate. We have assumed Medicare of </w:t>
      </w:r>
      <w:r w:rsidR="002E5D21" w:rsidRPr="00F14008">
        <w:rPr>
          <w:b w:val="0"/>
        </w:rPr>
        <w:t>2</w:t>
      </w:r>
      <w:r w:rsidRPr="00F14008">
        <w:rPr>
          <w:b w:val="0"/>
        </w:rPr>
        <w:t>%.</w:t>
      </w:r>
    </w:p>
    <w:p w14:paraId="43E2C05E" w14:textId="77777777" w:rsidR="00224D18" w:rsidRPr="005F763D" w:rsidRDefault="00224D18" w:rsidP="008C7CE9">
      <w:pPr>
        <w:jc w:val="left"/>
      </w:pPr>
    </w:p>
    <w:p w14:paraId="0D205670" w14:textId="77777777" w:rsidR="001C4FFB" w:rsidRDefault="001C4FFB" w:rsidP="001B7654">
      <w:pPr>
        <w:pStyle w:val="InterPracBullet1"/>
      </w:pPr>
    </w:p>
    <w:p w14:paraId="159B6B38" w14:textId="77777777" w:rsidR="00224D18" w:rsidRPr="005F763D" w:rsidRDefault="00224D18" w:rsidP="008C7CE9">
      <w:pPr>
        <w:jc w:val="left"/>
        <w:rPr>
          <w:color w:val="002060"/>
          <w:sz w:val="24"/>
        </w:rPr>
      </w:pPr>
      <w:r w:rsidRPr="005F763D">
        <w:rPr>
          <w:color w:val="002060"/>
          <w:sz w:val="24"/>
        </w:rPr>
        <w:t>Lump Sum Gearing</w:t>
      </w:r>
    </w:p>
    <w:p w14:paraId="066CF639" w14:textId="3DC124F4" w:rsidR="00224D18" w:rsidRDefault="00224D1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0E7FCD7F" w14:textId="77777777" w:rsidTr="00C633C4">
        <w:tc>
          <w:tcPr>
            <w:tcW w:w="2754" w:type="dxa"/>
          </w:tcPr>
          <w:p w14:paraId="745ADC05"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w:t>
            </w:r>
            <w:commentRangeStart w:id="24"/>
            <w:r w:rsidRPr="00EA0A06">
              <w:rPr>
                <w:rFonts w:ascii="Calibri Light" w:hAnsi="Calibri Light"/>
                <w:color w:val="000000" w:themeColor="text1"/>
              </w:rPr>
              <w:t>Number</w:t>
            </w:r>
            <w:commentRangeEnd w:id="24"/>
            <w:r w:rsidR="00A13D91">
              <w:rPr>
                <w:rStyle w:val="CommentReference"/>
                <w:rFonts w:eastAsia="MS Mincho"/>
                <w:b w:val="0"/>
                <w:lang w:eastAsia="ja-JP"/>
              </w:rPr>
              <w:commentReference w:id="24"/>
            </w:r>
            <w:r w:rsidRPr="00EA0A06">
              <w:rPr>
                <w:rFonts w:ascii="Calibri Light" w:hAnsi="Calibri Light"/>
                <w:color w:val="000000" w:themeColor="text1"/>
              </w:rPr>
              <w:t>&gt;</w:t>
            </w:r>
          </w:p>
        </w:tc>
        <w:tc>
          <w:tcPr>
            <w:tcW w:w="6798" w:type="dxa"/>
          </w:tcPr>
          <w:p w14:paraId="5CB7B3F6" w14:textId="77777777" w:rsidR="00C633C4" w:rsidRPr="00E51BEA" w:rsidRDefault="00C633C4" w:rsidP="00D2574D">
            <w:pPr>
              <w:jc w:val="left"/>
              <w:rPr>
                <w:rFonts w:ascii="Calibri Light" w:hAnsi="Calibri Light"/>
              </w:rPr>
            </w:pPr>
          </w:p>
        </w:tc>
      </w:tr>
      <w:tr w:rsidR="007001C1" w:rsidRPr="001A22F0" w14:paraId="1527EDAB" w14:textId="77777777" w:rsidTr="00C633C4">
        <w:tc>
          <w:tcPr>
            <w:tcW w:w="2754" w:type="dxa"/>
          </w:tcPr>
          <w:p w14:paraId="157BB1B3"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t>Title</w:t>
            </w:r>
          </w:p>
        </w:tc>
        <w:tc>
          <w:tcPr>
            <w:tcW w:w="6798" w:type="dxa"/>
          </w:tcPr>
          <w:p w14:paraId="455CD36E" w14:textId="7B582CE4" w:rsidR="007001C1" w:rsidRPr="001A22F0" w:rsidRDefault="00630171" w:rsidP="003A09CD">
            <w:pPr>
              <w:jc w:val="left"/>
            </w:pPr>
            <w:r>
              <w:t xml:space="preserve">Borrowing a lump sum </w:t>
            </w:r>
            <w:r w:rsidR="001C6938">
              <w:t>to Invest</w:t>
            </w:r>
          </w:p>
        </w:tc>
      </w:tr>
      <w:tr w:rsidR="007001C1" w:rsidRPr="001A22F0" w14:paraId="5C350AA5" w14:textId="77777777" w:rsidTr="00C633C4">
        <w:tc>
          <w:tcPr>
            <w:tcW w:w="2754" w:type="dxa"/>
          </w:tcPr>
          <w:p w14:paraId="37D57045"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t>Explanation</w:t>
            </w:r>
          </w:p>
        </w:tc>
        <w:tc>
          <w:tcPr>
            <w:tcW w:w="6798" w:type="dxa"/>
          </w:tcPr>
          <w:p w14:paraId="4D7831ED" w14:textId="7B421BC0" w:rsidR="001C6938" w:rsidRDefault="001C6938" w:rsidP="001C6938">
            <w:pPr>
              <w:jc w:val="left"/>
              <w:rPr>
                <w:color w:val="FF0000"/>
              </w:rPr>
            </w:pPr>
            <w:r w:rsidRPr="005F763D">
              <w:t xml:space="preserve">We recommend you commence a gearing strategy in </w:t>
            </w:r>
            <w:r>
              <w:rPr>
                <w:color w:val="FF0000"/>
              </w:rPr>
              <w:t>[</w:t>
            </w:r>
            <w:r w:rsidRPr="005F763D">
              <w:rPr>
                <w:color w:val="FF0000"/>
              </w:rPr>
              <w:t>Clie</w:t>
            </w:r>
            <w:r>
              <w:rPr>
                <w:color w:val="FF0000"/>
              </w:rPr>
              <w:t>nt</w:t>
            </w:r>
            <w:r w:rsidRPr="002A5787">
              <w:rPr>
                <w:color w:val="FF0000"/>
              </w:rPr>
              <w:t xml:space="preserve">][s’] </w:t>
            </w:r>
            <w:r>
              <w:t>name</w:t>
            </w:r>
            <w:r w:rsidRPr="002A5787">
              <w:rPr>
                <w:color w:val="FF0000"/>
              </w:rPr>
              <w:t>[s]</w:t>
            </w:r>
            <w:r>
              <w:t xml:space="preserve"> </w:t>
            </w:r>
            <w:r w:rsidRPr="005F763D">
              <w:t>$</w:t>
            </w:r>
            <w:r w:rsidRPr="005F763D">
              <w:rPr>
                <w:color w:val="FF0000"/>
              </w:rPr>
              <w:t>[__</w:t>
            </w:r>
            <w:proofErr w:type="gramStart"/>
            <w:r w:rsidRPr="005F763D">
              <w:rPr>
                <w:color w:val="FF0000"/>
              </w:rPr>
              <w:t>_,_</w:t>
            </w:r>
            <w:proofErr w:type="gramEnd"/>
            <w:r w:rsidRPr="005F763D">
              <w:rPr>
                <w:color w:val="FF0000"/>
              </w:rPr>
              <w:t>__]</w:t>
            </w:r>
            <w:r w:rsidRPr="005F763D">
              <w:t xml:space="preserve"> of your own capital and borrowing $</w:t>
            </w:r>
            <w:r w:rsidRPr="005F763D">
              <w:rPr>
                <w:color w:val="FF0000"/>
              </w:rPr>
              <w:t>[___,___]</w:t>
            </w:r>
            <w:r w:rsidRPr="005F763D">
              <w:t xml:space="preserve"> from </w:t>
            </w:r>
            <w:r w:rsidRPr="005F763D">
              <w:rPr>
                <w:color w:val="FF0000"/>
              </w:rPr>
              <w:t>[</w:t>
            </w:r>
            <w:r>
              <w:rPr>
                <w:color w:val="FF0000"/>
              </w:rPr>
              <w:t>lender</w:t>
            </w:r>
            <w:r w:rsidRPr="005F763D">
              <w:rPr>
                <w:color w:val="FF0000"/>
              </w:rPr>
              <w:t>]</w:t>
            </w:r>
            <w:r w:rsidRPr="005F763D">
              <w:t xml:space="preserve">, using your </w:t>
            </w:r>
            <w:r w:rsidRPr="005F763D">
              <w:rPr>
                <w:color w:val="FF0000"/>
              </w:rPr>
              <w:t>[</w:t>
            </w:r>
            <w:r>
              <w:rPr>
                <w:color w:val="FF0000"/>
              </w:rPr>
              <w:t>security</w:t>
            </w:r>
            <w:r w:rsidRPr="005F763D">
              <w:rPr>
                <w:color w:val="FF0000"/>
              </w:rPr>
              <w:t>]</w:t>
            </w:r>
            <w:r w:rsidRPr="005F763D">
              <w:t xml:space="preserve"> as security for </w:t>
            </w:r>
            <w:r>
              <w:t xml:space="preserve">the </w:t>
            </w:r>
            <w:r w:rsidRPr="005F763D">
              <w:t>loan.</w:t>
            </w:r>
            <w:r w:rsidRPr="005F763D" w:rsidDel="00ED716E">
              <w:rPr>
                <w:color w:val="FF0000"/>
              </w:rPr>
              <w:t xml:space="preserve"> </w:t>
            </w:r>
          </w:p>
          <w:p w14:paraId="4282B458" w14:textId="77777777" w:rsidR="003E4D1D" w:rsidRPr="005F763D" w:rsidRDefault="003E4D1D" w:rsidP="001C6938">
            <w:pPr>
              <w:jc w:val="left"/>
            </w:pPr>
          </w:p>
          <w:p w14:paraId="4A1FF611" w14:textId="77777777" w:rsidR="003E4D1D" w:rsidRPr="005F763D" w:rsidRDefault="003E4D1D" w:rsidP="003E4D1D">
            <w:pPr>
              <w:jc w:val="left"/>
            </w:pPr>
            <w:r w:rsidRPr="005F763D">
              <w:lastRenderedPageBreak/>
              <w:t xml:space="preserve">We have recommended the gearing strategy be commenced in </w:t>
            </w:r>
            <w:r>
              <w:rPr>
                <w:color w:val="FF0000"/>
              </w:rPr>
              <w:t>[</w:t>
            </w:r>
            <w:r w:rsidRPr="005F763D">
              <w:rPr>
                <w:color w:val="FF0000"/>
              </w:rPr>
              <w:t>Clie</w:t>
            </w:r>
            <w:r>
              <w:rPr>
                <w:color w:val="FF0000"/>
              </w:rPr>
              <w:t>nt</w:t>
            </w:r>
            <w:r w:rsidRPr="002A5787">
              <w:rPr>
                <w:color w:val="FF0000"/>
              </w:rPr>
              <w:t xml:space="preserve">][s’] </w:t>
            </w:r>
            <w:r>
              <w:t>name</w:t>
            </w:r>
            <w:r w:rsidRPr="002A5787">
              <w:rPr>
                <w:color w:val="FF0000"/>
              </w:rPr>
              <w:t>[s]</w:t>
            </w:r>
            <w:r>
              <w:t xml:space="preserve"> </w:t>
            </w:r>
            <w:r w:rsidRPr="005F763D">
              <w:t xml:space="preserve">as </w:t>
            </w:r>
            <w:r w:rsidRPr="005F763D">
              <w:rPr>
                <w:color w:val="FF0000"/>
              </w:rPr>
              <w:t>[</w:t>
            </w:r>
            <w:r>
              <w:rPr>
                <w:color w:val="FF0000"/>
              </w:rPr>
              <w:t>your][</w:t>
            </w:r>
            <w:r w:rsidRPr="005F763D">
              <w:rPr>
                <w:color w:val="FF0000"/>
              </w:rPr>
              <w:t>his][her]</w:t>
            </w:r>
            <w:r w:rsidRPr="005F763D">
              <w:t xml:space="preserve"> higher marginal tax rate will maximise the benefit obtainable via deductible interest costs.</w:t>
            </w:r>
          </w:p>
          <w:p w14:paraId="472FCFB4" w14:textId="77777777" w:rsidR="003E4D1D" w:rsidRPr="005F763D" w:rsidRDefault="003E4D1D" w:rsidP="003E4D1D">
            <w:pPr>
              <w:jc w:val="left"/>
            </w:pPr>
          </w:p>
          <w:p w14:paraId="10400AF4" w14:textId="77777777" w:rsidR="003E4D1D" w:rsidRPr="005F763D" w:rsidRDefault="003E4D1D" w:rsidP="003E4D1D">
            <w:pPr>
              <w:jc w:val="left"/>
            </w:pPr>
            <w:r w:rsidRPr="005F763D">
              <w:t xml:space="preserve">We recommend </w:t>
            </w:r>
            <w:r w:rsidRPr="005F763D">
              <w:rPr>
                <w:color w:val="FF0000"/>
              </w:rPr>
              <w:t>[Client][Partner]</w:t>
            </w:r>
            <w:r w:rsidRPr="005F763D">
              <w:t xml:space="preserve"> invest the proceeds into a diversified portfolio of </w:t>
            </w:r>
            <w:r w:rsidRPr="005F763D">
              <w:rPr>
                <w:color w:val="FF0000"/>
              </w:rPr>
              <w:t>[managed investments]</w:t>
            </w:r>
            <w:r w:rsidRPr="005F763D">
              <w:t xml:space="preserve"> through </w:t>
            </w:r>
            <w:r w:rsidRPr="005F763D">
              <w:rPr>
                <w:color w:val="FF0000"/>
              </w:rPr>
              <w:t>[insert product]</w:t>
            </w:r>
            <w:r w:rsidRPr="005F763D">
              <w:t>.</w:t>
            </w:r>
          </w:p>
          <w:p w14:paraId="03F0EEF6" w14:textId="77777777" w:rsidR="003E4D1D" w:rsidRPr="005F763D" w:rsidRDefault="003E4D1D" w:rsidP="003E4D1D">
            <w:pPr>
              <w:jc w:val="left"/>
            </w:pPr>
          </w:p>
          <w:p w14:paraId="4D0C0F4F" w14:textId="77777777" w:rsidR="003E4D1D" w:rsidRPr="005F763D" w:rsidRDefault="003E4D1D" w:rsidP="003E4D1D">
            <w:pPr>
              <w:jc w:val="left"/>
            </w:pPr>
            <w:r w:rsidRPr="005F763D">
              <w:t xml:space="preserve">We recommend the loan repayments be structured as interest only in order to minimise the impact on your cashflow and maximise tax-deductibility. Based on an annual interest rate of </w:t>
            </w:r>
            <w:r w:rsidRPr="005F763D">
              <w:rPr>
                <w:color w:val="FF0000"/>
              </w:rPr>
              <w:t>[__</w:t>
            </w:r>
            <w:proofErr w:type="gramStart"/>
            <w:r w:rsidRPr="005F763D">
              <w:rPr>
                <w:color w:val="FF0000"/>
              </w:rPr>
              <w:t>_]</w:t>
            </w:r>
            <w:r w:rsidRPr="005F763D">
              <w:t>%</w:t>
            </w:r>
            <w:proofErr w:type="gramEnd"/>
            <w:r w:rsidRPr="005F763D">
              <w:t>, we estimate your annual interest cost (before tax) to be $</w:t>
            </w:r>
            <w:r w:rsidRPr="005F763D">
              <w:rPr>
                <w:color w:val="FF0000"/>
              </w:rPr>
              <w:t>[___,___]</w:t>
            </w:r>
            <w:r w:rsidRPr="005F763D">
              <w:t>. We will arrange for interest repayments to be paid from your everyday bank account.</w:t>
            </w:r>
          </w:p>
          <w:p w14:paraId="1240D4EC" w14:textId="77777777" w:rsidR="007001C1" w:rsidRPr="001A22F0" w:rsidRDefault="007001C1" w:rsidP="003A09CD">
            <w:pPr>
              <w:jc w:val="left"/>
            </w:pPr>
          </w:p>
        </w:tc>
      </w:tr>
      <w:tr w:rsidR="007001C1" w:rsidRPr="001A22F0" w14:paraId="4E42A910" w14:textId="77777777" w:rsidTr="00C633C4">
        <w:tc>
          <w:tcPr>
            <w:tcW w:w="2754" w:type="dxa"/>
          </w:tcPr>
          <w:p w14:paraId="79E63C85"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lastRenderedPageBreak/>
              <w:t>In your Best Interest</w:t>
            </w:r>
          </w:p>
        </w:tc>
        <w:tc>
          <w:tcPr>
            <w:tcW w:w="6798" w:type="dxa"/>
          </w:tcPr>
          <w:p w14:paraId="10ACBFB1" w14:textId="77777777" w:rsidR="007001C1" w:rsidRPr="001A22F0" w:rsidRDefault="007001C1" w:rsidP="003A09CD">
            <w:pPr>
              <w:jc w:val="left"/>
            </w:pPr>
          </w:p>
        </w:tc>
      </w:tr>
      <w:tr w:rsidR="007001C1" w:rsidRPr="001A22F0" w14:paraId="10DE24D2" w14:textId="77777777" w:rsidTr="00C633C4">
        <w:tc>
          <w:tcPr>
            <w:tcW w:w="2754" w:type="dxa"/>
          </w:tcPr>
          <w:p w14:paraId="6E5CBAC1"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t>Further Detail</w:t>
            </w:r>
          </w:p>
        </w:tc>
        <w:tc>
          <w:tcPr>
            <w:tcW w:w="6798" w:type="dxa"/>
          </w:tcPr>
          <w:p w14:paraId="06DF4110" w14:textId="77777777" w:rsidR="00632EF8" w:rsidRPr="000D0191" w:rsidRDefault="00632EF8" w:rsidP="00632EF8">
            <w:pPr>
              <w:jc w:val="left"/>
              <w:rPr>
                <w:b/>
                <w:color w:val="auto"/>
                <w:highlight w:val="yellow"/>
              </w:rPr>
            </w:pPr>
            <w:r w:rsidRPr="000D0191">
              <w:rPr>
                <w:b/>
                <w:color w:val="auto"/>
                <w:highlight w:val="yellow"/>
              </w:rPr>
              <w:t>If using a margin loan facility:</w:t>
            </w:r>
          </w:p>
          <w:p w14:paraId="3DCFB4DD" w14:textId="77777777" w:rsidR="00632EF8" w:rsidRPr="005F763D" w:rsidRDefault="00632EF8" w:rsidP="00632EF8">
            <w:pPr>
              <w:jc w:val="left"/>
            </w:pPr>
            <w:r w:rsidRPr="005F763D">
              <w:t>Our recommendations are based on a margin lending gearing facility. With a margin loan, the lender will generally lend to a maximum of 70% of the market value of the approved investments, although this depends on the actual investments. For example, on an investment portfolio of $100,000 with a maximum lending margin of 65%, the lender will provide borrowed funds up to $65,000. The remaining $35,000 (35%) will be the investor’s own capital.</w:t>
            </w:r>
          </w:p>
          <w:p w14:paraId="645A6903" w14:textId="77777777" w:rsidR="00632EF8" w:rsidRPr="005F763D" w:rsidRDefault="00632EF8" w:rsidP="00632EF8">
            <w:pPr>
              <w:jc w:val="left"/>
            </w:pPr>
          </w:p>
          <w:p w14:paraId="7B7B730D" w14:textId="77777777" w:rsidR="00632EF8" w:rsidRPr="005F763D" w:rsidRDefault="00632EF8" w:rsidP="00632EF8">
            <w:pPr>
              <w:jc w:val="left"/>
            </w:pPr>
            <w:r w:rsidRPr="005F763D">
              <w:t xml:space="preserve">The level of borrowings we recommend aim to manage your loan to equity ratio at approximately </w:t>
            </w:r>
            <w:r w:rsidRPr="005F763D">
              <w:rPr>
                <w:color w:val="FF0000"/>
              </w:rPr>
              <w:t xml:space="preserve">[loan/equity </w:t>
            </w:r>
            <w:proofErr w:type="gramStart"/>
            <w:r w:rsidRPr="005F763D">
              <w:rPr>
                <w:color w:val="FF0000"/>
              </w:rPr>
              <w:t>ratio]</w:t>
            </w:r>
            <w:r w:rsidRPr="005F763D">
              <w:t>%</w:t>
            </w:r>
            <w:proofErr w:type="gramEnd"/>
            <w:r w:rsidRPr="005F763D">
              <w:t>. This loan to equity ratio aims to provide protection against a margin call in the event that investment markets downturn.</w:t>
            </w:r>
          </w:p>
          <w:p w14:paraId="49F9A731" w14:textId="77777777" w:rsidR="00632EF8" w:rsidRPr="005F763D" w:rsidRDefault="00632EF8" w:rsidP="00632EF8">
            <w:pPr>
              <w:jc w:val="left"/>
            </w:pPr>
          </w:p>
          <w:p w14:paraId="791C93D2" w14:textId="033240E0" w:rsidR="007001C1" w:rsidRDefault="00632EF8" w:rsidP="00632EF8">
            <w:pPr>
              <w:jc w:val="left"/>
            </w:pPr>
            <w:r w:rsidRPr="005F763D">
              <w:t xml:space="preserve">Margin Calls occur if the loan balance is greater than the maximum loan limit. This can occur when there is a market downturn and the value of your portfolio falls. For example, the lender in the above example may make a margin call when the value of the loan balance exceeds 70% </w:t>
            </w:r>
            <w:r>
              <w:t>plus a 5% ‘buffer’. A buffer is used to avoid unnecessary margin calls due to temporary asset value fluctuations</w:t>
            </w:r>
            <w:r w:rsidRPr="005F763D">
              <w:t>.</w:t>
            </w:r>
            <w:r>
              <w:t xml:space="preserve"> In this example, a loan balance of 72% would not trigger a margin call.</w:t>
            </w:r>
          </w:p>
          <w:p w14:paraId="1E67F5C3" w14:textId="77777777" w:rsidR="00632EF8" w:rsidRDefault="00632EF8" w:rsidP="00632EF8">
            <w:pPr>
              <w:jc w:val="left"/>
            </w:pPr>
          </w:p>
          <w:p w14:paraId="3BB69414" w14:textId="77777777" w:rsidR="00632EF8" w:rsidRPr="000D0191" w:rsidRDefault="00632EF8" w:rsidP="00632EF8">
            <w:pPr>
              <w:jc w:val="left"/>
              <w:rPr>
                <w:b/>
                <w:color w:val="auto"/>
                <w:highlight w:val="yellow"/>
              </w:rPr>
            </w:pPr>
            <w:r w:rsidRPr="000D0191">
              <w:rPr>
                <w:b/>
                <w:color w:val="auto"/>
                <w:highlight w:val="yellow"/>
              </w:rPr>
              <w:t>Always Include:</w:t>
            </w:r>
          </w:p>
          <w:p w14:paraId="665B8EF1" w14:textId="02631B09" w:rsidR="00632EF8" w:rsidRPr="00140D01" w:rsidRDefault="00632EF8" w:rsidP="00632EF8">
            <w:pPr>
              <w:jc w:val="left"/>
            </w:pPr>
            <w:r w:rsidRPr="00140D01">
              <w:t xml:space="preserve">The </w:t>
            </w:r>
            <w:r w:rsidR="00970D34" w:rsidRPr="00140D01">
              <w:t xml:space="preserve">typical </w:t>
            </w:r>
            <w:r w:rsidRPr="00140D01">
              <w:t>benefits of this recommendation are:</w:t>
            </w:r>
          </w:p>
          <w:p w14:paraId="61879EEC" w14:textId="77777777" w:rsidR="00632EF8" w:rsidRPr="00140D01" w:rsidRDefault="00632EF8">
            <w:pPr>
              <w:pStyle w:val="InterPracBullet"/>
              <w:numPr>
                <w:ilvl w:val="0"/>
                <w:numId w:val="93"/>
              </w:numPr>
            </w:pPr>
            <w:r w:rsidRPr="00140D01">
              <w:t>You implement an investment strategy which provides the potential for accelerated wealth creation which will assist in achieving your long term goals.</w:t>
            </w:r>
          </w:p>
          <w:p w14:paraId="2AE8A8BD" w14:textId="77777777" w:rsidR="00632EF8" w:rsidRPr="00140D01" w:rsidRDefault="00632EF8">
            <w:pPr>
              <w:pStyle w:val="InterPracBullet"/>
              <w:numPr>
                <w:ilvl w:val="0"/>
                <w:numId w:val="93"/>
              </w:numPr>
            </w:pPr>
            <w:r w:rsidRPr="00140D01">
              <w:t>You utilise your surplus cashflow for wealth creation purposes.</w:t>
            </w:r>
          </w:p>
          <w:p w14:paraId="3A9E2ECE" w14:textId="77777777" w:rsidR="00632EF8" w:rsidRPr="00140D01" w:rsidRDefault="00632EF8">
            <w:pPr>
              <w:pStyle w:val="InterPracBullet"/>
              <w:numPr>
                <w:ilvl w:val="0"/>
                <w:numId w:val="93"/>
              </w:numPr>
            </w:pPr>
            <w:r w:rsidRPr="00140D01">
              <w:t>You can achieve greater diversification of your investment portfolio due to the large sum of capital available to invest.</w:t>
            </w:r>
          </w:p>
          <w:p w14:paraId="61766E00" w14:textId="77777777" w:rsidR="00632EF8" w:rsidRPr="00140D01" w:rsidRDefault="00632EF8">
            <w:pPr>
              <w:pStyle w:val="InterPracBullet"/>
              <w:numPr>
                <w:ilvl w:val="0"/>
                <w:numId w:val="93"/>
              </w:numPr>
            </w:pPr>
            <w:r w:rsidRPr="00140D01">
              <w:t>You have a greater number of assets working for you to build wealth over the long term.</w:t>
            </w:r>
          </w:p>
          <w:p w14:paraId="240580B0" w14:textId="77777777" w:rsidR="00632EF8" w:rsidRPr="00140D01" w:rsidRDefault="00632EF8" w:rsidP="00632EF8">
            <w:pPr>
              <w:jc w:val="left"/>
            </w:pPr>
          </w:p>
          <w:p w14:paraId="414789E6" w14:textId="5E1C2E76" w:rsidR="00970D34" w:rsidRPr="005F763D" w:rsidRDefault="00970D34" w:rsidP="00970D34">
            <w:pPr>
              <w:jc w:val="left"/>
            </w:pPr>
            <w:r w:rsidRPr="00140D01">
              <w:t>The typical risks associated with implementing the recommended gearing strategy are:</w:t>
            </w:r>
          </w:p>
          <w:p w14:paraId="70821737" w14:textId="77777777" w:rsidR="00970D34" w:rsidRPr="005F763D" w:rsidRDefault="00970D34">
            <w:pPr>
              <w:pStyle w:val="InterPracBullet"/>
              <w:numPr>
                <w:ilvl w:val="0"/>
                <w:numId w:val="94"/>
              </w:numPr>
            </w:pPr>
            <w:r w:rsidRPr="005F763D">
              <w:t>As a higher level of capital is invested (some of which is borrowed and at some point must be re-paid), capital losses may be magnified in the event of a market downturn.</w:t>
            </w:r>
          </w:p>
          <w:p w14:paraId="49C190F1" w14:textId="569414A6" w:rsidR="00970D34" w:rsidRDefault="00970D34">
            <w:pPr>
              <w:pStyle w:val="InterPracBullet"/>
              <w:numPr>
                <w:ilvl w:val="0"/>
                <w:numId w:val="94"/>
              </w:numPr>
            </w:pPr>
            <w:r w:rsidRPr="005F763D">
              <w:t>Loss of a regular source of income (e.g. employment income) could cause cash flow problems, which might necessitate liquidation of all or part of the portfolio at an unfavourable time.</w:t>
            </w:r>
          </w:p>
          <w:p w14:paraId="186D5659" w14:textId="77777777" w:rsidR="00970D34" w:rsidRDefault="00970D34">
            <w:pPr>
              <w:pStyle w:val="InterPracBullet"/>
              <w:numPr>
                <w:ilvl w:val="0"/>
                <w:numId w:val="94"/>
              </w:numPr>
            </w:pPr>
            <w:r w:rsidRPr="005F763D">
              <w:t>If the interest rate is not fixed for the whole term of the investment, interest rates may increase which will increase interest costs and place potential further burden on your cashflow.</w:t>
            </w:r>
          </w:p>
          <w:p w14:paraId="35965213" w14:textId="77777777" w:rsidR="00970D34" w:rsidRDefault="00970D34" w:rsidP="001B7654">
            <w:pPr>
              <w:pStyle w:val="InterPracBullet1"/>
            </w:pPr>
          </w:p>
          <w:p w14:paraId="62D77027" w14:textId="77777777" w:rsidR="00970D34" w:rsidRPr="000D0191" w:rsidRDefault="00970D34" w:rsidP="00970D34">
            <w:pPr>
              <w:jc w:val="left"/>
              <w:rPr>
                <w:b/>
                <w:highlight w:val="yellow"/>
              </w:rPr>
            </w:pPr>
            <w:r w:rsidRPr="000D0191">
              <w:rPr>
                <w:b/>
                <w:color w:val="auto"/>
                <w:highlight w:val="yellow"/>
              </w:rPr>
              <w:t>If using a margin loan facility:</w:t>
            </w:r>
          </w:p>
          <w:p w14:paraId="7DF66C6B" w14:textId="77777777" w:rsidR="00970D34" w:rsidRPr="005F763D" w:rsidRDefault="00970D34">
            <w:pPr>
              <w:pStyle w:val="InterPracBullet"/>
            </w:pPr>
            <w:r w:rsidRPr="005F763D">
              <w:t>In the event of a market downturn a margin call may be triggered, requiring additional capital to be added to the investment to re-establish the loan to equity ratio.</w:t>
            </w:r>
          </w:p>
          <w:p w14:paraId="76756630" w14:textId="2185C5E4" w:rsidR="00970D34" w:rsidRPr="001A22F0" w:rsidRDefault="00970D34" w:rsidP="00632EF8">
            <w:pPr>
              <w:jc w:val="left"/>
            </w:pPr>
          </w:p>
        </w:tc>
      </w:tr>
    </w:tbl>
    <w:p w14:paraId="35A26DA3" w14:textId="77777777" w:rsidR="007001C1" w:rsidRPr="005F763D" w:rsidRDefault="007001C1" w:rsidP="008C7CE9">
      <w:pPr>
        <w:jc w:val="left"/>
      </w:pPr>
    </w:p>
    <w:p w14:paraId="221612A2" w14:textId="68C1D541" w:rsidR="00224D18" w:rsidRPr="00C37CF9" w:rsidRDefault="00C37CF9" w:rsidP="008C7CE9">
      <w:pPr>
        <w:jc w:val="left"/>
        <w:rPr>
          <w:b/>
        </w:rPr>
      </w:pPr>
      <w:r w:rsidRPr="00C37CF9">
        <w:rPr>
          <w:b/>
        </w:rPr>
        <w:t>Further Detail continued</w:t>
      </w:r>
    </w:p>
    <w:p w14:paraId="77B039D1" w14:textId="77777777" w:rsidR="00224D18" w:rsidRPr="005F763D" w:rsidRDefault="00224D18" w:rsidP="008C7CE9">
      <w:pPr>
        <w:jc w:val="left"/>
      </w:pPr>
      <w:r w:rsidRPr="005F763D">
        <w:t>We estimate you will achieve the following tax savings via the gearing strategy in the first year:</w:t>
      </w:r>
    </w:p>
    <w:p w14:paraId="3EA6FEF6" w14:textId="77777777" w:rsidR="00224D18" w:rsidRPr="005F763D" w:rsidRDefault="00224D18" w:rsidP="008C7CE9">
      <w:pPr>
        <w:jc w:val="left"/>
      </w:pPr>
    </w:p>
    <w:tbl>
      <w:tblPr>
        <w:tblW w:w="5000" w:type="pct"/>
        <w:jc w:val="center"/>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8185"/>
        <w:gridCol w:w="1445"/>
      </w:tblGrid>
      <w:tr w:rsidR="00224D18" w:rsidRPr="005F763D" w14:paraId="6E43D4EC"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BFBFBF"/>
            <w:vAlign w:val="center"/>
          </w:tcPr>
          <w:p w14:paraId="278FFCE9" w14:textId="77777777" w:rsidR="00224D18" w:rsidRPr="005F763D" w:rsidRDefault="00224D18" w:rsidP="008C7CE9">
            <w:pPr>
              <w:pStyle w:val="Table2-Left"/>
              <w:rPr>
                <w:rFonts w:ascii="Calibri" w:hAnsi="Calibri"/>
              </w:rPr>
            </w:pPr>
          </w:p>
        </w:tc>
        <w:tc>
          <w:tcPr>
            <w:tcW w:w="750" w:type="pct"/>
            <w:tcBorders>
              <w:top w:val="single" w:sz="4" w:space="0" w:color="808080"/>
              <w:left w:val="single" w:sz="4" w:space="0" w:color="808080"/>
              <w:bottom w:val="single" w:sz="4" w:space="0" w:color="808080"/>
              <w:right w:val="outset" w:sz="6" w:space="0" w:color="ECE9D8"/>
            </w:tcBorders>
            <w:shd w:val="clear" w:color="auto" w:fill="BFBFBF"/>
            <w:vAlign w:val="center"/>
          </w:tcPr>
          <w:p w14:paraId="59E62C71" w14:textId="77777777" w:rsidR="00224D18" w:rsidRPr="005F763D" w:rsidRDefault="00224D18" w:rsidP="008C7CE9">
            <w:pPr>
              <w:pStyle w:val="TableHeader2-Centre"/>
              <w:jc w:val="left"/>
              <w:rPr>
                <w:rFonts w:ascii="Calibri" w:hAnsi="Calibri"/>
              </w:rPr>
            </w:pPr>
            <w:r w:rsidRPr="005F763D">
              <w:rPr>
                <w:rFonts w:ascii="Calibri" w:hAnsi="Calibri"/>
              </w:rPr>
              <w:t>Value ($)</w:t>
            </w:r>
          </w:p>
        </w:tc>
      </w:tr>
      <w:tr w:rsidR="00224D18" w:rsidRPr="005F763D" w14:paraId="29093F72"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3B4C54D3" w14:textId="77777777" w:rsidR="00224D18" w:rsidRPr="005F763D" w:rsidRDefault="00224D18" w:rsidP="000D0191">
            <w:pPr>
              <w:jc w:val="left"/>
            </w:pPr>
            <w:r w:rsidRPr="005F763D">
              <w:t>Estimated interest cost on borrowings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A5EFC7D" w14:textId="1D9CA043" w:rsidR="00224D18" w:rsidRPr="005F763D" w:rsidRDefault="00D120E5" w:rsidP="000D0191">
            <w:pPr>
              <w:pStyle w:val="Table3-Right"/>
              <w:rPr>
                <w:rFonts w:ascii="Calibri" w:hAnsi="Calibri"/>
              </w:rPr>
            </w:pPr>
            <w:r w:rsidRPr="005F763D">
              <w:rPr>
                <w:color w:val="FF0000"/>
              </w:rPr>
              <w:t>$___,___</w:t>
            </w:r>
          </w:p>
        </w:tc>
      </w:tr>
      <w:tr w:rsidR="00224D18" w:rsidRPr="005F763D" w14:paraId="3AC3F759"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0E26C295" w14:textId="77777777" w:rsidR="00B66098" w:rsidRDefault="00B66098" w:rsidP="000D0191">
            <w:pPr>
              <w:jc w:val="left"/>
            </w:pPr>
            <w:r w:rsidRPr="005F763D">
              <w:t xml:space="preserve">Estimated income generated from investment of borrowed funds (assumed </w:t>
            </w:r>
            <w:proofErr w:type="gramStart"/>
            <w:r w:rsidRPr="002A5787">
              <w:t>[ ]</w:t>
            </w:r>
            <w:proofErr w:type="gramEnd"/>
            <w:r w:rsidRPr="005F763D">
              <w:t>%)</w:t>
            </w:r>
          </w:p>
          <w:p w14:paraId="62D3D1F4" w14:textId="110BF029" w:rsidR="00224D18" w:rsidRPr="000D0191" w:rsidRDefault="00B66098" w:rsidP="000D0191">
            <w:pPr>
              <w:jc w:val="left"/>
              <w:rPr>
                <w:b/>
                <w:sz w:val="16"/>
                <w:szCs w:val="16"/>
              </w:rPr>
            </w:pPr>
            <w:r w:rsidRPr="000D0191">
              <w:rPr>
                <w:b/>
                <w:sz w:val="16"/>
                <w:szCs w:val="16"/>
                <w:highlight w:val="yellow"/>
              </w:rPr>
              <w:t>Assume ‘risk-free’ rate of % earnings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32A59CD" w14:textId="76970765" w:rsidR="00224D18" w:rsidRPr="005F763D" w:rsidRDefault="00D120E5" w:rsidP="000D0191">
            <w:pPr>
              <w:pStyle w:val="Table3-Right"/>
              <w:rPr>
                <w:rFonts w:ascii="Calibri" w:hAnsi="Calibri"/>
              </w:rPr>
            </w:pPr>
            <w:r w:rsidRPr="005F763D">
              <w:rPr>
                <w:color w:val="FF0000"/>
              </w:rPr>
              <w:t>$___,___</w:t>
            </w:r>
          </w:p>
        </w:tc>
      </w:tr>
      <w:tr w:rsidR="00224D18" w:rsidRPr="005F763D" w14:paraId="1FB8B573"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0AF4DE23" w14:textId="77777777" w:rsidR="00224D18" w:rsidRPr="005F763D" w:rsidRDefault="00224D18" w:rsidP="000D0191">
            <w:pPr>
              <w:jc w:val="left"/>
            </w:pPr>
            <w:r w:rsidRPr="005F763D">
              <w:t>Net Tax Deduction</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6EFA9F28" w14:textId="45A0DFAF" w:rsidR="00224D18" w:rsidRPr="005F763D" w:rsidRDefault="00D120E5" w:rsidP="000D0191">
            <w:pPr>
              <w:pStyle w:val="Table3-Right"/>
              <w:rPr>
                <w:rFonts w:ascii="Calibri" w:hAnsi="Calibri"/>
              </w:rPr>
            </w:pPr>
            <w:r w:rsidRPr="005F763D">
              <w:rPr>
                <w:color w:val="FF0000"/>
              </w:rPr>
              <w:t>$___,___</w:t>
            </w:r>
          </w:p>
        </w:tc>
      </w:tr>
      <w:tr w:rsidR="00224D18" w:rsidRPr="005F763D" w14:paraId="1B7AECE9" w14:textId="77777777" w:rsidTr="00036DDB">
        <w:trPr>
          <w:trHeight w:val="340"/>
          <w:jc w:val="center"/>
        </w:trPr>
        <w:tc>
          <w:tcPr>
            <w:tcW w:w="4250" w:type="pct"/>
            <w:tcBorders>
              <w:top w:val="single" w:sz="4" w:space="0" w:color="808080"/>
              <w:left w:val="nil"/>
              <w:bottom w:val="nil"/>
              <w:right w:val="single" w:sz="4" w:space="0" w:color="808080"/>
            </w:tcBorders>
            <w:shd w:val="clear" w:color="auto" w:fill="auto"/>
            <w:vAlign w:val="center"/>
          </w:tcPr>
          <w:p w14:paraId="0C15B042" w14:textId="796166C7" w:rsidR="00224D18" w:rsidRPr="005F763D" w:rsidRDefault="00B66098" w:rsidP="000D6E4F">
            <w:pPr>
              <w:pStyle w:val="TableText-RightBold"/>
            </w:pPr>
            <w:r w:rsidRPr="005F763D">
              <w:t xml:space="preserve">Net Tax Savings </w:t>
            </w:r>
            <w:r w:rsidRPr="007B0DC5">
              <w:t xml:space="preserve">Assuming </w:t>
            </w:r>
            <w:r w:rsidR="007F7797" w:rsidRPr="007B0DC5">
              <w:t>an</w:t>
            </w:r>
            <w:r w:rsidRPr="007B0DC5">
              <w:t xml:space="preserve"> MTR of </w:t>
            </w:r>
            <w:r w:rsidRPr="007B0DC5">
              <w:rPr>
                <w:color w:val="7030A0"/>
                <w:highlight w:val="yellow"/>
              </w:rPr>
              <w:t>4</w:t>
            </w:r>
            <w:r w:rsidR="00B576C7" w:rsidRPr="007B0DC5">
              <w:rPr>
                <w:color w:val="7030A0"/>
                <w:highlight w:val="yellow"/>
              </w:rPr>
              <w:t>5</w:t>
            </w:r>
            <w:r w:rsidRPr="00E11BDB">
              <w:t>%</w:t>
            </w:r>
          </w:p>
        </w:tc>
        <w:tc>
          <w:tcPr>
            <w:tcW w:w="750" w:type="pct"/>
            <w:tcBorders>
              <w:top w:val="single" w:sz="4" w:space="0" w:color="808080"/>
              <w:left w:val="single" w:sz="4" w:space="0" w:color="808080"/>
              <w:bottom w:val="single" w:sz="4" w:space="0" w:color="808080"/>
              <w:right w:val="outset" w:sz="6" w:space="0" w:color="ECE9D8"/>
            </w:tcBorders>
            <w:shd w:val="clear" w:color="auto" w:fill="D9D9D9"/>
            <w:vAlign w:val="center"/>
          </w:tcPr>
          <w:p w14:paraId="37177F49" w14:textId="16106B32" w:rsidR="00224D18" w:rsidRPr="005F763D" w:rsidRDefault="00D120E5" w:rsidP="000D6E4F">
            <w:pPr>
              <w:pStyle w:val="TableText-RightBold"/>
            </w:pPr>
            <w:r w:rsidRPr="005F763D">
              <w:t>$___,___</w:t>
            </w:r>
          </w:p>
        </w:tc>
      </w:tr>
    </w:tbl>
    <w:p w14:paraId="331DB593" w14:textId="75CD75E2" w:rsidR="00C37CF9" w:rsidRPr="00C37CF9" w:rsidRDefault="00224D18" w:rsidP="00C37CF9">
      <w:pPr>
        <w:pStyle w:val="Notes-Heading"/>
        <w:rPr>
          <w:b w:val="0"/>
        </w:rPr>
      </w:pPr>
      <w:r w:rsidRPr="005F763D">
        <w:t>Notes:</w:t>
      </w:r>
      <w:r w:rsidR="00C37CF9" w:rsidRPr="00C37CF9">
        <w:t xml:space="preserve"> </w:t>
      </w:r>
      <w:r w:rsidR="00C37CF9">
        <w:t xml:space="preserve"> </w:t>
      </w:r>
      <w:r w:rsidR="00C37CF9" w:rsidRPr="00C37CF9">
        <w:rPr>
          <w:b w:val="0"/>
        </w:rPr>
        <w:t>MTR = Marginal Tax Rate. We have assumed Medicare of 2%.</w:t>
      </w:r>
    </w:p>
    <w:p w14:paraId="480DDD2E" w14:textId="77777777" w:rsidR="00224D18" w:rsidRPr="005F763D" w:rsidRDefault="00224D18" w:rsidP="008C7CE9">
      <w:pPr>
        <w:jc w:val="left"/>
      </w:pPr>
    </w:p>
    <w:p w14:paraId="03AC9590" w14:textId="77777777" w:rsidR="00224D18" w:rsidRPr="005F763D" w:rsidRDefault="00224D18" w:rsidP="008C7CE9">
      <w:pPr>
        <w:jc w:val="left"/>
      </w:pPr>
    </w:p>
    <w:p w14:paraId="0EF263D9" w14:textId="77777777" w:rsidR="00B27543" w:rsidRPr="005F763D" w:rsidRDefault="00961112" w:rsidP="008C7CE9">
      <w:pPr>
        <w:jc w:val="left"/>
      </w:pPr>
      <w:r w:rsidRPr="005F763D">
        <w:br w:type="page"/>
      </w:r>
    </w:p>
    <w:p w14:paraId="03ED2798" w14:textId="77777777" w:rsidR="00B27543" w:rsidRPr="005F763D" w:rsidRDefault="00B27543" w:rsidP="0008751D">
      <w:pPr>
        <w:pStyle w:val="Heading2"/>
      </w:pPr>
      <w:bookmarkStart w:id="25" w:name="_Toc260306635"/>
      <w:bookmarkStart w:id="26" w:name="_Toc377642873"/>
      <w:bookmarkStart w:id="27" w:name="_Toc46236023"/>
      <w:bookmarkStart w:id="28" w:name="_Hlk485718795"/>
      <w:bookmarkEnd w:id="18"/>
      <w:r w:rsidRPr="005F763D">
        <w:lastRenderedPageBreak/>
        <w:t>Retirement Planning</w:t>
      </w:r>
      <w:bookmarkEnd w:id="25"/>
      <w:bookmarkEnd w:id="26"/>
      <w:bookmarkEnd w:id="27"/>
    </w:p>
    <w:p w14:paraId="28E0096E" w14:textId="77777777" w:rsidR="003119E9" w:rsidRPr="007B0DC5" w:rsidRDefault="003119E9" w:rsidP="007B0DC5">
      <w:pPr>
        <w:jc w:val="left"/>
        <w:rPr>
          <w:color w:val="002060"/>
          <w:sz w:val="24"/>
        </w:rPr>
      </w:pPr>
      <w:r w:rsidRPr="007B0DC5">
        <w:rPr>
          <w:color w:val="002060"/>
          <w:sz w:val="24"/>
        </w:rPr>
        <w:t>Defined Benefit Pensions</w:t>
      </w:r>
    </w:p>
    <w:tbl>
      <w:tblPr>
        <w:tblStyle w:val="TableGrid"/>
        <w:tblW w:w="0" w:type="auto"/>
        <w:tblInd w:w="76" w:type="dxa"/>
        <w:tblLook w:val="04A0" w:firstRow="1" w:lastRow="0" w:firstColumn="1" w:lastColumn="0" w:noHBand="0" w:noVBand="1"/>
      </w:tblPr>
      <w:tblGrid>
        <w:gridCol w:w="2754"/>
        <w:gridCol w:w="6798"/>
      </w:tblGrid>
      <w:tr w:rsidR="003119E9" w:rsidRPr="00E51BEA" w14:paraId="0490721D" w14:textId="77777777" w:rsidTr="00814F2C">
        <w:tc>
          <w:tcPr>
            <w:tcW w:w="2754" w:type="dxa"/>
          </w:tcPr>
          <w:p w14:paraId="35D677A9" w14:textId="77777777" w:rsidR="003119E9" w:rsidRPr="00EA0A06" w:rsidRDefault="003119E9" w:rsidP="00814F2C">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FB958CB" w14:textId="77777777" w:rsidR="003119E9" w:rsidRPr="00E51BEA" w:rsidRDefault="003119E9" w:rsidP="00814F2C">
            <w:pPr>
              <w:pStyle w:val="TableHeader2"/>
              <w:rPr>
                <w:rFonts w:ascii="Calibri Light" w:hAnsi="Calibri Light"/>
              </w:rPr>
            </w:pPr>
          </w:p>
        </w:tc>
      </w:tr>
      <w:tr w:rsidR="003119E9" w:rsidRPr="00E51BEA" w14:paraId="6FB53DAB" w14:textId="77777777" w:rsidTr="00814F2C">
        <w:tc>
          <w:tcPr>
            <w:tcW w:w="2754" w:type="dxa"/>
          </w:tcPr>
          <w:p w14:paraId="34767A82" w14:textId="77777777" w:rsidR="003119E9" w:rsidRPr="00EA0A06" w:rsidRDefault="003119E9" w:rsidP="00E164DA">
            <w:pPr>
              <w:pStyle w:val="Instructions"/>
            </w:pPr>
            <w:r w:rsidRPr="00EA0A06">
              <w:t>Title</w:t>
            </w:r>
          </w:p>
        </w:tc>
        <w:tc>
          <w:tcPr>
            <w:tcW w:w="6798" w:type="dxa"/>
          </w:tcPr>
          <w:p w14:paraId="40469B01" w14:textId="77777777" w:rsidR="003119E9" w:rsidRPr="00E51BEA" w:rsidRDefault="003119E9" w:rsidP="00814F2C">
            <w:pPr>
              <w:spacing w:after="120"/>
            </w:pPr>
            <w:r>
              <w:t>Defined Benefit Pension</w:t>
            </w:r>
          </w:p>
        </w:tc>
      </w:tr>
      <w:tr w:rsidR="003119E9" w:rsidRPr="00E51BEA" w14:paraId="5EB3182B" w14:textId="77777777" w:rsidTr="00814F2C">
        <w:tc>
          <w:tcPr>
            <w:tcW w:w="2754" w:type="dxa"/>
          </w:tcPr>
          <w:p w14:paraId="170BADD4" w14:textId="77777777" w:rsidR="003119E9" w:rsidRPr="00EA0A06" w:rsidRDefault="003119E9" w:rsidP="00E164DA">
            <w:pPr>
              <w:pStyle w:val="Instructions"/>
            </w:pPr>
            <w:r w:rsidRPr="00EA0A06">
              <w:t>Explanation</w:t>
            </w:r>
          </w:p>
        </w:tc>
        <w:tc>
          <w:tcPr>
            <w:tcW w:w="6798" w:type="dxa"/>
          </w:tcPr>
          <w:p w14:paraId="3618564A" w14:textId="77777777" w:rsidR="003119E9" w:rsidRPr="00E51BEA" w:rsidRDefault="003119E9" w:rsidP="00E164DA">
            <w:pPr>
              <w:pStyle w:val="Instructions"/>
            </w:pPr>
          </w:p>
        </w:tc>
      </w:tr>
      <w:tr w:rsidR="003119E9" w:rsidRPr="00E51BEA" w14:paraId="79EE602D" w14:textId="77777777" w:rsidTr="00814F2C">
        <w:tc>
          <w:tcPr>
            <w:tcW w:w="2754" w:type="dxa"/>
          </w:tcPr>
          <w:p w14:paraId="17B307CF" w14:textId="77777777" w:rsidR="003119E9" w:rsidRPr="00EA0A06" w:rsidRDefault="003119E9" w:rsidP="00E164DA">
            <w:pPr>
              <w:pStyle w:val="Instructions"/>
            </w:pPr>
            <w:r w:rsidRPr="00EA0A06">
              <w:t>In your Best Interest</w:t>
            </w:r>
          </w:p>
        </w:tc>
        <w:tc>
          <w:tcPr>
            <w:tcW w:w="6798" w:type="dxa"/>
          </w:tcPr>
          <w:p w14:paraId="4A3F500A" w14:textId="77777777" w:rsidR="003119E9" w:rsidRPr="00E51BEA" w:rsidRDefault="003119E9" w:rsidP="00E164DA">
            <w:pPr>
              <w:pStyle w:val="Instructions"/>
            </w:pPr>
          </w:p>
        </w:tc>
      </w:tr>
      <w:tr w:rsidR="003119E9" w:rsidRPr="00E51BEA" w14:paraId="13D47063" w14:textId="77777777" w:rsidTr="00814F2C">
        <w:tc>
          <w:tcPr>
            <w:tcW w:w="2754" w:type="dxa"/>
          </w:tcPr>
          <w:p w14:paraId="48ECA8AA" w14:textId="77777777" w:rsidR="003119E9" w:rsidRPr="00EA0A06" w:rsidRDefault="003119E9" w:rsidP="00E164DA">
            <w:pPr>
              <w:pStyle w:val="Instructions"/>
            </w:pPr>
            <w:r w:rsidRPr="00EA0A06">
              <w:t>Further Detail</w:t>
            </w:r>
          </w:p>
        </w:tc>
        <w:tc>
          <w:tcPr>
            <w:tcW w:w="6798" w:type="dxa"/>
          </w:tcPr>
          <w:p w14:paraId="3A0F6796" w14:textId="77777777" w:rsidR="003119E9" w:rsidRDefault="003119E9" w:rsidP="00814F2C">
            <w:r>
              <w:t>Defined Benefit superannuation is a superannuation entitlement that may be partially accrued through savings but is typically determined by a formula based on the employee’s length of service.</w:t>
            </w:r>
          </w:p>
          <w:p w14:paraId="7C05B98F" w14:textId="77777777" w:rsidR="003119E9" w:rsidRDefault="003119E9" w:rsidP="00814F2C"/>
          <w:p w14:paraId="02AC9B83" w14:textId="77777777" w:rsidR="003119E9" w:rsidRDefault="003119E9" w:rsidP="00814F2C">
            <w:r>
              <w:t>Such schemes can be unfunded, constitutionally protected or funded.</w:t>
            </w:r>
          </w:p>
          <w:p w14:paraId="32D6AE1B" w14:textId="77777777" w:rsidR="003119E9" w:rsidRDefault="003119E9" w:rsidP="00814F2C"/>
          <w:p w14:paraId="70E22085" w14:textId="77777777" w:rsidR="003119E9" w:rsidRPr="00C567AC" w:rsidRDefault="003119E9" w:rsidP="00814F2C">
            <w:pPr>
              <w:pStyle w:val="ListParagraph"/>
              <w:numPr>
                <w:ilvl w:val="0"/>
                <w:numId w:val="15"/>
              </w:numPr>
              <w:spacing w:after="120"/>
              <w:rPr>
                <w:rFonts w:cs="Calibri"/>
              </w:rPr>
            </w:pPr>
            <w:r w:rsidRPr="00C567AC">
              <w:rPr>
                <w:rFonts w:cs="Calibri"/>
              </w:rPr>
              <w:t>Unfunded and constitutionally protected fund benefits are taxable at marginal rates. From 1 July 2017, a 10% tax offset will apply to only the first $100,000 of income received. Above $100,000 there is nil tax offset.</w:t>
            </w:r>
          </w:p>
          <w:p w14:paraId="2E066F93" w14:textId="77777777" w:rsidR="003119E9" w:rsidRPr="00C567AC" w:rsidRDefault="003119E9" w:rsidP="00814F2C">
            <w:pPr>
              <w:pStyle w:val="ListParagraph"/>
              <w:numPr>
                <w:ilvl w:val="0"/>
                <w:numId w:val="15"/>
              </w:numPr>
              <w:spacing w:after="120"/>
              <w:rPr>
                <w:rFonts w:cs="Calibri"/>
              </w:rPr>
            </w:pPr>
            <w:r w:rsidRPr="00C567AC">
              <w:rPr>
                <w:rFonts w:cs="Calibri"/>
              </w:rPr>
              <w:t>Members of funded schemes will have 50% of annual pension amounts above $100,00 taxed at marginal rates.</w:t>
            </w:r>
          </w:p>
          <w:p w14:paraId="47F32B8D" w14:textId="77777777" w:rsidR="003119E9" w:rsidRDefault="003119E9" w:rsidP="00814F2C">
            <w:pPr>
              <w:pStyle w:val="Coding"/>
            </w:pPr>
          </w:p>
          <w:p w14:paraId="56DA8F32" w14:textId="77777777" w:rsidR="003119E9" w:rsidRDefault="003119E9" w:rsidP="00814F2C">
            <w:pPr>
              <w:pStyle w:val="Coding"/>
            </w:pPr>
            <w:commentRangeStart w:id="29"/>
            <w:r>
              <w:t>Defined benefit funds have a special methodology to determine an asset value for the purpose of an individual’s Transfer Balance Account.</w:t>
            </w:r>
          </w:p>
          <w:p w14:paraId="19B45C3D" w14:textId="77777777" w:rsidR="003119E9" w:rsidRDefault="003119E9" w:rsidP="00814F2C">
            <w:pPr>
              <w:pStyle w:val="Coding"/>
            </w:pPr>
            <w:r>
              <w:t>Similarly, there is a special threshold for payments called the Defined Benefit Income Cap which determines how concessional tax treatment is applied</w:t>
            </w:r>
            <w:commentRangeEnd w:id="29"/>
            <w:r w:rsidR="00A13D91">
              <w:rPr>
                <w:rStyle w:val="CommentReference"/>
                <w:color w:val="auto"/>
                <w:lang w:eastAsia="ja-JP"/>
              </w:rPr>
              <w:commentReference w:id="29"/>
            </w:r>
            <w:r>
              <w:t>.</w:t>
            </w:r>
          </w:p>
          <w:p w14:paraId="3743594B" w14:textId="77777777" w:rsidR="003119E9" w:rsidRDefault="003119E9" w:rsidP="00814F2C">
            <w:pPr>
              <w:pStyle w:val="Coding"/>
            </w:pPr>
          </w:p>
          <w:p w14:paraId="2DC55083" w14:textId="475EBF8D" w:rsidR="003119E9" w:rsidRDefault="003119E9" w:rsidP="00814F2C">
            <w:pPr>
              <w:pStyle w:val="Coding"/>
            </w:pPr>
            <w:r>
              <w:t xml:space="preserve">Expert advice should be sought regarding Defined </w:t>
            </w:r>
            <w:r w:rsidR="001D56E9">
              <w:t>B</w:t>
            </w:r>
            <w:r>
              <w:t>enefit income streams as matters may be complex with unexpected consequences. For example, under certain conditions, recipients of both a Defined Benefit income stream and an otherwise tax-free Death Benefit income stream can find that the latter loses its tax concessional status in whole or part.</w:t>
            </w:r>
          </w:p>
          <w:p w14:paraId="05AE8943" w14:textId="77777777" w:rsidR="003119E9" w:rsidRPr="00E51BEA" w:rsidRDefault="003119E9" w:rsidP="00E164DA">
            <w:pPr>
              <w:pStyle w:val="Instructions"/>
            </w:pPr>
          </w:p>
        </w:tc>
      </w:tr>
    </w:tbl>
    <w:p w14:paraId="57E83D69" w14:textId="77777777" w:rsidR="003119E9" w:rsidRDefault="003119E9" w:rsidP="003119E9"/>
    <w:p w14:paraId="7F986A29" w14:textId="77777777" w:rsidR="003D7678" w:rsidRPr="005F763D" w:rsidRDefault="003D7678" w:rsidP="008C7CE9">
      <w:pPr>
        <w:jc w:val="left"/>
        <w:rPr>
          <w:color w:val="002060"/>
          <w:sz w:val="24"/>
        </w:rPr>
      </w:pPr>
      <w:r w:rsidRPr="005F763D">
        <w:rPr>
          <w:color w:val="002060"/>
          <w:sz w:val="24"/>
        </w:rPr>
        <w:t>Transition to Retirement (</w:t>
      </w:r>
      <w:proofErr w:type="spellStart"/>
      <w:r w:rsidRPr="005F763D">
        <w:rPr>
          <w:color w:val="002060"/>
          <w:sz w:val="24"/>
        </w:rPr>
        <w:t>TtR</w:t>
      </w:r>
      <w:proofErr w:type="spellEnd"/>
      <w:r w:rsidRPr="005F763D">
        <w:rPr>
          <w:color w:val="002060"/>
          <w:sz w:val="24"/>
        </w:rPr>
        <w:t>) Strategy</w:t>
      </w:r>
    </w:p>
    <w:p w14:paraId="152D9B43" w14:textId="5294FB39" w:rsidR="003D7678" w:rsidRDefault="003D767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51060950" w14:textId="77777777" w:rsidTr="00C633C4">
        <w:tc>
          <w:tcPr>
            <w:tcW w:w="2754" w:type="dxa"/>
          </w:tcPr>
          <w:p w14:paraId="40830196"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CE0A425" w14:textId="77777777" w:rsidR="00C633C4" w:rsidRPr="00E51BEA" w:rsidRDefault="00C633C4" w:rsidP="00D2574D">
            <w:pPr>
              <w:jc w:val="left"/>
              <w:rPr>
                <w:rFonts w:ascii="Calibri Light" w:hAnsi="Calibri Light"/>
              </w:rPr>
            </w:pPr>
          </w:p>
        </w:tc>
      </w:tr>
      <w:tr w:rsidR="008653B7" w:rsidRPr="001A22F0" w14:paraId="7E6A42AE" w14:textId="77777777" w:rsidTr="00C633C4">
        <w:tc>
          <w:tcPr>
            <w:tcW w:w="2754" w:type="dxa"/>
          </w:tcPr>
          <w:p w14:paraId="6954EF98" w14:textId="77777777" w:rsidR="008653B7" w:rsidRPr="00EA0A06" w:rsidRDefault="008653B7" w:rsidP="00E164DA">
            <w:pPr>
              <w:pStyle w:val="Instructions"/>
            </w:pPr>
            <w:r w:rsidRPr="00EA0A06">
              <w:t>Title</w:t>
            </w:r>
          </w:p>
        </w:tc>
        <w:tc>
          <w:tcPr>
            <w:tcW w:w="6798" w:type="dxa"/>
          </w:tcPr>
          <w:p w14:paraId="7A789147" w14:textId="0B3826D8" w:rsidR="008653B7" w:rsidRPr="001A22F0" w:rsidRDefault="00F50095" w:rsidP="008653B7">
            <w:pPr>
              <w:jc w:val="left"/>
            </w:pPr>
            <w:r>
              <w:t>Transition to Retirement strategy</w:t>
            </w:r>
          </w:p>
        </w:tc>
      </w:tr>
      <w:tr w:rsidR="008653B7" w:rsidRPr="001A22F0" w14:paraId="1DC811BA" w14:textId="77777777" w:rsidTr="00C633C4">
        <w:tc>
          <w:tcPr>
            <w:tcW w:w="2754" w:type="dxa"/>
          </w:tcPr>
          <w:p w14:paraId="4D8D1102" w14:textId="77777777" w:rsidR="008653B7" w:rsidRPr="00EA0A06" w:rsidRDefault="008653B7" w:rsidP="00E164DA">
            <w:pPr>
              <w:pStyle w:val="Instructions"/>
            </w:pPr>
            <w:r w:rsidRPr="00EA0A06">
              <w:t>Explanation</w:t>
            </w:r>
          </w:p>
        </w:tc>
        <w:tc>
          <w:tcPr>
            <w:tcW w:w="6798" w:type="dxa"/>
          </w:tcPr>
          <w:p w14:paraId="32DDEF6D" w14:textId="77777777" w:rsidR="00EF6504" w:rsidRPr="005F763D" w:rsidRDefault="00EF6504" w:rsidP="00EF6504">
            <w:pPr>
              <w:jc w:val="left"/>
            </w:pPr>
            <w:r w:rsidRPr="005F763D">
              <w:rPr>
                <w:color w:val="FF0000"/>
              </w:rPr>
              <w:t>[Name]</w:t>
            </w:r>
            <w:r w:rsidRPr="005F763D">
              <w:t>, in order to reduce your tax payable prior to retirement and to assist in the accumulation of retirement savings, we recommend you implement the following strategy:</w:t>
            </w:r>
          </w:p>
          <w:p w14:paraId="0736E4D8" w14:textId="77777777" w:rsidR="00EF6504" w:rsidRPr="005F763D" w:rsidRDefault="00EF6504">
            <w:pPr>
              <w:pStyle w:val="InterPracBullet"/>
            </w:pPr>
            <w:r w:rsidRPr="005F763D">
              <w:t xml:space="preserve">Salary Sacrifice </w:t>
            </w:r>
            <w:r w:rsidRPr="005F763D">
              <w:rPr>
                <w:color w:val="FF0000"/>
              </w:rPr>
              <w:t>$___,___</w:t>
            </w:r>
            <w:r w:rsidRPr="005F763D">
              <w:t xml:space="preserve"> per annum to superannuation.</w:t>
            </w:r>
          </w:p>
          <w:p w14:paraId="5FF5E771" w14:textId="77777777" w:rsidR="00EF6504" w:rsidRPr="005F763D" w:rsidRDefault="00EF6504">
            <w:pPr>
              <w:pStyle w:val="InterPracBullet"/>
            </w:pPr>
            <w:r w:rsidRPr="005F763D">
              <w:t>Commence a Transition to Retirement</w:t>
            </w:r>
            <w:r>
              <w:t xml:space="preserve"> Income Stream</w:t>
            </w:r>
            <w:r w:rsidRPr="005F763D">
              <w:t xml:space="preserve"> (TR</w:t>
            </w:r>
            <w:r>
              <w:t>IS</w:t>
            </w:r>
            <w:r w:rsidRPr="005F763D">
              <w:t>) from your superannuation benefits of $</w:t>
            </w:r>
            <w:r w:rsidRPr="005F763D">
              <w:rPr>
                <w:color w:val="FF0000"/>
              </w:rPr>
              <w:t>[___,___]</w:t>
            </w:r>
            <w:r w:rsidRPr="005F763D">
              <w:t xml:space="preserve"> and draw an income of </w:t>
            </w:r>
            <w:r w:rsidRPr="005F763D">
              <w:rPr>
                <w:color w:val="FF0000"/>
              </w:rPr>
              <w:t>$___,___</w:t>
            </w:r>
            <w:r w:rsidRPr="005F763D">
              <w:t xml:space="preserve"> per annum.</w:t>
            </w:r>
          </w:p>
          <w:p w14:paraId="37D2670C" w14:textId="77777777" w:rsidR="008653B7" w:rsidRPr="001A22F0" w:rsidRDefault="008653B7" w:rsidP="008653B7">
            <w:pPr>
              <w:jc w:val="left"/>
            </w:pPr>
          </w:p>
        </w:tc>
      </w:tr>
      <w:tr w:rsidR="008653B7" w:rsidRPr="001A22F0" w14:paraId="60A49B04" w14:textId="77777777" w:rsidTr="00C633C4">
        <w:tc>
          <w:tcPr>
            <w:tcW w:w="2754" w:type="dxa"/>
          </w:tcPr>
          <w:p w14:paraId="1F5CC24C" w14:textId="77777777" w:rsidR="008653B7" w:rsidRPr="00EA0A06" w:rsidRDefault="008653B7" w:rsidP="00E164DA">
            <w:pPr>
              <w:pStyle w:val="Instructions"/>
            </w:pPr>
            <w:r w:rsidRPr="00EA0A06">
              <w:t>In your Best Interest</w:t>
            </w:r>
          </w:p>
        </w:tc>
        <w:tc>
          <w:tcPr>
            <w:tcW w:w="6798" w:type="dxa"/>
          </w:tcPr>
          <w:p w14:paraId="44969A27" w14:textId="77777777" w:rsidR="008653B7" w:rsidRPr="001A22F0" w:rsidRDefault="008653B7" w:rsidP="001756F3">
            <w:pPr>
              <w:pStyle w:val="ListParagraph"/>
              <w:ind w:left="767"/>
              <w:jc w:val="left"/>
            </w:pPr>
          </w:p>
        </w:tc>
      </w:tr>
      <w:tr w:rsidR="008653B7" w:rsidRPr="001A22F0" w14:paraId="1366674F" w14:textId="77777777" w:rsidTr="00C633C4">
        <w:tc>
          <w:tcPr>
            <w:tcW w:w="2754" w:type="dxa"/>
          </w:tcPr>
          <w:p w14:paraId="25DBC1EB" w14:textId="77777777" w:rsidR="008653B7" w:rsidRPr="00EA0A06" w:rsidRDefault="008653B7" w:rsidP="00E164DA">
            <w:pPr>
              <w:pStyle w:val="Instructions"/>
            </w:pPr>
            <w:r w:rsidRPr="00EA0A06">
              <w:t>Further Detail</w:t>
            </w:r>
          </w:p>
        </w:tc>
        <w:tc>
          <w:tcPr>
            <w:tcW w:w="6798" w:type="dxa"/>
          </w:tcPr>
          <w:p w14:paraId="6581E818" w14:textId="1E06A42D" w:rsidR="00096248" w:rsidRPr="00140D01" w:rsidRDefault="00096248" w:rsidP="00096248">
            <w:pPr>
              <w:jc w:val="left"/>
            </w:pPr>
            <w:r w:rsidRPr="00140D01">
              <w:t xml:space="preserve">We estimate you will achieve total tax savings of </w:t>
            </w:r>
            <w:r w:rsidRPr="00140D01">
              <w:rPr>
                <w:color w:val="FF0000"/>
              </w:rPr>
              <w:t>$__</w:t>
            </w:r>
            <w:proofErr w:type="gramStart"/>
            <w:r w:rsidRPr="00140D01">
              <w:rPr>
                <w:color w:val="FF0000"/>
              </w:rPr>
              <w:t>_,_</w:t>
            </w:r>
            <w:proofErr w:type="gramEnd"/>
            <w:r w:rsidRPr="00140D01">
              <w:rPr>
                <w:color w:val="FF0000"/>
              </w:rPr>
              <w:t>__</w:t>
            </w:r>
            <w:r w:rsidRPr="00140D01">
              <w:t xml:space="preserve"> per annum in the first year. These savings will continue until your retirement.</w:t>
            </w:r>
          </w:p>
          <w:p w14:paraId="5B3BB96A" w14:textId="77777777" w:rsidR="00096248" w:rsidRDefault="00096248" w:rsidP="00EF6504">
            <w:pPr>
              <w:jc w:val="left"/>
            </w:pPr>
          </w:p>
          <w:p w14:paraId="2E99B64F" w14:textId="76314547" w:rsidR="00EF6504" w:rsidRPr="005F763D" w:rsidRDefault="00EF6504" w:rsidP="00EF6504">
            <w:pPr>
              <w:jc w:val="left"/>
            </w:pPr>
            <w:r w:rsidRPr="005F763D">
              <w:t>The benefits of this recommendation are:</w:t>
            </w:r>
          </w:p>
          <w:p w14:paraId="59F3CFF6" w14:textId="77777777" w:rsidR="00EF6504" w:rsidRPr="005F763D" w:rsidRDefault="00EF6504">
            <w:pPr>
              <w:pStyle w:val="InterPracBullet"/>
              <w:numPr>
                <w:ilvl w:val="0"/>
                <w:numId w:val="95"/>
              </w:numPr>
            </w:pPr>
            <w:r w:rsidRPr="005F763D">
              <w:t xml:space="preserve">We estimate you will achieve tax savings of </w:t>
            </w:r>
            <w:r w:rsidRPr="005F763D">
              <w:rPr>
                <w:color w:val="FF0000"/>
              </w:rPr>
              <w:t>$___,___</w:t>
            </w:r>
            <w:r w:rsidRPr="005F763D">
              <w:t xml:space="preserve"> per annum, resulting from the difference between your marginal tax rate of </w:t>
            </w:r>
            <w:r w:rsidRPr="005F763D">
              <w:rPr>
                <w:color w:val="FF0000"/>
              </w:rPr>
              <w:t>__.__%</w:t>
            </w:r>
            <w:r w:rsidRPr="005F763D">
              <w:t xml:space="preserve"> and contributions tax of 15%.</w:t>
            </w:r>
          </w:p>
          <w:p w14:paraId="797DF358" w14:textId="77777777" w:rsidR="00EF6504" w:rsidRPr="005F763D" w:rsidRDefault="00EF6504">
            <w:pPr>
              <w:pStyle w:val="InterPracBullet"/>
              <w:numPr>
                <w:ilvl w:val="0"/>
                <w:numId w:val="95"/>
              </w:numPr>
            </w:pPr>
            <w:r w:rsidRPr="005F763D">
              <w:lastRenderedPageBreak/>
              <w:t>You accelerate your accumulation of wealth within the superannuation environment for retirement planning purposes.</w:t>
            </w:r>
          </w:p>
          <w:p w14:paraId="6FED7525" w14:textId="77777777" w:rsidR="00EF6504" w:rsidRPr="005F763D" w:rsidRDefault="00EF6504">
            <w:pPr>
              <w:pStyle w:val="InterPracBullet"/>
              <w:numPr>
                <w:ilvl w:val="0"/>
                <w:numId w:val="95"/>
              </w:numPr>
            </w:pPr>
            <w:r w:rsidRPr="005F763D">
              <w:t>Earnings from your superannuation investments are taxed at a maximum rate of 15% as opposed to your marginal tax rate.</w:t>
            </w:r>
          </w:p>
          <w:p w14:paraId="03B40827" w14:textId="77777777" w:rsidR="00EF6504" w:rsidRPr="005F763D" w:rsidRDefault="00EF6504" w:rsidP="00EF6504">
            <w:pPr>
              <w:jc w:val="left"/>
            </w:pPr>
          </w:p>
          <w:p w14:paraId="2CA96F73" w14:textId="77777777" w:rsidR="00EF6504" w:rsidRPr="005F763D" w:rsidRDefault="00EF6504" w:rsidP="00EF6504">
            <w:pPr>
              <w:jc w:val="left"/>
            </w:pPr>
            <w:r w:rsidRPr="005F763D">
              <w:t>The risks associated with this recommendation are:</w:t>
            </w:r>
          </w:p>
          <w:p w14:paraId="7B2559DA" w14:textId="77777777" w:rsidR="00EF6504" w:rsidRPr="005F763D" w:rsidRDefault="00EF6504">
            <w:pPr>
              <w:pStyle w:val="InterPracBullet"/>
              <w:numPr>
                <w:ilvl w:val="0"/>
                <w:numId w:val="96"/>
              </w:numPr>
            </w:pPr>
            <w:r w:rsidRPr="005F763D">
              <w:t xml:space="preserve">Your future Superannuation Guarantee </w:t>
            </w:r>
            <w:r>
              <w:t>c</w:t>
            </w:r>
            <w:r w:rsidRPr="005F763D">
              <w:t>ontributions (SG) may decrease in line with your reduction in salary. You will need to consult your HR department in this regard.</w:t>
            </w:r>
          </w:p>
          <w:p w14:paraId="62F5008C" w14:textId="77777777" w:rsidR="00EF6504" w:rsidRPr="005F763D" w:rsidRDefault="00EF6504">
            <w:pPr>
              <w:pStyle w:val="InterPracBullet"/>
              <w:numPr>
                <w:ilvl w:val="0"/>
                <w:numId w:val="96"/>
              </w:numPr>
            </w:pPr>
            <w:r w:rsidRPr="005F763D">
              <w:t>You will not be able to access these funds until you meet a condition of release.</w:t>
            </w:r>
          </w:p>
          <w:p w14:paraId="6C22DA8A" w14:textId="77777777" w:rsidR="00EF6504" w:rsidRDefault="00EF6504" w:rsidP="00EF6504">
            <w:pPr>
              <w:jc w:val="left"/>
            </w:pPr>
          </w:p>
          <w:p w14:paraId="3E36F7E4" w14:textId="050B6AF4" w:rsidR="00EF6504" w:rsidRPr="000D0191" w:rsidRDefault="00B85E61" w:rsidP="00EF6504">
            <w:pPr>
              <w:jc w:val="left"/>
            </w:pPr>
            <w:r>
              <w:t>L</w:t>
            </w:r>
            <w:r w:rsidR="00EF6504">
              <w:t>ump sum withdrawals from a TRIS (</w:t>
            </w:r>
            <w:proofErr w:type="spellStart"/>
            <w:r w:rsidR="00EF6504">
              <w:t>eg.</w:t>
            </w:r>
            <w:proofErr w:type="spellEnd"/>
            <w:r w:rsidR="00EF6504">
              <w:t xml:space="preserve"> unrestricted non-preserved component) can</w:t>
            </w:r>
            <w:r>
              <w:t>not</w:t>
            </w:r>
            <w:r w:rsidR="00EF6504">
              <w:t xml:space="preserve"> be classed as a payment meeting the minimum pension standards.</w:t>
            </w:r>
          </w:p>
          <w:p w14:paraId="7AAB2990" w14:textId="77777777" w:rsidR="008653B7" w:rsidRPr="001A22F0" w:rsidRDefault="008653B7" w:rsidP="008653B7">
            <w:pPr>
              <w:jc w:val="left"/>
            </w:pPr>
          </w:p>
        </w:tc>
      </w:tr>
    </w:tbl>
    <w:p w14:paraId="0595C1DC" w14:textId="77777777" w:rsidR="008653B7" w:rsidRDefault="008653B7" w:rsidP="008C7CE9">
      <w:pPr>
        <w:jc w:val="left"/>
        <w:rPr>
          <w:color w:val="FF0000"/>
        </w:rPr>
      </w:pPr>
    </w:p>
    <w:p w14:paraId="6A8E07A7" w14:textId="2568D46B" w:rsidR="00E70B90" w:rsidRPr="000D0191" w:rsidRDefault="00E70B90" w:rsidP="00E70B90">
      <w:pPr>
        <w:jc w:val="left"/>
        <w:rPr>
          <w:color w:val="002060"/>
          <w:szCs w:val="20"/>
        </w:rPr>
      </w:pPr>
      <w:r w:rsidRPr="00E70B90">
        <w:rPr>
          <w:b/>
        </w:rPr>
        <w:t xml:space="preserve">Further Detail </w:t>
      </w:r>
      <w:proofErr w:type="gramStart"/>
      <w:r w:rsidRPr="00E70B90">
        <w:rPr>
          <w:b/>
        </w:rPr>
        <w:t>continued</w:t>
      </w:r>
      <w:r w:rsidRPr="00E70B90">
        <w:rPr>
          <w:color w:val="002060"/>
          <w:szCs w:val="20"/>
        </w:rPr>
        <w:t xml:space="preserve"> </w:t>
      </w:r>
      <w:r>
        <w:rPr>
          <w:color w:val="002060"/>
          <w:szCs w:val="20"/>
        </w:rPr>
        <w:t xml:space="preserve"> </w:t>
      </w:r>
      <w:r w:rsidRPr="00E70B90">
        <w:rPr>
          <w:color w:val="002060"/>
          <w:sz w:val="22"/>
          <w:szCs w:val="22"/>
        </w:rPr>
        <w:t>Outcomes</w:t>
      </w:r>
      <w:proofErr w:type="gramEnd"/>
      <w:r w:rsidRPr="00E70B90">
        <w:rPr>
          <w:color w:val="002060"/>
          <w:sz w:val="22"/>
          <w:szCs w:val="22"/>
        </w:rPr>
        <w:t xml:space="preserve"> of Transition to Retirement Strategy</w:t>
      </w:r>
    </w:p>
    <w:p w14:paraId="7C7C2D02" w14:textId="2CA33E6A" w:rsidR="003D7678" w:rsidRPr="00E70B90" w:rsidRDefault="003D7678" w:rsidP="008C7CE9">
      <w:pPr>
        <w:jc w:val="left"/>
        <w:rPr>
          <w:b/>
        </w:rPr>
      </w:pPr>
    </w:p>
    <w:p w14:paraId="3530AFDA" w14:textId="77777777" w:rsidR="00F451E2" w:rsidRPr="005F763D" w:rsidRDefault="00F451E2" w:rsidP="008C7CE9">
      <w:pPr>
        <w:jc w:val="left"/>
      </w:pPr>
    </w:p>
    <w:p w14:paraId="125017F8" w14:textId="69C64D97" w:rsidR="003D7678" w:rsidRPr="00E70B90" w:rsidRDefault="003D7678" w:rsidP="003812CB">
      <w:pPr>
        <w:pStyle w:val="ListParagraph"/>
        <w:numPr>
          <w:ilvl w:val="0"/>
          <w:numId w:val="78"/>
        </w:numPr>
        <w:jc w:val="left"/>
        <w:rPr>
          <w:b/>
        </w:rPr>
      </w:pPr>
      <w:r w:rsidRPr="00E70B90">
        <w:rPr>
          <w:b/>
        </w:rPr>
        <w:t>Superannuation Contributions</w:t>
      </w:r>
    </w:p>
    <w:p w14:paraId="25B43892" w14:textId="77777777" w:rsidR="003D7678" w:rsidRPr="005F763D" w:rsidRDefault="003D7678" w:rsidP="003D7678"/>
    <w:tbl>
      <w:tblPr>
        <w:tblW w:w="5000" w:type="pct"/>
        <w:tblLook w:val="0000" w:firstRow="0" w:lastRow="0" w:firstColumn="0" w:lastColumn="0" w:noHBand="0" w:noVBand="0"/>
      </w:tblPr>
      <w:tblGrid>
        <w:gridCol w:w="5782"/>
        <w:gridCol w:w="1928"/>
        <w:gridCol w:w="1928"/>
      </w:tblGrid>
      <w:tr w:rsidR="003D7678" w:rsidRPr="005F763D" w14:paraId="76793BE4" w14:textId="77777777" w:rsidTr="00036DDB">
        <w:tc>
          <w:tcPr>
            <w:tcW w:w="3000" w:type="pct"/>
            <w:tcBorders>
              <w:bottom w:val="single" w:sz="2" w:space="0" w:color="808080"/>
              <w:right w:val="single" w:sz="24" w:space="0" w:color="FFFFFF"/>
            </w:tcBorders>
            <w:shd w:val="clear" w:color="auto" w:fill="auto"/>
          </w:tcPr>
          <w:p w14:paraId="0DEB0AB7" w14:textId="77777777" w:rsidR="003D7678" w:rsidRPr="005F763D" w:rsidRDefault="003D7678" w:rsidP="00036DDB">
            <w:pPr>
              <w:pStyle w:val="TableHeader2"/>
              <w:rPr>
                <w:rFonts w:ascii="Calibri" w:hAnsi="Calibri"/>
              </w:rPr>
            </w:pPr>
          </w:p>
        </w:tc>
        <w:tc>
          <w:tcPr>
            <w:tcW w:w="1000" w:type="pct"/>
            <w:tcBorders>
              <w:top w:val="single" w:sz="2" w:space="0" w:color="808080"/>
              <w:left w:val="single" w:sz="24" w:space="0" w:color="FFFFFF"/>
              <w:bottom w:val="single" w:sz="2" w:space="0" w:color="808080"/>
              <w:right w:val="single" w:sz="24" w:space="0" w:color="FFFFFF"/>
            </w:tcBorders>
            <w:shd w:val="clear" w:color="auto" w:fill="BFBFBF"/>
          </w:tcPr>
          <w:p w14:paraId="0D06C183" w14:textId="77777777" w:rsidR="003D7678" w:rsidRPr="005F763D" w:rsidRDefault="003D7678" w:rsidP="00036DDB">
            <w:pPr>
              <w:pStyle w:val="TableHeader2-Centre"/>
              <w:rPr>
                <w:rFonts w:ascii="Calibri" w:hAnsi="Calibri"/>
              </w:rPr>
            </w:pPr>
            <w:r w:rsidRPr="005F763D">
              <w:rPr>
                <w:rFonts w:ascii="Calibri" w:hAnsi="Calibri"/>
              </w:rPr>
              <w:t>Existing Strategy ($)</w:t>
            </w:r>
          </w:p>
        </w:tc>
        <w:tc>
          <w:tcPr>
            <w:tcW w:w="1000" w:type="pct"/>
            <w:tcBorders>
              <w:top w:val="single" w:sz="2" w:space="0" w:color="808080"/>
              <w:left w:val="single" w:sz="24" w:space="0" w:color="FFFFFF"/>
              <w:bottom w:val="single" w:sz="2" w:space="0" w:color="808080"/>
            </w:tcBorders>
            <w:shd w:val="clear" w:color="auto" w:fill="BFBFBF"/>
          </w:tcPr>
          <w:p w14:paraId="573A6673" w14:textId="77777777" w:rsidR="003D7678" w:rsidRPr="005F763D" w:rsidRDefault="003D7678" w:rsidP="00036DDB">
            <w:pPr>
              <w:pStyle w:val="TableHeader2-Centre"/>
              <w:rPr>
                <w:rFonts w:ascii="Calibri" w:hAnsi="Calibri"/>
              </w:rPr>
            </w:pPr>
            <w:r w:rsidRPr="005F763D">
              <w:rPr>
                <w:rFonts w:ascii="Calibri" w:hAnsi="Calibri"/>
              </w:rPr>
              <w:t>TTR Strategy ($)</w:t>
            </w:r>
          </w:p>
        </w:tc>
      </w:tr>
      <w:tr w:rsidR="00D120E5" w:rsidRPr="005F763D" w14:paraId="696C5C06"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23FB8C2C" w14:textId="77777777" w:rsidR="00D120E5" w:rsidRPr="005F763D" w:rsidRDefault="00D120E5" w:rsidP="000D0191">
            <w:pPr>
              <w:jc w:val="left"/>
            </w:pPr>
            <w:r w:rsidRPr="005F763D">
              <w:t xml:space="preserve">Employer SG Contributions </w:t>
            </w:r>
            <w:r w:rsidRPr="000D0191">
              <w:rPr>
                <w:vertAlign w:val="superscript"/>
              </w:rPr>
              <w:t>[1]</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043D2EA8" w14:textId="336FDC78"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3A339F20" w14:textId="13D923C7" w:rsidR="00D120E5" w:rsidRPr="005F763D" w:rsidRDefault="00D120E5" w:rsidP="000D6E4F">
            <w:pPr>
              <w:pStyle w:val="TableText-Right"/>
              <w:rPr>
                <w:rFonts w:ascii="Calibri" w:hAnsi="Calibri"/>
              </w:rPr>
            </w:pPr>
            <w:r w:rsidRPr="00E66F7A">
              <w:t>$___,___</w:t>
            </w:r>
          </w:p>
        </w:tc>
      </w:tr>
      <w:tr w:rsidR="00D120E5" w:rsidRPr="005F763D" w14:paraId="75F4B177"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7D13445E" w14:textId="77777777" w:rsidR="00D120E5" w:rsidRPr="005F763D" w:rsidRDefault="00D120E5" w:rsidP="000D0191">
            <w:pPr>
              <w:jc w:val="left"/>
            </w:pPr>
            <w:r w:rsidRPr="005F763D">
              <w:t>Salary Sacrifice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732C375" w14:textId="6A3E608F"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21813C58" w14:textId="0C3E4B75" w:rsidR="00D120E5" w:rsidRPr="005F763D" w:rsidRDefault="00D120E5" w:rsidP="000D6E4F">
            <w:pPr>
              <w:pStyle w:val="TableText-Right"/>
              <w:rPr>
                <w:rFonts w:ascii="Calibri" w:hAnsi="Calibri"/>
              </w:rPr>
            </w:pPr>
            <w:r w:rsidRPr="00E66F7A">
              <w:t>$___,___</w:t>
            </w:r>
          </w:p>
        </w:tc>
      </w:tr>
      <w:tr w:rsidR="00D120E5" w:rsidRPr="005F763D" w14:paraId="582B899F"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47491698" w14:textId="77777777" w:rsidR="00D120E5" w:rsidRPr="005F763D" w:rsidRDefault="00D120E5" w:rsidP="000D0191">
            <w:pPr>
              <w:jc w:val="left"/>
            </w:pPr>
            <w:r w:rsidRPr="005F763D">
              <w:t>Gross Contributions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59F4A281" w14:textId="1270D846" w:rsidR="00D120E5" w:rsidRPr="005F763D" w:rsidRDefault="00D120E5" w:rsidP="000D6E4F">
            <w:pPr>
              <w:pStyle w:val="TableText-Right"/>
              <w:rPr>
                <w:rFonts w:ascii="Calibri" w:hAnsi="Calibri"/>
                <w:b/>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190B0E2D" w14:textId="4CE189E4" w:rsidR="00D120E5" w:rsidRPr="005F763D" w:rsidRDefault="00D120E5" w:rsidP="000D6E4F">
            <w:pPr>
              <w:pStyle w:val="TableText-Right"/>
              <w:rPr>
                <w:rFonts w:ascii="Calibri" w:hAnsi="Calibri"/>
                <w:b/>
              </w:rPr>
            </w:pPr>
            <w:r w:rsidRPr="00E66F7A">
              <w:t>$___,___</w:t>
            </w:r>
          </w:p>
        </w:tc>
      </w:tr>
      <w:tr w:rsidR="00D120E5" w:rsidRPr="005F763D" w14:paraId="6A7847D0"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194B7839" w14:textId="77777777" w:rsidR="00D120E5" w:rsidRPr="005F763D" w:rsidRDefault="00D120E5" w:rsidP="000D0191">
            <w:pPr>
              <w:jc w:val="left"/>
            </w:pPr>
            <w:r w:rsidRPr="005F763D">
              <w:t>Contributions Tax</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F4FE5EA" w14:textId="15EF424C"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37343F97" w14:textId="0373C720" w:rsidR="00D120E5" w:rsidRPr="005F763D" w:rsidRDefault="00D120E5" w:rsidP="000D6E4F">
            <w:pPr>
              <w:pStyle w:val="TableText-Right"/>
              <w:rPr>
                <w:rFonts w:ascii="Calibri" w:hAnsi="Calibri"/>
              </w:rPr>
            </w:pPr>
            <w:r w:rsidRPr="00E66F7A">
              <w:t>$___,___</w:t>
            </w:r>
          </w:p>
        </w:tc>
      </w:tr>
      <w:tr w:rsidR="00D120E5" w:rsidRPr="005F763D" w14:paraId="2A15C346"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2367ED1A" w14:textId="77777777" w:rsidR="00D120E5" w:rsidRPr="005F763D" w:rsidRDefault="00D120E5" w:rsidP="000D0191">
            <w:pPr>
              <w:jc w:val="left"/>
            </w:pPr>
            <w:r w:rsidRPr="005F763D">
              <w:t>Net Superannuation Contributions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4FFBF8E" w14:textId="09588BFC" w:rsidR="00D120E5" w:rsidRPr="005F763D" w:rsidRDefault="00D120E5" w:rsidP="000D6E4F">
            <w:pPr>
              <w:pStyle w:val="TableText-Right"/>
              <w:rPr>
                <w:rFonts w:ascii="Calibri" w:hAnsi="Calibri"/>
                <w:b/>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4264A4DE" w14:textId="0BAABB32" w:rsidR="00D120E5" w:rsidRPr="005F763D" w:rsidRDefault="00D120E5" w:rsidP="000D6E4F">
            <w:pPr>
              <w:pStyle w:val="TableText-Right"/>
              <w:rPr>
                <w:rFonts w:ascii="Calibri" w:hAnsi="Calibri"/>
                <w:b/>
              </w:rPr>
            </w:pPr>
            <w:r w:rsidRPr="00E66F7A">
              <w:t>$___,___</w:t>
            </w:r>
          </w:p>
        </w:tc>
      </w:tr>
      <w:tr w:rsidR="00D120E5" w:rsidRPr="005F763D" w14:paraId="49B7C467"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1FF11A1E" w14:textId="77777777" w:rsidR="00D120E5" w:rsidRPr="005F763D" w:rsidRDefault="00D120E5" w:rsidP="000D0191">
            <w:pPr>
              <w:jc w:val="left"/>
            </w:pPr>
            <w:r w:rsidRPr="005F763D">
              <w:t>Less Pension Payment</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F83A186" w14:textId="67DFC4F8"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77D88D75" w14:textId="2FDC12DB" w:rsidR="00D120E5" w:rsidRPr="005F763D" w:rsidRDefault="00D120E5" w:rsidP="000D6E4F">
            <w:pPr>
              <w:pStyle w:val="TableText-Right"/>
              <w:rPr>
                <w:rFonts w:ascii="Calibri" w:hAnsi="Calibri"/>
              </w:rPr>
            </w:pPr>
            <w:r w:rsidRPr="00E66F7A">
              <w:t>$___,___</w:t>
            </w:r>
          </w:p>
        </w:tc>
      </w:tr>
      <w:tr w:rsidR="003D7678" w:rsidRPr="005F763D" w14:paraId="3953E008" w14:textId="77777777" w:rsidTr="00036DDB">
        <w:tc>
          <w:tcPr>
            <w:tcW w:w="3000" w:type="pct"/>
            <w:tcBorders>
              <w:top w:val="single" w:sz="2" w:space="0" w:color="808080"/>
              <w:right w:val="single" w:sz="24" w:space="0" w:color="FFFFFF"/>
            </w:tcBorders>
            <w:shd w:val="clear" w:color="auto" w:fill="auto"/>
            <w:vAlign w:val="center"/>
          </w:tcPr>
          <w:p w14:paraId="29F689D9" w14:textId="77777777" w:rsidR="003D7678" w:rsidRPr="005F763D" w:rsidRDefault="003D7678" w:rsidP="000D6E4F">
            <w:pPr>
              <w:pStyle w:val="TableText-RightBold"/>
            </w:pPr>
            <w:r w:rsidRPr="005F763D">
              <w:t>Net Superannuation Contributions</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tcPr>
          <w:p w14:paraId="721308EB" w14:textId="5A21C5AF" w:rsidR="003D7678" w:rsidRPr="005F763D" w:rsidRDefault="00D120E5" w:rsidP="000D6E4F">
            <w:pPr>
              <w:pStyle w:val="TableText-RightBold"/>
            </w:pPr>
            <w:r w:rsidRPr="005F763D">
              <w:t>$___,___</w:t>
            </w:r>
          </w:p>
        </w:tc>
        <w:tc>
          <w:tcPr>
            <w:tcW w:w="1000" w:type="pct"/>
            <w:tcBorders>
              <w:top w:val="single" w:sz="2" w:space="0" w:color="808080"/>
              <w:left w:val="single" w:sz="24" w:space="0" w:color="FFFFFF"/>
              <w:bottom w:val="single" w:sz="2" w:space="0" w:color="808080"/>
            </w:tcBorders>
            <w:shd w:val="clear" w:color="auto" w:fill="D9D9D9"/>
            <w:vAlign w:val="center"/>
          </w:tcPr>
          <w:p w14:paraId="5F4A1D53" w14:textId="334B859C" w:rsidR="003D7678" w:rsidRPr="005F763D" w:rsidRDefault="00D120E5" w:rsidP="000D6E4F">
            <w:pPr>
              <w:pStyle w:val="TableText-RightBold"/>
            </w:pPr>
            <w:r w:rsidRPr="005F763D">
              <w:t>$___,___</w:t>
            </w:r>
          </w:p>
        </w:tc>
      </w:tr>
    </w:tbl>
    <w:p w14:paraId="61C65571" w14:textId="77777777" w:rsidR="003D7678" w:rsidRPr="005F763D" w:rsidRDefault="003D7678" w:rsidP="0077179B">
      <w:pPr>
        <w:pStyle w:val="Notes-Heading"/>
      </w:pPr>
      <w:r w:rsidRPr="005F763D">
        <w:t>Notes:</w:t>
      </w:r>
    </w:p>
    <w:tbl>
      <w:tblPr>
        <w:tblW w:w="9429" w:type="dxa"/>
        <w:tblLayout w:type="fixed"/>
        <w:tblLook w:val="01E0" w:firstRow="1" w:lastRow="1" w:firstColumn="1" w:lastColumn="1" w:noHBand="0" w:noVBand="0"/>
      </w:tblPr>
      <w:tblGrid>
        <w:gridCol w:w="425"/>
        <w:gridCol w:w="9004"/>
      </w:tblGrid>
      <w:tr w:rsidR="003D7678" w:rsidRPr="005F763D" w14:paraId="57BA2445" w14:textId="77777777" w:rsidTr="00036DDB">
        <w:tc>
          <w:tcPr>
            <w:tcW w:w="425" w:type="dxa"/>
          </w:tcPr>
          <w:p w14:paraId="10C8B548" w14:textId="77777777" w:rsidR="003D7678" w:rsidRPr="005F763D" w:rsidRDefault="00172AE3" w:rsidP="008C7CE9">
            <w:pPr>
              <w:pStyle w:val="Notes-Numbers"/>
              <w:rPr>
                <w:rFonts w:ascii="Calibri" w:hAnsi="Calibri"/>
                <w:sz w:val="18"/>
              </w:rPr>
            </w:pPr>
            <w:r w:rsidRPr="005F763D">
              <w:rPr>
                <w:rFonts w:ascii="Calibri" w:hAnsi="Calibri"/>
                <w:sz w:val="18"/>
              </w:rPr>
              <w:t>[1</w:t>
            </w:r>
            <w:r w:rsidR="003D7678" w:rsidRPr="005F763D">
              <w:rPr>
                <w:rFonts w:ascii="Calibri" w:hAnsi="Calibri"/>
                <w:sz w:val="18"/>
              </w:rPr>
              <w:t>]</w:t>
            </w:r>
          </w:p>
        </w:tc>
        <w:tc>
          <w:tcPr>
            <w:tcW w:w="9004" w:type="dxa"/>
          </w:tcPr>
          <w:p w14:paraId="7EDF4DD7" w14:textId="77777777" w:rsidR="003D7678" w:rsidRPr="005F763D" w:rsidRDefault="003D7678" w:rsidP="008C7CE9">
            <w:pPr>
              <w:pStyle w:val="Notes-Text"/>
              <w:rPr>
                <w:rFonts w:ascii="Calibri" w:hAnsi="Calibri"/>
                <w:sz w:val="18"/>
              </w:rPr>
            </w:pPr>
            <w:r w:rsidRPr="005F763D">
              <w:rPr>
                <w:rFonts w:ascii="Calibri" w:hAnsi="Calibri"/>
                <w:sz w:val="18"/>
              </w:rPr>
              <w:t>Assumes employer continues to pay 9</w:t>
            </w:r>
            <w:r w:rsidR="002E5D21" w:rsidRPr="005F763D">
              <w:rPr>
                <w:rFonts w:ascii="Calibri" w:hAnsi="Calibri"/>
                <w:sz w:val="18"/>
              </w:rPr>
              <w:t>.5</w:t>
            </w:r>
            <w:r w:rsidRPr="005F763D">
              <w:rPr>
                <w:rFonts w:ascii="Calibri" w:hAnsi="Calibri"/>
                <w:sz w:val="18"/>
              </w:rPr>
              <w:t>% of annual gross salary.</w:t>
            </w:r>
          </w:p>
        </w:tc>
      </w:tr>
    </w:tbl>
    <w:p w14:paraId="1B0E4BF4" w14:textId="77777777" w:rsidR="003D7678" w:rsidRPr="005F763D" w:rsidRDefault="003D7678" w:rsidP="008C7CE9">
      <w:pPr>
        <w:jc w:val="left"/>
      </w:pPr>
    </w:p>
    <w:p w14:paraId="0E847DCD" w14:textId="77777777" w:rsidR="003D7678" w:rsidRPr="005F763D" w:rsidRDefault="003D7678" w:rsidP="008C7CE9">
      <w:pPr>
        <w:jc w:val="left"/>
      </w:pPr>
      <w:r w:rsidRPr="005F763D">
        <w:t xml:space="preserve">As shown above, by implementing the recommended strategy your net superannuation contributions will increase by </w:t>
      </w:r>
      <w:r w:rsidRPr="005F763D">
        <w:rPr>
          <w:color w:val="FF0000"/>
        </w:rPr>
        <w:t>$__</w:t>
      </w:r>
      <w:proofErr w:type="gramStart"/>
      <w:r w:rsidRPr="005F763D">
        <w:rPr>
          <w:color w:val="FF0000"/>
        </w:rPr>
        <w:t>_,_</w:t>
      </w:r>
      <w:proofErr w:type="gramEnd"/>
      <w:r w:rsidRPr="005F763D">
        <w:rPr>
          <w:color w:val="FF0000"/>
        </w:rPr>
        <w:t>__</w:t>
      </w:r>
      <w:r w:rsidRPr="005F763D">
        <w:t xml:space="preserve"> in the first year. These additional savings will considerably enhance your ability to meet your retirement income objectives.</w:t>
      </w:r>
    </w:p>
    <w:p w14:paraId="0BDAD0C2" w14:textId="77777777" w:rsidR="003D7678" w:rsidRPr="005F763D" w:rsidRDefault="003D7678" w:rsidP="008C7CE9">
      <w:pPr>
        <w:jc w:val="left"/>
      </w:pPr>
    </w:p>
    <w:p w14:paraId="64874731" w14:textId="7A0467E1" w:rsidR="003D7678" w:rsidRPr="00935F4F" w:rsidRDefault="003D7678" w:rsidP="003812CB">
      <w:pPr>
        <w:pStyle w:val="ListParagraph"/>
        <w:numPr>
          <w:ilvl w:val="0"/>
          <w:numId w:val="78"/>
        </w:numPr>
        <w:jc w:val="left"/>
      </w:pPr>
      <w:r w:rsidRPr="00E70B90">
        <w:rPr>
          <w:b/>
        </w:rPr>
        <w:t>Comparative Tax Position</w:t>
      </w:r>
      <w:r w:rsidR="00561C91">
        <w:rPr>
          <w:b/>
        </w:rPr>
        <w:t xml:space="preserve"> </w:t>
      </w:r>
      <w:r w:rsidR="00561C91" w:rsidRPr="00935F4F">
        <w:t>_ estimate only (excludes Medicare Levy)</w:t>
      </w:r>
    </w:p>
    <w:p w14:paraId="34C2FCCA" w14:textId="77777777" w:rsidR="003D7678" w:rsidRPr="005F763D" w:rsidRDefault="003D7678" w:rsidP="003D7678"/>
    <w:tbl>
      <w:tblPr>
        <w:tblW w:w="5000" w:type="pct"/>
        <w:tblLook w:val="0000" w:firstRow="0" w:lastRow="0" w:firstColumn="0" w:lastColumn="0" w:noHBand="0" w:noVBand="0"/>
      </w:tblPr>
      <w:tblGrid>
        <w:gridCol w:w="5782"/>
        <w:gridCol w:w="1928"/>
        <w:gridCol w:w="1928"/>
      </w:tblGrid>
      <w:tr w:rsidR="003D7678" w:rsidRPr="005F763D" w14:paraId="7AEC3B53" w14:textId="77777777" w:rsidTr="00036DDB">
        <w:tc>
          <w:tcPr>
            <w:tcW w:w="3000" w:type="pct"/>
            <w:tcBorders>
              <w:bottom w:val="single" w:sz="2" w:space="0" w:color="808080"/>
              <w:right w:val="single" w:sz="24" w:space="0" w:color="FFFFFF"/>
            </w:tcBorders>
            <w:shd w:val="clear" w:color="auto" w:fill="auto"/>
          </w:tcPr>
          <w:p w14:paraId="3768B0FE" w14:textId="77777777" w:rsidR="003D7678" w:rsidRPr="005F763D" w:rsidRDefault="003D7678" w:rsidP="00036DDB">
            <w:pPr>
              <w:pStyle w:val="TableHeader2"/>
              <w:rPr>
                <w:rFonts w:ascii="Calibri" w:hAnsi="Calibri"/>
              </w:rPr>
            </w:pPr>
          </w:p>
        </w:tc>
        <w:tc>
          <w:tcPr>
            <w:tcW w:w="1000" w:type="pct"/>
            <w:tcBorders>
              <w:top w:val="single" w:sz="2" w:space="0" w:color="808080"/>
              <w:left w:val="single" w:sz="24" w:space="0" w:color="FFFFFF"/>
              <w:bottom w:val="single" w:sz="2" w:space="0" w:color="808080"/>
              <w:right w:val="single" w:sz="24" w:space="0" w:color="FFFFFF"/>
            </w:tcBorders>
            <w:shd w:val="clear" w:color="auto" w:fill="BFBFBF"/>
          </w:tcPr>
          <w:p w14:paraId="465AD16C" w14:textId="77777777" w:rsidR="003D7678" w:rsidRPr="005F763D" w:rsidRDefault="003D7678" w:rsidP="00036DDB">
            <w:pPr>
              <w:pStyle w:val="TableHeader2-Centre"/>
              <w:rPr>
                <w:rFonts w:ascii="Calibri" w:hAnsi="Calibri"/>
              </w:rPr>
            </w:pPr>
            <w:r w:rsidRPr="005F763D">
              <w:rPr>
                <w:rFonts w:ascii="Calibri" w:hAnsi="Calibri"/>
              </w:rPr>
              <w:t>Existing Strategy ($)</w:t>
            </w:r>
          </w:p>
        </w:tc>
        <w:tc>
          <w:tcPr>
            <w:tcW w:w="1000" w:type="pct"/>
            <w:tcBorders>
              <w:top w:val="single" w:sz="2" w:space="0" w:color="808080"/>
              <w:left w:val="single" w:sz="24" w:space="0" w:color="FFFFFF"/>
              <w:bottom w:val="single" w:sz="2" w:space="0" w:color="808080"/>
            </w:tcBorders>
            <w:shd w:val="clear" w:color="auto" w:fill="BFBFBF"/>
          </w:tcPr>
          <w:p w14:paraId="2520EB36" w14:textId="77777777" w:rsidR="003D7678" w:rsidRPr="005F763D" w:rsidRDefault="003D7678" w:rsidP="00036DDB">
            <w:pPr>
              <w:pStyle w:val="TableHeader2-Centre"/>
              <w:rPr>
                <w:rFonts w:ascii="Calibri" w:hAnsi="Calibri"/>
              </w:rPr>
            </w:pPr>
            <w:r w:rsidRPr="005F763D">
              <w:rPr>
                <w:rFonts w:ascii="Calibri" w:hAnsi="Calibri"/>
              </w:rPr>
              <w:t>TTR Strategy ($)</w:t>
            </w:r>
          </w:p>
        </w:tc>
      </w:tr>
      <w:tr w:rsidR="003D7678" w:rsidRPr="005F763D" w14:paraId="0393D32A" w14:textId="77777777" w:rsidTr="00036DDB">
        <w:tc>
          <w:tcPr>
            <w:tcW w:w="3000" w:type="pct"/>
            <w:tcBorders>
              <w:top w:val="single" w:sz="2" w:space="0" w:color="808080"/>
              <w:bottom w:val="single" w:sz="2" w:space="0" w:color="808080"/>
              <w:right w:val="single" w:sz="24" w:space="0" w:color="FFFFFF"/>
            </w:tcBorders>
            <w:shd w:val="clear" w:color="auto" w:fill="auto"/>
            <w:vAlign w:val="center"/>
          </w:tcPr>
          <w:p w14:paraId="53ACCEA5" w14:textId="3D617C6C" w:rsidR="003D7678" w:rsidRPr="005F763D" w:rsidRDefault="003D7678" w:rsidP="000D0191">
            <w:pPr>
              <w:jc w:val="left"/>
            </w:pPr>
            <w:r w:rsidRPr="005F763D">
              <w:t>Income Tax</w:t>
            </w:r>
            <w:r w:rsidR="000D6E4F">
              <w:t xml:space="preserve"> _ salary, business income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27807492" w14:textId="3DCA4E0D" w:rsidR="003D7678" w:rsidRPr="005F763D" w:rsidRDefault="002F5A61"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vAlign w:val="center"/>
          </w:tcPr>
          <w:p w14:paraId="0604DCB6" w14:textId="2212C43F" w:rsidR="003D7678" w:rsidRPr="005F763D" w:rsidRDefault="003D7678" w:rsidP="000D6E4F">
            <w:pPr>
              <w:pStyle w:val="TableText-Right"/>
              <w:rPr>
                <w:rFonts w:ascii="Calibri" w:hAnsi="Calibri"/>
              </w:rPr>
            </w:pPr>
          </w:p>
        </w:tc>
      </w:tr>
      <w:tr w:rsidR="003D7678" w:rsidRPr="005F763D" w14:paraId="6DE3F304" w14:textId="77777777" w:rsidTr="00036DDB">
        <w:tc>
          <w:tcPr>
            <w:tcW w:w="3000" w:type="pct"/>
            <w:tcBorders>
              <w:top w:val="single" w:sz="2" w:space="0" w:color="808080"/>
              <w:bottom w:val="single" w:sz="2" w:space="0" w:color="808080"/>
              <w:right w:val="single" w:sz="24" w:space="0" w:color="FFFFFF"/>
            </w:tcBorders>
            <w:shd w:val="clear" w:color="auto" w:fill="auto"/>
            <w:vAlign w:val="center"/>
          </w:tcPr>
          <w:p w14:paraId="5918A9B4" w14:textId="77777777" w:rsidR="003D7678" w:rsidRPr="005F763D" w:rsidRDefault="003D7678" w:rsidP="000D0191">
            <w:pPr>
              <w:jc w:val="left"/>
            </w:pPr>
            <w:r w:rsidRPr="005F763D">
              <w:t>Contributions Tax</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2233481E" w14:textId="44FF61CE" w:rsidR="003D7678" w:rsidRPr="005F763D" w:rsidRDefault="003D7678" w:rsidP="000D6E4F">
            <w:pPr>
              <w:pStyle w:val="TableText-Right"/>
              <w:rPr>
                <w:rFonts w:ascii="Calibri" w:hAnsi="Calibri"/>
              </w:rPr>
            </w:pPr>
          </w:p>
        </w:tc>
        <w:tc>
          <w:tcPr>
            <w:tcW w:w="1000" w:type="pct"/>
            <w:tcBorders>
              <w:top w:val="single" w:sz="2" w:space="0" w:color="808080"/>
              <w:left w:val="single" w:sz="24" w:space="0" w:color="FFFFFF"/>
              <w:bottom w:val="single" w:sz="2" w:space="0" w:color="808080"/>
            </w:tcBorders>
            <w:shd w:val="clear" w:color="auto" w:fill="auto"/>
            <w:vAlign w:val="center"/>
          </w:tcPr>
          <w:p w14:paraId="246265B1" w14:textId="4C93C762" w:rsidR="003D7678" w:rsidRPr="005F763D" w:rsidRDefault="002F5A61" w:rsidP="000D6E4F">
            <w:pPr>
              <w:pStyle w:val="TableText-Right"/>
              <w:rPr>
                <w:rFonts w:ascii="Calibri" w:hAnsi="Calibri"/>
              </w:rPr>
            </w:pPr>
            <w:r w:rsidRPr="005F763D">
              <w:t>$___,___</w:t>
            </w:r>
          </w:p>
        </w:tc>
      </w:tr>
      <w:tr w:rsidR="0031491E" w:rsidRPr="005F763D" w14:paraId="6B13AB49" w14:textId="77777777" w:rsidTr="00036DDB">
        <w:tc>
          <w:tcPr>
            <w:tcW w:w="3000" w:type="pct"/>
            <w:tcBorders>
              <w:top w:val="single" w:sz="2" w:space="0" w:color="808080"/>
              <w:bottom w:val="single" w:sz="2" w:space="0" w:color="808080"/>
              <w:right w:val="single" w:sz="24" w:space="0" w:color="FFFFFF"/>
            </w:tcBorders>
            <w:shd w:val="clear" w:color="auto" w:fill="auto"/>
            <w:vAlign w:val="center"/>
          </w:tcPr>
          <w:p w14:paraId="0A07F2C2" w14:textId="21CBC458" w:rsidR="0031491E" w:rsidRPr="005F763D" w:rsidRDefault="000D6E4F" w:rsidP="000D0191">
            <w:pPr>
              <w:jc w:val="left"/>
            </w:pPr>
            <w:r>
              <w:t>Income Tax _ pension payment</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DF89F9E" w14:textId="77777777" w:rsidR="0031491E" w:rsidRPr="005F763D" w:rsidRDefault="0031491E" w:rsidP="000D6E4F">
            <w:pPr>
              <w:pStyle w:val="TableText-Right"/>
            </w:pPr>
          </w:p>
        </w:tc>
        <w:tc>
          <w:tcPr>
            <w:tcW w:w="1000" w:type="pct"/>
            <w:tcBorders>
              <w:top w:val="single" w:sz="2" w:space="0" w:color="808080"/>
              <w:left w:val="single" w:sz="24" w:space="0" w:color="FFFFFF"/>
              <w:bottom w:val="single" w:sz="2" w:space="0" w:color="808080"/>
            </w:tcBorders>
            <w:shd w:val="clear" w:color="auto" w:fill="auto"/>
            <w:vAlign w:val="center"/>
          </w:tcPr>
          <w:p w14:paraId="76105181" w14:textId="328A26A2" w:rsidR="0031491E" w:rsidRPr="005F763D" w:rsidRDefault="000D6E4F" w:rsidP="000D6E4F">
            <w:pPr>
              <w:pStyle w:val="TableText-Right"/>
            </w:pPr>
            <w:r w:rsidRPr="005F763D">
              <w:t>$___,___</w:t>
            </w:r>
          </w:p>
        </w:tc>
      </w:tr>
      <w:tr w:rsidR="003D7678" w:rsidRPr="005F763D" w14:paraId="485996C1" w14:textId="77777777" w:rsidTr="00036DDB">
        <w:tc>
          <w:tcPr>
            <w:tcW w:w="3000" w:type="pct"/>
            <w:tcBorders>
              <w:top w:val="single" w:sz="2" w:space="0" w:color="808080"/>
              <w:right w:val="single" w:sz="24" w:space="0" w:color="FFFFFF"/>
            </w:tcBorders>
            <w:shd w:val="clear" w:color="auto" w:fill="auto"/>
            <w:vAlign w:val="center"/>
          </w:tcPr>
          <w:p w14:paraId="5CEED7BD" w14:textId="77777777" w:rsidR="003D7678" w:rsidRPr="005F763D" w:rsidRDefault="003D7678" w:rsidP="000D6E4F">
            <w:pPr>
              <w:pStyle w:val="TableText-RightBold"/>
            </w:pPr>
            <w:r w:rsidRPr="005F763D">
              <w:t>Total Tax Payable</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tcPr>
          <w:p w14:paraId="51D74E18" w14:textId="3CAC13FB" w:rsidR="003D7678" w:rsidRPr="005F763D" w:rsidRDefault="002F5A61" w:rsidP="000D6E4F">
            <w:pPr>
              <w:pStyle w:val="TableText-RightBold"/>
            </w:pPr>
            <w:r w:rsidRPr="005F763D">
              <w:t>$___,___</w:t>
            </w:r>
          </w:p>
        </w:tc>
        <w:tc>
          <w:tcPr>
            <w:tcW w:w="1000" w:type="pct"/>
            <w:tcBorders>
              <w:top w:val="single" w:sz="2" w:space="0" w:color="808080"/>
              <w:left w:val="single" w:sz="24" w:space="0" w:color="FFFFFF"/>
              <w:bottom w:val="single" w:sz="2" w:space="0" w:color="808080"/>
            </w:tcBorders>
            <w:shd w:val="clear" w:color="auto" w:fill="D9D9D9"/>
            <w:vAlign w:val="center"/>
          </w:tcPr>
          <w:p w14:paraId="4BDBBFCA" w14:textId="21B6D569" w:rsidR="003D7678" w:rsidRPr="005F763D" w:rsidRDefault="002F5A61" w:rsidP="000D6E4F">
            <w:pPr>
              <w:pStyle w:val="TableText-RightBold"/>
            </w:pPr>
            <w:r w:rsidRPr="005F763D">
              <w:t>$___,___</w:t>
            </w:r>
          </w:p>
        </w:tc>
      </w:tr>
    </w:tbl>
    <w:p w14:paraId="2FF932F2" w14:textId="77777777" w:rsidR="003D7678" w:rsidRPr="005F763D" w:rsidRDefault="003D7678" w:rsidP="003D7678"/>
    <w:p w14:paraId="36522646" w14:textId="77777777" w:rsidR="003D7678" w:rsidRPr="005F763D" w:rsidRDefault="003D7678" w:rsidP="008C7CE9">
      <w:pPr>
        <w:jc w:val="left"/>
      </w:pPr>
    </w:p>
    <w:bookmarkEnd w:id="28"/>
    <w:p w14:paraId="0D0CFC24" w14:textId="77777777" w:rsidR="003D7678" w:rsidRPr="005F763D" w:rsidRDefault="003D7678" w:rsidP="008C7CE9">
      <w:pPr>
        <w:jc w:val="left"/>
      </w:pPr>
    </w:p>
    <w:p w14:paraId="4631BA22" w14:textId="4B76BFCA" w:rsidR="003D7678" w:rsidRPr="002F0CC6" w:rsidRDefault="003D7678" w:rsidP="008C7CE9">
      <w:pPr>
        <w:jc w:val="left"/>
        <w:rPr>
          <w:color w:val="002060"/>
          <w:sz w:val="24"/>
        </w:rPr>
      </w:pPr>
      <w:r w:rsidRPr="005F763D">
        <w:rPr>
          <w:color w:val="002060"/>
          <w:sz w:val="24"/>
        </w:rPr>
        <w:t>Planning for Retirement - Capital Required</w:t>
      </w:r>
      <w:r w:rsidR="009C2B6B">
        <w:rPr>
          <w:color w:val="002060"/>
          <w:sz w:val="24"/>
        </w:rPr>
        <w:t xml:space="preserve"> </w:t>
      </w:r>
      <w:r w:rsidR="009C2B6B" w:rsidRPr="000D0191">
        <w:rPr>
          <w:rFonts w:eastAsia="SimSun"/>
          <w:b/>
          <w:color w:val="auto"/>
          <w:szCs w:val="22"/>
          <w:highlight w:val="yellow"/>
          <w:lang w:val="x-none" w:eastAsia="x-none"/>
        </w:rPr>
        <w:t>[Version 1</w:t>
      </w:r>
      <w:r w:rsidR="00881F8A" w:rsidRPr="000D0191">
        <w:rPr>
          <w:rFonts w:eastAsia="SimSun"/>
          <w:b/>
          <w:color w:val="auto"/>
          <w:szCs w:val="22"/>
          <w:highlight w:val="yellow"/>
          <w:lang w:eastAsia="x-none"/>
        </w:rPr>
        <w:t>_ Calculation</w:t>
      </w:r>
      <w:r w:rsidR="009C2B6B" w:rsidRPr="000D0191">
        <w:rPr>
          <w:rFonts w:eastAsia="SimSun"/>
          <w:b/>
          <w:color w:val="auto"/>
          <w:szCs w:val="22"/>
          <w:highlight w:val="yellow"/>
          <w:lang w:eastAsia="x-none"/>
        </w:rPr>
        <w:t>]</w:t>
      </w:r>
    </w:p>
    <w:p w14:paraId="7CBE8802" w14:textId="1CEE4E26" w:rsidR="003D7678" w:rsidRDefault="003D7678" w:rsidP="008C7CE9">
      <w:pPr>
        <w:jc w:val="left"/>
      </w:pPr>
    </w:p>
    <w:tbl>
      <w:tblPr>
        <w:tblStyle w:val="TableGrid"/>
        <w:tblW w:w="0" w:type="auto"/>
        <w:tblInd w:w="76" w:type="dxa"/>
        <w:tblLook w:val="04A0" w:firstRow="1" w:lastRow="0" w:firstColumn="1" w:lastColumn="0" w:noHBand="0" w:noVBand="1"/>
      </w:tblPr>
      <w:tblGrid>
        <w:gridCol w:w="2754"/>
        <w:gridCol w:w="6798"/>
      </w:tblGrid>
      <w:tr w:rsidR="009E7179" w:rsidRPr="001A22F0" w14:paraId="3A972259" w14:textId="77777777" w:rsidTr="00C633C4">
        <w:tc>
          <w:tcPr>
            <w:tcW w:w="2754" w:type="dxa"/>
          </w:tcPr>
          <w:p w14:paraId="4C54E677" w14:textId="7BDE3EC5" w:rsidR="009E7179" w:rsidRPr="00EA0A06" w:rsidRDefault="009E7179" w:rsidP="00E164DA">
            <w:pPr>
              <w:pStyle w:val="Instructions"/>
            </w:pPr>
          </w:p>
        </w:tc>
        <w:tc>
          <w:tcPr>
            <w:tcW w:w="6798" w:type="dxa"/>
          </w:tcPr>
          <w:p w14:paraId="2F61E443" w14:textId="1D74220D" w:rsidR="00935F4F" w:rsidRPr="005F763D" w:rsidRDefault="00935F4F">
            <w:pPr>
              <w:pStyle w:val="InterPracBullet"/>
            </w:pPr>
            <w:r w:rsidRPr="005F763D">
              <w:t xml:space="preserve">You have indicated that you wish to retire in </w:t>
            </w:r>
            <w:r w:rsidRPr="000D0191">
              <w:rPr>
                <w:highlight w:val="yellow"/>
                <w:lang w:val="en-AU"/>
              </w:rPr>
              <w:t>[</w:t>
            </w:r>
            <w:r w:rsidRPr="000D0191">
              <w:rPr>
                <w:highlight w:val="yellow"/>
              </w:rPr>
              <w:t>XX</w:t>
            </w:r>
            <w:r w:rsidRPr="000D0191">
              <w:rPr>
                <w:highlight w:val="yellow"/>
                <w:lang w:val="en-AU"/>
              </w:rPr>
              <w:t>]</w:t>
            </w:r>
            <w:r w:rsidRPr="005F763D">
              <w:t xml:space="preserve"> </w:t>
            </w:r>
            <w:r w:rsidR="007F7797" w:rsidRPr="005F763D">
              <w:t>years’ time</w:t>
            </w:r>
            <w:r w:rsidRPr="005F763D">
              <w:t>.</w:t>
            </w:r>
          </w:p>
          <w:p w14:paraId="597EA752" w14:textId="77777777" w:rsidR="00935F4F" w:rsidRPr="005F763D" w:rsidRDefault="00935F4F">
            <w:pPr>
              <w:pStyle w:val="InterPracBullet"/>
            </w:pPr>
            <w:r w:rsidRPr="005F763D">
              <w:t>Your retirement income objective is $</w:t>
            </w:r>
            <w:r w:rsidRPr="005F763D">
              <w:rPr>
                <w:color w:val="FF0000"/>
              </w:rPr>
              <w:t>[___,___]</w:t>
            </w:r>
            <w:r w:rsidRPr="005F763D">
              <w:t xml:space="preserve"> per annum (today’s dollars).</w:t>
            </w:r>
          </w:p>
          <w:p w14:paraId="3AD2E6AD" w14:textId="07A81C2A" w:rsidR="00C01C4F" w:rsidRPr="005F763D" w:rsidRDefault="00C01C4F">
            <w:pPr>
              <w:pStyle w:val="InterPracBullet"/>
            </w:pPr>
            <w:r w:rsidRPr="005F763D">
              <w:lastRenderedPageBreak/>
              <w:t>To achieve this level of income upon your retirement, we have calculated that you will need a capital base of approximately $[amount], in order to last beyond your life expectancy age of [age]. We have based our calculations on the following assumptions:</w:t>
            </w:r>
          </w:p>
          <w:p w14:paraId="47E84FE4" w14:textId="77777777" w:rsidR="00C01C4F" w:rsidRPr="005F763D" w:rsidRDefault="00C01C4F">
            <w:pPr>
              <w:pStyle w:val="InterPracBullet"/>
            </w:pPr>
            <w:r w:rsidRPr="005F763D">
              <w:t xml:space="preserve">Inflation – </w:t>
            </w:r>
            <w:r w:rsidRPr="000D0191">
              <w:rPr>
                <w:color w:val="FF0000"/>
              </w:rPr>
              <w:t>[___]</w:t>
            </w:r>
            <w:r w:rsidRPr="005F763D">
              <w:t>% per annum</w:t>
            </w:r>
          </w:p>
          <w:p w14:paraId="364DBDE3" w14:textId="7C6C4932" w:rsidR="00C01C4F" w:rsidRPr="005F763D" w:rsidRDefault="00CE5453">
            <w:pPr>
              <w:pStyle w:val="InterPracBullet"/>
            </w:pPr>
            <w:r>
              <w:rPr>
                <w:lang w:val="en-AU"/>
              </w:rPr>
              <w:t xml:space="preserve">Total </w:t>
            </w:r>
            <w:r w:rsidR="00C01C4F" w:rsidRPr="005F763D">
              <w:t xml:space="preserve">Investment return – </w:t>
            </w:r>
            <w:r w:rsidR="00C01C4F" w:rsidRPr="000D0191">
              <w:rPr>
                <w:color w:val="FF0000"/>
              </w:rPr>
              <w:t>[__</w:t>
            </w:r>
            <w:proofErr w:type="gramStart"/>
            <w:r w:rsidR="00C01C4F" w:rsidRPr="000D0191">
              <w:rPr>
                <w:color w:val="FF0000"/>
              </w:rPr>
              <w:t>_]</w:t>
            </w:r>
            <w:r w:rsidR="00C01C4F" w:rsidRPr="005F763D">
              <w:t>%</w:t>
            </w:r>
            <w:proofErr w:type="gramEnd"/>
            <w:r w:rsidR="00C01C4F" w:rsidRPr="005F763D">
              <w:t xml:space="preserve"> per annum</w:t>
            </w:r>
          </w:p>
          <w:p w14:paraId="5F7A820F" w14:textId="77777777" w:rsidR="00C01C4F" w:rsidRPr="005F763D" w:rsidRDefault="00C01C4F">
            <w:pPr>
              <w:pStyle w:val="InterPracBullet"/>
            </w:pPr>
            <w:r w:rsidRPr="005F763D">
              <w:t xml:space="preserve">A retirement time frame of </w:t>
            </w:r>
            <w:r w:rsidRPr="000D0191">
              <w:rPr>
                <w:color w:val="FF0000"/>
              </w:rPr>
              <w:t>[__]</w:t>
            </w:r>
            <w:r w:rsidRPr="005F763D">
              <w:t xml:space="preserve"> years (up to age </w:t>
            </w:r>
            <w:r w:rsidRPr="000D0191">
              <w:rPr>
                <w:color w:val="FF0000"/>
              </w:rPr>
              <w:t>[__]</w:t>
            </w:r>
            <w:r w:rsidRPr="005F763D">
              <w:t xml:space="preserve"> – this is equal to your life expectancy plus 5 years).</w:t>
            </w:r>
          </w:p>
          <w:p w14:paraId="79DC560F" w14:textId="77777777" w:rsidR="00C01C4F" w:rsidRPr="005F763D" w:rsidRDefault="00C01C4F" w:rsidP="00C01C4F">
            <w:pPr>
              <w:jc w:val="left"/>
            </w:pPr>
          </w:p>
          <w:p w14:paraId="14DE6AC6" w14:textId="065BA9C3" w:rsidR="00C01C4F" w:rsidRPr="005F763D" w:rsidRDefault="00C01C4F" w:rsidP="00C01C4F">
            <w:pPr>
              <w:jc w:val="left"/>
            </w:pPr>
            <w:r w:rsidRPr="005F763D">
              <w:t xml:space="preserve">Based on the financial projections we have included with this report, we estimate that your net capital base in </w:t>
            </w:r>
            <w:r w:rsidRPr="005F763D">
              <w:rPr>
                <w:color w:val="FF0000"/>
              </w:rPr>
              <w:t>[__]</w:t>
            </w:r>
            <w:r w:rsidRPr="005F763D">
              <w:t xml:space="preserve"> years’ time will be approximately $</w:t>
            </w:r>
            <w:r w:rsidRPr="005F763D">
              <w:rPr>
                <w:color w:val="FF0000"/>
              </w:rPr>
              <w:t>[__</w:t>
            </w:r>
            <w:proofErr w:type="gramStart"/>
            <w:r w:rsidRPr="005F763D">
              <w:rPr>
                <w:color w:val="FF0000"/>
              </w:rPr>
              <w:t>_,_</w:t>
            </w:r>
            <w:proofErr w:type="gramEnd"/>
            <w:r w:rsidRPr="005F763D">
              <w:rPr>
                <w:color w:val="FF0000"/>
              </w:rPr>
              <w:t>__]</w:t>
            </w:r>
            <w:r w:rsidRPr="005F763D">
              <w:t xml:space="preserve">, which </w:t>
            </w:r>
            <w:r w:rsidRPr="000D0191">
              <w:rPr>
                <w:color w:val="7030A0"/>
                <w:highlight w:val="yellow"/>
              </w:rPr>
              <w:t>[exceeds]</w:t>
            </w:r>
            <w:r w:rsidRPr="005F763D">
              <w:t xml:space="preserve"> the estimated capital base amount required. Therefore, we can conclude that after implementing the recommended strategies you should be on track to achieving your retirement objectives.</w:t>
            </w:r>
          </w:p>
          <w:p w14:paraId="33B2E202" w14:textId="77777777" w:rsidR="00C01C4F" w:rsidRPr="005F763D" w:rsidRDefault="00C01C4F" w:rsidP="00C01C4F">
            <w:pPr>
              <w:jc w:val="left"/>
            </w:pPr>
          </w:p>
          <w:p w14:paraId="7095236A" w14:textId="77777777" w:rsidR="00C01C4F" w:rsidRPr="00960DD7" w:rsidRDefault="00C01C4F" w:rsidP="00C01C4F">
            <w:pPr>
              <w:jc w:val="left"/>
              <w:rPr>
                <w:b/>
              </w:rPr>
            </w:pPr>
            <w:r w:rsidRPr="00950F24">
              <w:rPr>
                <w:b/>
              </w:rPr>
              <w:t>Please be aware that these projections are a general guide only and no guarantee of investment performance is given.</w:t>
            </w:r>
          </w:p>
          <w:p w14:paraId="701A435C" w14:textId="77777777" w:rsidR="009E7179" w:rsidRPr="001A22F0" w:rsidRDefault="009E7179" w:rsidP="003A09CD">
            <w:pPr>
              <w:jc w:val="left"/>
            </w:pPr>
          </w:p>
        </w:tc>
      </w:tr>
    </w:tbl>
    <w:p w14:paraId="2B0B21C2" w14:textId="77777777" w:rsidR="009E7179" w:rsidRDefault="009E7179" w:rsidP="008C7CE9">
      <w:pPr>
        <w:jc w:val="left"/>
      </w:pPr>
    </w:p>
    <w:p w14:paraId="7C989CD8" w14:textId="77777777" w:rsidR="003D7678" w:rsidRPr="005F763D" w:rsidRDefault="003D7678" w:rsidP="008C7CE9">
      <w:pPr>
        <w:jc w:val="left"/>
      </w:pPr>
    </w:p>
    <w:p w14:paraId="28DEBB15" w14:textId="77C13DD0" w:rsidR="003D7678" w:rsidRDefault="003D7678" w:rsidP="008C7CE9">
      <w:pPr>
        <w:jc w:val="left"/>
      </w:pPr>
    </w:p>
    <w:p w14:paraId="2F2A5EE6" w14:textId="77777777" w:rsidR="009C2B6B" w:rsidRDefault="009C2B6B" w:rsidP="008C7CE9">
      <w:pPr>
        <w:jc w:val="left"/>
        <w:rPr>
          <w:color w:val="002060"/>
          <w:sz w:val="24"/>
        </w:rPr>
      </w:pPr>
    </w:p>
    <w:p w14:paraId="10159F6C" w14:textId="77777777" w:rsidR="009C2B6B" w:rsidRDefault="009C2B6B" w:rsidP="008C7CE9">
      <w:pPr>
        <w:jc w:val="left"/>
        <w:rPr>
          <w:color w:val="002060"/>
          <w:sz w:val="24"/>
        </w:rPr>
      </w:pPr>
    </w:p>
    <w:p w14:paraId="4B6D561D" w14:textId="49EA36A4" w:rsidR="00054E01" w:rsidRDefault="00054E01" w:rsidP="008C7CE9">
      <w:pPr>
        <w:jc w:val="left"/>
        <w:rPr>
          <w:color w:val="002060"/>
          <w:sz w:val="24"/>
        </w:rPr>
      </w:pPr>
      <w:r w:rsidRPr="005F763D">
        <w:rPr>
          <w:color w:val="002060"/>
          <w:sz w:val="24"/>
        </w:rPr>
        <w:t xml:space="preserve">Planning for Retirement - Capital </w:t>
      </w:r>
      <w:proofErr w:type="gramStart"/>
      <w:r w:rsidRPr="005F763D">
        <w:rPr>
          <w:color w:val="002060"/>
          <w:sz w:val="24"/>
        </w:rPr>
        <w:t>Required</w:t>
      </w:r>
      <w:r w:rsidR="009C2B6B">
        <w:rPr>
          <w:color w:val="002060"/>
          <w:sz w:val="24"/>
        </w:rPr>
        <w:t xml:space="preserve">  </w:t>
      </w:r>
      <w:r w:rsidR="009C2B6B" w:rsidRPr="000D0191">
        <w:rPr>
          <w:rFonts w:eastAsia="SimSun"/>
          <w:b/>
          <w:color w:val="auto"/>
          <w:szCs w:val="22"/>
          <w:highlight w:val="yellow"/>
          <w:lang w:val="x-none" w:eastAsia="x-none"/>
        </w:rPr>
        <w:t>[</w:t>
      </w:r>
      <w:proofErr w:type="gramEnd"/>
      <w:r w:rsidR="009C2B6B" w:rsidRPr="000D0191">
        <w:rPr>
          <w:rFonts w:eastAsia="SimSun"/>
          <w:b/>
          <w:color w:val="auto"/>
          <w:szCs w:val="22"/>
          <w:highlight w:val="yellow"/>
          <w:lang w:val="x-none" w:eastAsia="x-none"/>
        </w:rPr>
        <w:t>Version 2</w:t>
      </w:r>
      <w:r w:rsidR="00881F8A" w:rsidRPr="000D0191">
        <w:rPr>
          <w:rFonts w:eastAsia="SimSun"/>
          <w:b/>
          <w:color w:val="auto"/>
          <w:szCs w:val="22"/>
          <w:highlight w:val="yellow"/>
          <w:lang w:eastAsia="x-none"/>
        </w:rPr>
        <w:t>_ ASFA research</w:t>
      </w:r>
      <w:r w:rsidR="009C2B6B" w:rsidRPr="000D0191">
        <w:rPr>
          <w:rFonts w:eastAsia="SimSun"/>
          <w:b/>
          <w:color w:val="auto"/>
          <w:szCs w:val="22"/>
          <w:highlight w:val="yellow"/>
          <w:lang w:eastAsia="x-none"/>
        </w:rPr>
        <w:t>]</w:t>
      </w:r>
    </w:p>
    <w:p w14:paraId="52A044E6" w14:textId="30688842" w:rsidR="00054E01" w:rsidRDefault="00054E01" w:rsidP="008C7CE9">
      <w:pPr>
        <w:jc w:val="left"/>
      </w:pPr>
    </w:p>
    <w:tbl>
      <w:tblPr>
        <w:tblStyle w:val="TableGrid"/>
        <w:tblW w:w="0" w:type="auto"/>
        <w:tblInd w:w="76" w:type="dxa"/>
        <w:tblLook w:val="04A0" w:firstRow="1" w:lastRow="0" w:firstColumn="1" w:lastColumn="0" w:noHBand="0" w:noVBand="1"/>
      </w:tblPr>
      <w:tblGrid>
        <w:gridCol w:w="2754"/>
        <w:gridCol w:w="6798"/>
      </w:tblGrid>
      <w:tr w:rsidR="009E7179" w:rsidRPr="001A22F0" w14:paraId="4B68D3FF" w14:textId="77777777" w:rsidTr="00C633C4">
        <w:tc>
          <w:tcPr>
            <w:tcW w:w="2754" w:type="dxa"/>
          </w:tcPr>
          <w:p w14:paraId="4ABCC7DB" w14:textId="625442A7" w:rsidR="009E7179" w:rsidRPr="00107637" w:rsidRDefault="009E7179" w:rsidP="00E164DA">
            <w:pPr>
              <w:pStyle w:val="Instructions"/>
            </w:pPr>
          </w:p>
        </w:tc>
        <w:tc>
          <w:tcPr>
            <w:tcW w:w="6798" w:type="dxa"/>
          </w:tcPr>
          <w:p w14:paraId="6F369786" w14:textId="77777777" w:rsidR="00E156B7" w:rsidRDefault="00E156B7" w:rsidP="00E156B7">
            <w:pPr>
              <w:jc w:val="left"/>
            </w:pPr>
            <w:r>
              <w:t xml:space="preserve">The Association of Superannuation Funds of Australia (ASFA) publish a “Retirement </w:t>
            </w:r>
            <w:commentRangeStart w:id="30"/>
            <w:r>
              <w:t>Standard</w:t>
            </w:r>
            <w:commentRangeEnd w:id="30"/>
            <w:r w:rsidR="00AF1E92">
              <w:rPr>
                <w:rStyle w:val="CommentReference"/>
                <w:color w:val="auto"/>
                <w:lang w:eastAsia="ja-JP"/>
              </w:rPr>
              <w:commentReference w:id="30"/>
            </w:r>
            <w:r>
              <w:t xml:space="preserve">”. </w:t>
            </w:r>
          </w:p>
          <w:p w14:paraId="1C5FD4D6" w14:textId="77777777" w:rsidR="00E156B7" w:rsidRDefault="00E156B7" w:rsidP="00E156B7">
            <w:pPr>
              <w:jc w:val="left"/>
            </w:pPr>
          </w:p>
          <w:p w14:paraId="2374D19D" w14:textId="77777777" w:rsidR="00E156B7" w:rsidRDefault="00E156B7" w:rsidP="00E156B7">
            <w:pPr>
              <w:jc w:val="left"/>
            </w:pPr>
            <w:r>
              <w:t>This Standard has been developed to objectively outline the annual budget needed by the average Australian to fund a comfortable standard of living in their post-work years. It provides benchmarks for both a comfortable and modest standard of living, for both singles and couples, and is updated quarterly to reflect changes to the Consumer Price Index (CPI).</w:t>
            </w:r>
          </w:p>
          <w:p w14:paraId="539A2C88" w14:textId="77777777" w:rsidR="00E156B7" w:rsidRDefault="00E156B7" w:rsidP="00E156B7">
            <w:pPr>
              <w:jc w:val="left"/>
            </w:pPr>
          </w:p>
          <w:tbl>
            <w:tblPr>
              <w:tblStyle w:val="TableGrid"/>
              <w:tblW w:w="0" w:type="auto"/>
              <w:tblInd w:w="421" w:type="dxa"/>
              <w:tblLook w:val="04A0" w:firstRow="1" w:lastRow="0" w:firstColumn="1" w:lastColumn="0" w:noHBand="0" w:noVBand="1"/>
            </w:tblPr>
            <w:tblGrid>
              <w:gridCol w:w="3262"/>
              <w:gridCol w:w="2889"/>
            </w:tblGrid>
            <w:tr w:rsidR="00E156B7" w14:paraId="790056BE" w14:textId="77777777" w:rsidTr="003A09CD">
              <w:tc>
                <w:tcPr>
                  <w:tcW w:w="4390" w:type="dxa"/>
                </w:tcPr>
                <w:p w14:paraId="5CAB3598" w14:textId="77777777" w:rsidR="00E156B7" w:rsidRPr="000D0191" w:rsidRDefault="00E156B7" w:rsidP="00E156B7">
                  <w:pPr>
                    <w:ind w:left="318" w:hanging="291"/>
                    <w:jc w:val="center"/>
                    <w:rPr>
                      <w:b/>
                    </w:rPr>
                  </w:pPr>
                  <w:r w:rsidRPr="000D0191">
                    <w:rPr>
                      <w:b/>
                    </w:rPr>
                    <w:t>Category</w:t>
                  </w:r>
                </w:p>
              </w:tc>
              <w:tc>
                <w:tcPr>
                  <w:tcW w:w="3685" w:type="dxa"/>
                </w:tcPr>
                <w:p w14:paraId="2F340068" w14:textId="13491789" w:rsidR="00E156B7" w:rsidRPr="000D0191" w:rsidRDefault="00DF5A97" w:rsidP="00E156B7">
                  <w:pPr>
                    <w:ind w:left="318" w:hanging="291"/>
                    <w:jc w:val="center"/>
                    <w:rPr>
                      <w:b/>
                    </w:rPr>
                  </w:pPr>
                  <w:r>
                    <w:rPr>
                      <w:b/>
                    </w:rPr>
                    <w:t>Income</w:t>
                  </w:r>
                  <w:r w:rsidR="00E156B7" w:rsidRPr="000D0191">
                    <w:rPr>
                      <w:b/>
                    </w:rPr>
                    <w:t xml:space="preserve"> Required at </w:t>
                  </w:r>
                  <w:r w:rsidR="007F7797" w:rsidRPr="000D0191">
                    <w:rPr>
                      <w:b/>
                    </w:rPr>
                    <w:t>Retirement [</w:t>
                  </w:r>
                  <w:r w:rsidR="00E156B7" w:rsidRPr="000D0191">
                    <w:rPr>
                      <w:b/>
                      <w:sz w:val="18"/>
                      <w:szCs w:val="18"/>
                      <w:vertAlign w:val="superscript"/>
                    </w:rPr>
                    <w:t>1]</w:t>
                  </w:r>
                </w:p>
              </w:tc>
            </w:tr>
            <w:tr w:rsidR="00E156B7" w14:paraId="377E5E21" w14:textId="77777777" w:rsidTr="003A09CD">
              <w:tc>
                <w:tcPr>
                  <w:tcW w:w="4390" w:type="dxa"/>
                </w:tcPr>
                <w:p w14:paraId="1D0CA35F" w14:textId="77777777" w:rsidR="00E156B7" w:rsidRDefault="00E156B7" w:rsidP="00E156B7">
                  <w:pPr>
                    <w:ind w:left="318" w:hanging="291"/>
                    <w:jc w:val="left"/>
                  </w:pPr>
                  <w:r>
                    <w:t>Comfortable lifestyle for a couple</w:t>
                  </w:r>
                </w:p>
              </w:tc>
              <w:tc>
                <w:tcPr>
                  <w:tcW w:w="3685" w:type="dxa"/>
                </w:tcPr>
                <w:p w14:paraId="08E4402B" w14:textId="761898F1" w:rsidR="00E156B7" w:rsidRDefault="00E156B7" w:rsidP="00E156B7">
                  <w:pPr>
                    <w:ind w:left="318" w:hanging="291"/>
                    <w:jc w:val="center"/>
                  </w:pPr>
                  <w:r>
                    <w:t>$</w:t>
                  </w:r>
                  <w:r w:rsidR="00DF5A97">
                    <w:t>62,435 per annum</w:t>
                  </w:r>
                </w:p>
              </w:tc>
            </w:tr>
            <w:tr w:rsidR="00E156B7" w14:paraId="77829A3A" w14:textId="77777777" w:rsidTr="003A09CD">
              <w:tc>
                <w:tcPr>
                  <w:tcW w:w="4390" w:type="dxa"/>
                </w:tcPr>
                <w:p w14:paraId="05EDEDC9" w14:textId="77777777" w:rsidR="00E156B7" w:rsidRDefault="00E156B7" w:rsidP="00E156B7">
                  <w:pPr>
                    <w:ind w:left="318" w:hanging="291"/>
                    <w:jc w:val="left"/>
                  </w:pPr>
                  <w:r>
                    <w:t>Comfortable lifestyle for a single person</w:t>
                  </w:r>
                </w:p>
              </w:tc>
              <w:tc>
                <w:tcPr>
                  <w:tcW w:w="3685" w:type="dxa"/>
                </w:tcPr>
                <w:p w14:paraId="13C7EAAD" w14:textId="28B03BE8" w:rsidR="00E156B7" w:rsidRDefault="00E156B7" w:rsidP="00E156B7">
                  <w:pPr>
                    <w:ind w:left="318" w:hanging="291"/>
                    <w:jc w:val="center"/>
                  </w:pPr>
                  <w:r>
                    <w:t>$</w:t>
                  </w:r>
                  <w:r w:rsidR="00DF5A97">
                    <w:t>44,183 per annum</w:t>
                  </w:r>
                </w:p>
              </w:tc>
            </w:tr>
          </w:tbl>
          <w:p w14:paraId="6863A9CA" w14:textId="77777777" w:rsidR="00E156B7" w:rsidRDefault="00E156B7" w:rsidP="00E156B7">
            <w:pPr>
              <w:jc w:val="left"/>
            </w:pPr>
          </w:p>
          <w:p w14:paraId="52759B00" w14:textId="1AB769E0" w:rsidR="00E156B7" w:rsidRDefault="00E156B7" w:rsidP="00DA260E">
            <w:pPr>
              <w:pStyle w:val="ListParagraph"/>
              <w:numPr>
                <w:ilvl w:val="0"/>
                <w:numId w:val="17"/>
              </w:numPr>
              <w:jc w:val="left"/>
              <w:rPr>
                <w:i/>
                <w:sz w:val="16"/>
                <w:szCs w:val="16"/>
              </w:rPr>
            </w:pPr>
            <w:r>
              <w:rPr>
                <w:i/>
                <w:sz w:val="16"/>
                <w:szCs w:val="16"/>
              </w:rPr>
              <w:t xml:space="preserve">Current at </w:t>
            </w:r>
            <w:r w:rsidR="00DF5A97">
              <w:rPr>
                <w:i/>
                <w:sz w:val="16"/>
                <w:szCs w:val="16"/>
              </w:rPr>
              <w:t>March 2020</w:t>
            </w:r>
          </w:p>
          <w:p w14:paraId="0DDC3165" w14:textId="77777777" w:rsidR="00E156B7" w:rsidRDefault="00E156B7" w:rsidP="00E156B7">
            <w:pPr>
              <w:jc w:val="left"/>
            </w:pPr>
          </w:p>
          <w:p w14:paraId="535F965B" w14:textId="77777777" w:rsidR="00E156B7" w:rsidRDefault="00E156B7" w:rsidP="00E156B7">
            <w:pPr>
              <w:jc w:val="left"/>
            </w:pPr>
            <w:r>
              <w:t xml:space="preserve">A ‘modest’ retirement lifestyle is considered better than the Age Pension, but still only able to afford fairly basic activities. </w:t>
            </w:r>
          </w:p>
          <w:p w14:paraId="1517F069" w14:textId="77777777" w:rsidR="00E156B7" w:rsidRDefault="00E156B7" w:rsidP="00E156B7">
            <w:pPr>
              <w:jc w:val="left"/>
            </w:pPr>
          </w:p>
          <w:p w14:paraId="526EAD55" w14:textId="2E4ACF4F" w:rsidR="00E156B7" w:rsidRDefault="00E156B7" w:rsidP="00E156B7">
            <w:pPr>
              <w:jc w:val="left"/>
            </w:pPr>
            <w:r>
              <w:t xml:space="preserve">A ‘comfortable’ retirement lifestyle enables an older, healthy retiree to be involved in a broad range of leisure and recreational activities and to have a good standard of living through the purchase of such things as; household goods, private health insurance, a reasonable car, good clothes, a range of electronic equipment, and domestic and occasionally international holiday travel. </w:t>
            </w:r>
          </w:p>
          <w:p w14:paraId="06FFE078" w14:textId="77777777" w:rsidR="00E156B7" w:rsidRDefault="00E156B7" w:rsidP="00E156B7">
            <w:pPr>
              <w:jc w:val="left"/>
            </w:pPr>
          </w:p>
          <w:p w14:paraId="1E096D7C" w14:textId="77777777" w:rsidR="00E156B7" w:rsidRDefault="00E156B7" w:rsidP="00E156B7">
            <w:pPr>
              <w:jc w:val="left"/>
            </w:pPr>
            <w:r>
              <w:t>It is assumed that retirees own their own home outright and are relatively healthy.</w:t>
            </w:r>
          </w:p>
          <w:p w14:paraId="474C0BAD" w14:textId="77777777" w:rsidR="009E7179" w:rsidRPr="001A22F0" w:rsidRDefault="009E7179" w:rsidP="003A09CD">
            <w:pPr>
              <w:jc w:val="left"/>
            </w:pPr>
          </w:p>
        </w:tc>
      </w:tr>
    </w:tbl>
    <w:p w14:paraId="4141ECA1" w14:textId="77777777" w:rsidR="009E7179" w:rsidRDefault="009E7179" w:rsidP="008C7CE9">
      <w:pPr>
        <w:jc w:val="left"/>
      </w:pPr>
    </w:p>
    <w:p w14:paraId="10D5003F" w14:textId="1CCF8986" w:rsidR="00723E3E" w:rsidRDefault="00E156B7" w:rsidP="008C7CE9">
      <w:pPr>
        <w:jc w:val="left"/>
        <w:rPr>
          <w:b/>
        </w:rPr>
      </w:pPr>
      <w:r w:rsidRPr="00E156B7">
        <w:rPr>
          <w:b/>
        </w:rPr>
        <w:t>Further Detail continued</w:t>
      </w:r>
    </w:p>
    <w:p w14:paraId="60DBA821" w14:textId="58E40003" w:rsidR="00636140" w:rsidRPr="00E156B7" w:rsidRDefault="00636140" w:rsidP="008C7CE9">
      <w:pPr>
        <w:jc w:val="left"/>
        <w:rPr>
          <w:b/>
        </w:rPr>
      </w:pPr>
      <w:r>
        <w:rPr>
          <w:noProof/>
        </w:rPr>
        <w:lastRenderedPageBreak/>
        <w:drawing>
          <wp:inline distT="0" distB="0" distL="0" distR="0" wp14:anchorId="3DE16881" wp14:editId="0B72E88B">
            <wp:extent cx="52959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3943350"/>
                    </a:xfrm>
                    <a:prstGeom prst="rect">
                      <a:avLst/>
                    </a:prstGeom>
                  </pic:spPr>
                </pic:pic>
              </a:graphicData>
            </a:graphic>
          </wp:inline>
        </w:drawing>
      </w:r>
    </w:p>
    <w:p w14:paraId="42D3D712" w14:textId="11CEB612" w:rsidR="009C2B6B" w:rsidRDefault="009C2B6B" w:rsidP="008C7CE9">
      <w:pPr>
        <w:jc w:val="left"/>
      </w:pPr>
    </w:p>
    <w:p w14:paraId="22C15D76" w14:textId="1A148170" w:rsidR="009C2B6B" w:rsidRDefault="009C2B6B" w:rsidP="008C7CE9">
      <w:pPr>
        <w:jc w:val="left"/>
      </w:pPr>
    </w:p>
    <w:p w14:paraId="1FB664B4" w14:textId="77777777" w:rsidR="009C2B6B" w:rsidRPr="005F763D" w:rsidRDefault="009C2B6B" w:rsidP="008C7CE9">
      <w:pPr>
        <w:jc w:val="left"/>
      </w:pPr>
    </w:p>
    <w:p w14:paraId="03BBD0CD" w14:textId="77777777" w:rsidR="003D7678" w:rsidRPr="005F763D" w:rsidRDefault="003D7678" w:rsidP="008C7CE9">
      <w:pPr>
        <w:jc w:val="left"/>
        <w:rPr>
          <w:color w:val="002060"/>
          <w:sz w:val="24"/>
        </w:rPr>
      </w:pPr>
      <w:r w:rsidRPr="005F763D">
        <w:rPr>
          <w:color w:val="002060"/>
          <w:sz w:val="24"/>
        </w:rPr>
        <w:t>Account-Based Pension</w:t>
      </w:r>
    </w:p>
    <w:p w14:paraId="5745F67A" w14:textId="05FE0B5E" w:rsidR="003D7678" w:rsidRDefault="003D767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472BD676" w14:textId="77777777" w:rsidTr="00C633C4">
        <w:tc>
          <w:tcPr>
            <w:tcW w:w="2754" w:type="dxa"/>
          </w:tcPr>
          <w:p w14:paraId="552907B5"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22197F0D" w14:textId="77777777" w:rsidR="00C633C4" w:rsidRPr="00E51BEA" w:rsidRDefault="00C633C4" w:rsidP="00D2574D">
            <w:pPr>
              <w:jc w:val="left"/>
              <w:rPr>
                <w:rFonts w:ascii="Calibri Light" w:hAnsi="Calibri Light"/>
              </w:rPr>
            </w:pPr>
          </w:p>
        </w:tc>
      </w:tr>
      <w:tr w:rsidR="00170F3C" w:rsidRPr="001A22F0" w14:paraId="75E90856" w14:textId="77777777" w:rsidTr="00C633C4">
        <w:tc>
          <w:tcPr>
            <w:tcW w:w="2754" w:type="dxa"/>
          </w:tcPr>
          <w:p w14:paraId="49870542" w14:textId="77777777" w:rsidR="00170F3C" w:rsidRPr="00EA0A06" w:rsidRDefault="00170F3C" w:rsidP="00E164DA">
            <w:pPr>
              <w:pStyle w:val="Instructions"/>
            </w:pPr>
            <w:r w:rsidRPr="00EA0A06">
              <w:t>Title</w:t>
            </w:r>
          </w:p>
        </w:tc>
        <w:tc>
          <w:tcPr>
            <w:tcW w:w="6798" w:type="dxa"/>
          </w:tcPr>
          <w:p w14:paraId="5BE18646" w14:textId="4B87FA75" w:rsidR="00170F3C" w:rsidRPr="001A22F0" w:rsidRDefault="001D3648" w:rsidP="003A09CD">
            <w:pPr>
              <w:jc w:val="left"/>
            </w:pPr>
            <w:r>
              <w:t>Account Based Pension</w:t>
            </w:r>
          </w:p>
        </w:tc>
      </w:tr>
      <w:tr w:rsidR="00170F3C" w:rsidRPr="001A22F0" w14:paraId="65D9470C" w14:textId="77777777" w:rsidTr="00C633C4">
        <w:tc>
          <w:tcPr>
            <w:tcW w:w="2754" w:type="dxa"/>
          </w:tcPr>
          <w:p w14:paraId="07F1D471" w14:textId="77777777" w:rsidR="00170F3C" w:rsidRPr="00EA0A06" w:rsidRDefault="00170F3C" w:rsidP="00E164DA">
            <w:pPr>
              <w:pStyle w:val="Instructions"/>
            </w:pPr>
            <w:r w:rsidRPr="00EA0A06">
              <w:t>Explanation</w:t>
            </w:r>
          </w:p>
        </w:tc>
        <w:tc>
          <w:tcPr>
            <w:tcW w:w="6798" w:type="dxa"/>
          </w:tcPr>
          <w:p w14:paraId="4AF2F622" w14:textId="5618FEEA" w:rsidR="00170F3C" w:rsidRPr="001A22F0" w:rsidRDefault="00AA1622" w:rsidP="003A09CD">
            <w:pPr>
              <w:jc w:val="left"/>
            </w:pPr>
            <w:r w:rsidRPr="005F763D">
              <w:t xml:space="preserve">We recommend you draw the </w:t>
            </w:r>
            <w:r w:rsidRPr="000D0191">
              <w:rPr>
                <w:color w:val="7030A0"/>
                <w:highlight w:val="yellow"/>
              </w:rPr>
              <w:t>[minimum]</w:t>
            </w:r>
            <w:r w:rsidRPr="000D0191">
              <w:rPr>
                <w:color w:val="7030A0"/>
              </w:rPr>
              <w:t xml:space="preserve"> </w:t>
            </w:r>
            <w:r w:rsidRPr="005F763D">
              <w:t>pension payment of $</w:t>
            </w:r>
            <w:r w:rsidRPr="005F763D">
              <w:rPr>
                <w:color w:val="FF0000"/>
              </w:rPr>
              <w:t>[__</w:t>
            </w:r>
            <w:proofErr w:type="gramStart"/>
            <w:r w:rsidRPr="005F763D">
              <w:rPr>
                <w:color w:val="FF0000"/>
              </w:rPr>
              <w:t>_,_</w:t>
            </w:r>
            <w:proofErr w:type="gramEnd"/>
            <w:r w:rsidRPr="005F763D">
              <w:rPr>
                <w:color w:val="FF0000"/>
              </w:rPr>
              <w:t>__]</w:t>
            </w:r>
            <w:r w:rsidRPr="005F763D">
              <w:t xml:space="preserve"> from your Account Based Pension.</w:t>
            </w:r>
          </w:p>
        </w:tc>
      </w:tr>
      <w:tr w:rsidR="00170F3C" w:rsidRPr="001A22F0" w14:paraId="30070B9A" w14:textId="77777777" w:rsidTr="00C633C4">
        <w:tc>
          <w:tcPr>
            <w:tcW w:w="2754" w:type="dxa"/>
          </w:tcPr>
          <w:p w14:paraId="5B878940" w14:textId="77777777" w:rsidR="00170F3C" w:rsidRPr="00EA0A06" w:rsidRDefault="00170F3C" w:rsidP="00E164DA">
            <w:pPr>
              <w:pStyle w:val="Instructions"/>
            </w:pPr>
            <w:r w:rsidRPr="00EA0A06">
              <w:t>In your Best Interest</w:t>
            </w:r>
          </w:p>
        </w:tc>
        <w:tc>
          <w:tcPr>
            <w:tcW w:w="6798" w:type="dxa"/>
          </w:tcPr>
          <w:p w14:paraId="43FBDAD6" w14:textId="77777777" w:rsidR="00170F3C" w:rsidRPr="001A22F0" w:rsidRDefault="00170F3C" w:rsidP="003A09CD">
            <w:pPr>
              <w:jc w:val="left"/>
            </w:pPr>
          </w:p>
        </w:tc>
      </w:tr>
      <w:tr w:rsidR="00170F3C" w:rsidRPr="001A22F0" w14:paraId="65D82CBC" w14:textId="77777777" w:rsidTr="00C633C4">
        <w:tc>
          <w:tcPr>
            <w:tcW w:w="2754" w:type="dxa"/>
          </w:tcPr>
          <w:p w14:paraId="1954CDD7" w14:textId="77777777" w:rsidR="00170F3C" w:rsidRPr="00EA0A06" w:rsidRDefault="00170F3C" w:rsidP="00E164DA">
            <w:pPr>
              <w:pStyle w:val="Instructions"/>
            </w:pPr>
            <w:r w:rsidRPr="00EA0A06">
              <w:t>Further Detail</w:t>
            </w:r>
          </w:p>
        </w:tc>
        <w:tc>
          <w:tcPr>
            <w:tcW w:w="6798" w:type="dxa"/>
          </w:tcPr>
          <w:p w14:paraId="32937B2B" w14:textId="7E986F8E" w:rsidR="001D3648" w:rsidRDefault="001D3648" w:rsidP="001D3648">
            <w:pPr>
              <w:jc w:val="left"/>
            </w:pPr>
            <w:r w:rsidRPr="005F763D">
              <w:t xml:space="preserve">This will be more than sufficient to achieve your retirement income objectives and will maximise the level of capital you have invested in the </w:t>
            </w:r>
            <w:r w:rsidR="003825E3" w:rsidRPr="005F763D">
              <w:t>tax-free</w:t>
            </w:r>
            <w:r w:rsidRPr="005F763D">
              <w:t xml:space="preserve"> pension environment.</w:t>
            </w:r>
          </w:p>
          <w:p w14:paraId="6590E063" w14:textId="77777777" w:rsidR="001D3648" w:rsidRPr="005F763D" w:rsidRDefault="001D3648" w:rsidP="001D3648">
            <w:pPr>
              <w:jc w:val="left"/>
            </w:pPr>
          </w:p>
          <w:p w14:paraId="56FBD027" w14:textId="71F651D5" w:rsidR="001D3648" w:rsidRPr="005F763D" w:rsidRDefault="001D3648" w:rsidP="001D3648">
            <w:pPr>
              <w:jc w:val="left"/>
            </w:pPr>
            <w:r w:rsidRPr="005F763D">
              <w:t xml:space="preserve">The </w:t>
            </w:r>
            <w:r>
              <w:t xml:space="preserve">typical </w:t>
            </w:r>
            <w:r w:rsidRPr="005F763D">
              <w:t>benefits of commencing an Account Based Pension are:</w:t>
            </w:r>
          </w:p>
          <w:p w14:paraId="156D5B43" w14:textId="77777777" w:rsidR="001D3648" w:rsidRPr="005F763D" w:rsidRDefault="001D3648">
            <w:pPr>
              <w:pStyle w:val="InterPracBullet"/>
              <w:numPr>
                <w:ilvl w:val="0"/>
                <w:numId w:val="97"/>
              </w:numPr>
            </w:pPr>
            <w:r w:rsidRPr="005F763D">
              <w:t>You receive a regular income stream to assist in meeting your retirement income needs.</w:t>
            </w:r>
          </w:p>
          <w:p w14:paraId="1F52CCD1" w14:textId="77777777" w:rsidR="001D3648" w:rsidRPr="005F763D" w:rsidRDefault="001D3648">
            <w:pPr>
              <w:pStyle w:val="InterPracBullet"/>
              <w:numPr>
                <w:ilvl w:val="0"/>
                <w:numId w:val="97"/>
              </w:numPr>
            </w:pPr>
            <w:r w:rsidRPr="005F763D">
              <w:t>Prior to age 60, you receive tax concessions on your Account Based Pension income via a tax deductible amount and a 15% tax offset.  Once you reach 60 years of age your pension payments will be tax free.</w:t>
            </w:r>
          </w:p>
          <w:p w14:paraId="46883F99" w14:textId="77777777" w:rsidR="001D3648" w:rsidRPr="005F763D" w:rsidRDefault="001D3648">
            <w:pPr>
              <w:pStyle w:val="InterPracBullet"/>
              <w:numPr>
                <w:ilvl w:val="0"/>
                <w:numId w:val="97"/>
              </w:numPr>
            </w:pPr>
            <w:r w:rsidRPr="005F763D">
              <w:t>You can choose the frequency of your pension payments (e.g. monthly, quarterly, half yearly or annually) and payments can be credited to your nominated bank account or paid to you by cheque.</w:t>
            </w:r>
          </w:p>
          <w:p w14:paraId="73FCA9F8" w14:textId="77777777" w:rsidR="001D3648" w:rsidRPr="005F763D" w:rsidRDefault="001D3648">
            <w:pPr>
              <w:pStyle w:val="InterPracBullet"/>
              <w:numPr>
                <w:ilvl w:val="0"/>
                <w:numId w:val="97"/>
              </w:numPr>
            </w:pPr>
            <w:r w:rsidRPr="005F763D">
              <w:t>Your Account Based Pension fund pays no tax on income or capital gains generated within the fund.</w:t>
            </w:r>
          </w:p>
          <w:p w14:paraId="3F1183AF" w14:textId="77777777" w:rsidR="001D3648" w:rsidRPr="005F763D" w:rsidRDefault="001D3648">
            <w:pPr>
              <w:pStyle w:val="InterPracBullet"/>
              <w:numPr>
                <w:ilvl w:val="0"/>
                <w:numId w:val="97"/>
              </w:numPr>
            </w:pPr>
            <w:r w:rsidRPr="005F763D">
              <w:t>Upon rollover of your superannuation benefits to an Account Based Pension, there is generally no lump sum tax payable.</w:t>
            </w:r>
          </w:p>
          <w:p w14:paraId="1DF59C54" w14:textId="77777777" w:rsidR="001D3648" w:rsidRPr="005F763D" w:rsidRDefault="001D3648">
            <w:pPr>
              <w:pStyle w:val="InterPracBullet"/>
              <w:numPr>
                <w:ilvl w:val="0"/>
                <w:numId w:val="97"/>
              </w:numPr>
            </w:pPr>
            <w:r w:rsidRPr="005F763D">
              <w:lastRenderedPageBreak/>
              <w:t xml:space="preserve">Your Account Based Pension portfolio will be invested in accordance with your </w:t>
            </w:r>
            <w:r w:rsidRPr="005F763D">
              <w:rPr>
                <w:color w:val="FF0000"/>
              </w:rPr>
              <w:t>[</w:t>
            </w:r>
            <w:r>
              <w:rPr>
                <w:color w:val="FF0000"/>
                <w:lang w:val="en-AU"/>
              </w:rPr>
              <w:t>Risk Profile</w:t>
            </w:r>
            <w:r w:rsidRPr="005F763D">
              <w:rPr>
                <w:color w:val="FF0000"/>
              </w:rPr>
              <w:t>]</w:t>
            </w:r>
            <w:r w:rsidRPr="005F763D">
              <w:t xml:space="preserve"> risk profile. This would not be possible through Non-account based retirement income streams such as Annuities.</w:t>
            </w:r>
          </w:p>
          <w:p w14:paraId="727B0E7D" w14:textId="77777777" w:rsidR="001D3648" w:rsidRPr="005F763D" w:rsidRDefault="001D3648">
            <w:pPr>
              <w:pStyle w:val="InterPracBullet"/>
              <w:numPr>
                <w:ilvl w:val="0"/>
                <w:numId w:val="97"/>
              </w:numPr>
            </w:pPr>
            <w:r w:rsidRPr="005F763D">
              <w:t>You have the option of nominating a reversionary beneficiary (usually a spouse) who will receive the pension in the event of death.</w:t>
            </w:r>
          </w:p>
          <w:p w14:paraId="20E0EA25" w14:textId="77777777" w:rsidR="00170F3C" w:rsidRDefault="00170F3C" w:rsidP="003A09CD">
            <w:pPr>
              <w:jc w:val="left"/>
            </w:pPr>
          </w:p>
          <w:p w14:paraId="2405D01F" w14:textId="77777777" w:rsidR="007009D0" w:rsidRPr="005F763D" w:rsidRDefault="007009D0" w:rsidP="007009D0">
            <w:pPr>
              <w:jc w:val="left"/>
            </w:pPr>
            <w:r w:rsidRPr="005F763D">
              <w:t>The risks associated with this recommendation are:</w:t>
            </w:r>
          </w:p>
          <w:p w14:paraId="0E0E05BD" w14:textId="77777777" w:rsidR="007009D0" w:rsidRPr="005F763D" w:rsidRDefault="007009D0">
            <w:pPr>
              <w:pStyle w:val="InterPracBullet"/>
              <w:numPr>
                <w:ilvl w:val="0"/>
                <w:numId w:val="97"/>
              </w:numPr>
            </w:pPr>
            <w:r w:rsidRPr="005F763D">
              <w:t>There is no guarantee you will receive income from your Account Based Pension for your lifetime.</w:t>
            </w:r>
          </w:p>
          <w:p w14:paraId="4AFEDA48" w14:textId="77777777" w:rsidR="007009D0" w:rsidRPr="005F763D" w:rsidRDefault="007009D0">
            <w:pPr>
              <w:pStyle w:val="InterPracBullet"/>
              <w:numPr>
                <w:ilvl w:val="0"/>
                <w:numId w:val="97"/>
              </w:numPr>
            </w:pPr>
            <w:r w:rsidRPr="005F763D">
              <w:t>The account balance of your Account Based Pension may reduce to a level which is insufficient to meet your income needs later in life, depending upon the performance of the underlying investments and the level of income and capital you draw over time.</w:t>
            </w:r>
          </w:p>
          <w:p w14:paraId="2D8E971C" w14:textId="77777777" w:rsidR="00DA260E" w:rsidRDefault="00DA260E" w:rsidP="007009D0">
            <w:pPr>
              <w:tabs>
                <w:tab w:val="left" w:pos="851"/>
              </w:tabs>
              <w:spacing w:before="100"/>
              <w:ind w:left="65"/>
            </w:pPr>
          </w:p>
          <w:p w14:paraId="2E08E5F5" w14:textId="52AB0104" w:rsidR="007009D0" w:rsidRPr="000D0191" w:rsidRDefault="00D52C9F" w:rsidP="007009D0">
            <w:pPr>
              <w:tabs>
                <w:tab w:val="left" w:pos="851"/>
              </w:tabs>
              <w:spacing w:before="100"/>
              <w:ind w:left="65"/>
            </w:pPr>
            <w:r>
              <w:t>L</w:t>
            </w:r>
            <w:r w:rsidR="007009D0" w:rsidRPr="000D0191">
              <w:t xml:space="preserve">ump sums </w:t>
            </w:r>
            <w:r w:rsidR="007009D0">
              <w:t>withdrawals</w:t>
            </w:r>
            <w:r w:rsidR="007009D0" w:rsidRPr="000D0191">
              <w:t xml:space="preserve"> </w:t>
            </w:r>
            <w:r>
              <w:t xml:space="preserve">do not </w:t>
            </w:r>
            <w:r w:rsidR="007009D0" w:rsidRPr="000D0191">
              <w:t xml:space="preserve">towards </w:t>
            </w:r>
            <w:r w:rsidR="007009D0">
              <w:t xml:space="preserve">meeting </w:t>
            </w:r>
            <w:r w:rsidR="007009D0" w:rsidRPr="000D0191">
              <w:t>minimum pension requirements.</w:t>
            </w:r>
          </w:p>
          <w:p w14:paraId="7CBC7B6E" w14:textId="4A8D1163" w:rsidR="001D3648" w:rsidRPr="001A22F0" w:rsidRDefault="001D3648" w:rsidP="003A09CD">
            <w:pPr>
              <w:jc w:val="left"/>
            </w:pPr>
          </w:p>
        </w:tc>
      </w:tr>
    </w:tbl>
    <w:p w14:paraId="59C0F70A" w14:textId="77777777" w:rsidR="00170F3C" w:rsidRPr="005F763D" w:rsidRDefault="00170F3C" w:rsidP="008C7CE9">
      <w:pPr>
        <w:jc w:val="left"/>
      </w:pPr>
    </w:p>
    <w:p w14:paraId="4E0293A6" w14:textId="77777777" w:rsidR="003D7678" w:rsidRPr="005F763D" w:rsidRDefault="003D7678" w:rsidP="008C7CE9">
      <w:pPr>
        <w:jc w:val="left"/>
      </w:pPr>
    </w:p>
    <w:p w14:paraId="77A5B641" w14:textId="4CE7F345" w:rsidR="003D7678" w:rsidRPr="00034A0A" w:rsidRDefault="00034A0A" w:rsidP="008C7CE9">
      <w:pPr>
        <w:jc w:val="left"/>
        <w:rPr>
          <w:b/>
        </w:rPr>
      </w:pPr>
      <w:r w:rsidRPr="00034A0A">
        <w:rPr>
          <w:b/>
        </w:rPr>
        <w:t xml:space="preserve">Further </w:t>
      </w:r>
      <w:r w:rsidR="003825E3" w:rsidRPr="00034A0A">
        <w:rPr>
          <w:b/>
        </w:rPr>
        <w:t xml:space="preserve">Detail </w:t>
      </w:r>
      <w:proofErr w:type="gramStart"/>
      <w:r w:rsidR="003825E3" w:rsidRPr="00034A0A">
        <w:rPr>
          <w:b/>
        </w:rPr>
        <w:t>continued</w:t>
      </w:r>
      <w:r w:rsidRPr="00034A0A">
        <w:rPr>
          <w:color w:val="002060"/>
          <w:sz w:val="24"/>
        </w:rPr>
        <w:t xml:space="preserve"> </w:t>
      </w:r>
      <w:r w:rsidR="00B31D59">
        <w:rPr>
          <w:color w:val="002060"/>
          <w:sz w:val="24"/>
        </w:rPr>
        <w:t xml:space="preserve"> </w:t>
      </w:r>
      <w:r w:rsidRPr="005B0E48">
        <w:rPr>
          <w:color w:val="002060"/>
          <w:sz w:val="24"/>
        </w:rPr>
        <w:t>Account</w:t>
      </w:r>
      <w:proofErr w:type="gramEnd"/>
      <w:r w:rsidRPr="005B0E48">
        <w:rPr>
          <w:color w:val="002060"/>
          <w:sz w:val="24"/>
        </w:rPr>
        <w:t xml:space="preserve"> Based Pension</w:t>
      </w:r>
      <w:r>
        <w:rPr>
          <w:color w:val="002060"/>
          <w:sz w:val="24"/>
        </w:rPr>
        <w:t xml:space="preserve">_ </w:t>
      </w:r>
      <w:r w:rsidR="00276E6F">
        <w:rPr>
          <w:color w:val="002060"/>
          <w:sz w:val="24"/>
        </w:rPr>
        <w:t xml:space="preserve">Optional </w:t>
      </w:r>
      <w:r>
        <w:rPr>
          <w:color w:val="002060"/>
          <w:sz w:val="24"/>
        </w:rPr>
        <w:t xml:space="preserve">Further Information  </w:t>
      </w:r>
    </w:p>
    <w:p w14:paraId="7E6FD5DD" w14:textId="77777777" w:rsidR="00034A0A" w:rsidRDefault="00034A0A" w:rsidP="006F5DAC"/>
    <w:p w14:paraId="6AADFD72" w14:textId="796C8A1C" w:rsidR="006F5DAC" w:rsidRPr="00E21988" w:rsidRDefault="006F5DAC" w:rsidP="006F5DAC">
      <w:r w:rsidRPr="00E21988">
        <w:t>An Account Based Pension is purchased with superannuation monies and is designed to provide you with a regular, flexible, tax effective income stream in retirement. Account Based Pension balances increase with positive investment returns and decrease with pension payments, negative investment returns and fees.</w:t>
      </w:r>
    </w:p>
    <w:p w14:paraId="2FE0DDA6" w14:textId="77777777" w:rsidR="006F5DAC" w:rsidRPr="00E21988" w:rsidRDefault="006F5DAC" w:rsidP="006F5DAC"/>
    <w:p w14:paraId="60A3FDF9" w14:textId="77777777" w:rsidR="006F5DAC" w:rsidRPr="00E21988" w:rsidRDefault="006F5DAC" w:rsidP="006F5DAC">
      <w:r w:rsidRPr="00E21988">
        <w:t>Earnings from the underlying portfolio of your Account Based Pension are tax free, making Account Based Pensions a very tax effective retirement structure.</w:t>
      </w:r>
      <w:r>
        <w:t xml:space="preserve"> </w:t>
      </w:r>
    </w:p>
    <w:p w14:paraId="0E531D0A" w14:textId="77777777" w:rsidR="006F5DAC" w:rsidRDefault="006F5DAC" w:rsidP="006F5DAC"/>
    <w:p w14:paraId="258DCB79" w14:textId="577BB7F2" w:rsidR="006F5DAC" w:rsidRDefault="003B3E5C" w:rsidP="006F5DAC">
      <w:pPr>
        <w:spacing w:after="120"/>
      </w:pPr>
      <w:r>
        <w:t>L</w:t>
      </w:r>
      <w:r w:rsidR="006F5DAC">
        <w:t xml:space="preserve">ump sum withdrawals from an Account Based Pension </w:t>
      </w:r>
      <w:r>
        <w:t>are not</w:t>
      </w:r>
      <w:r w:rsidR="006F5DAC">
        <w:t xml:space="preserve"> classed as a payment meeting the minimum pension standards.</w:t>
      </w:r>
    </w:p>
    <w:p w14:paraId="4BC39555" w14:textId="174D064A" w:rsidR="006F5DAC" w:rsidRPr="00E21988" w:rsidRDefault="006F5DAC">
      <w:pPr>
        <w:pStyle w:val="Normal5ptAfter"/>
      </w:pPr>
      <w:r w:rsidRPr="00E21988">
        <w:t xml:space="preserve">The income received from your Account Based Pension is referred to as a pension payment. </w:t>
      </w:r>
      <w:r w:rsidR="003B3E5C">
        <w:t>M</w:t>
      </w:r>
      <w:r w:rsidRPr="00E21988">
        <w:t xml:space="preserve">inimum annual pension payments </w:t>
      </w:r>
      <w:commentRangeStart w:id="31"/>
      <w:r w:rsidR="003B3E5C">
        <w:t>are</w:t>
      </w:r>
      <w:commentRangeEnd w:id="31"/>
      <w:r w:rsidR="0017075F">
        <w:rPr>
          <w:rStyle w:val="CommentReference"/>
          <w:rFonts w:cs="Times New Roman"/>
          <w:color w:val="auto"/>
          <w:lang w:eastAsia="ja-JP"/>
        </w:rPr>
        <w:commentReference w:id="31"/>
      </w:r>
      <w:r w:rsidRPr="00E21988">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6F5DAC" w14:paraId="512AB8F0" w14:textId="77777777" w:rsidTr="00DA5EE2">
        <w:tc>
          <w:tcPr>
            <w:tcW w:w="1500" w:type="pct"/>
            <w:shd w:val="clear" w:color="auto" w:fill="BFBFBF"/>
            <w:vAlign w:val="center"/>
          </w:tcPr>
          <w:p w14:paraId="2944B672" w14:textId="77777777" w:rsidR="006F5DAC" w:rsidRPr="00D75568" w:rsidRDefault="006F5DAC" w:rsidP="00DA5EE2">
            <w:pPr>
              <w:pStyle w:val="TableHeader2-Centre"/>
            </w:pPr>
            <w:r w:rsidRPr="00D75568">
              <w:t>Age</w:t>
            </w:r>
          </w:p>
        </w:tc>
        <w:tc>
          <w:tcPr>
            <w:tcW w:w="1750" w:type="pct"/>
            <w:shd w:val="clear" w:color="auto" w:fill="BFBFBF"/>
            <w:vAlign w:val="center"/>
          </w:tcPr>
          <w:p w14:paraId="4C1801B7" w14:textId="3358CE5C" w:rsidR="006F5DAC" w:rsidRPr="00676179" w:rsidRDefault="006F5DAC" w:rsidP="00DA5EE2">
            <w:pPr>
              <w:pStyle w:val="TableHeader2-Centre"/>
            </w:pPr>
            <w:r w:rsidRPr="00676179">
              <w:t xml:space="preserve">Minimum Pension </w:t>
            </w:r>
            <w:r w:rsidR="00A35012" w:rsidRPr="00676179">
              <w:t>Payment</w:t>
            </w:r>
            <w:r w:rsidR="00A35012" w:rsidRPr="006E395C">
              <w:rPr>
                <w:vertAlign w:val="superscript"/>
              </w:rPr>
              <w:t xml:space="preserve"> [</w:t>
            </w:r>
            <w:r w:rsidRPr="006E395C">
              <w:rPr>
                <w:vertAlign w:val="superscript"/>
              </w:rPr>
              <w:t>1]</w:t>
            </w:r>
          </w:p>
          <w:p w14:paraId="50069C33" w14:textId="77777777" w:rsidR="006F5DAC" w:rsidRPr="00676179" w:rsidRDefault="006F5DAC" w:rsidP="00DA5EE2">
            <w:pPr>
              <w:pStyle w:val="TableHeader2-Centre"/>
            </w:pPr>
            <w:r w:rsidRPr="00676179">
              <w:t>(% of Account Balance)</w:t>
            </w:r>
          </w:p>
        </w:tc>
        <w:tc>
          <w:tcPr>
            <w:tcW w:w="1750" w:type="pct"/>
            <w:shd w:val="clear" w:color="auto" w:fill="BFBFBF"/>
            <w:vAlign w:val="center"/>
          </w:tcPr>
          <w:p w14:paraId="28A33EC0" w14:textId="77777777" w:rsidR="006F5DAC" w:rsidRPr="00676179" w:rsidRDefault="006F5DAC" w:rsidP="00DA5EE2">
            <w:pPr>
              <w:pStyle w:val="TableHeader2-Centre"/>
            </w:pPr>
            <w:r w:rsidRPr="00676179">
              <w:t>Maximum Pension Payment</w:t>
            </w:r>
          </w:p>
          <w:p w14:paraId="19AB06A5" w14:textId="77777777" w:rsidR="006F5DAC" w:rsidRPr="00676179" w:rsidRDefault="006F5DAC" w:rsidP="00DA5EE2">
            <w:pPr>
              <w:pStyle w:val="TableHeader2-Centre"/>
            </w:pPr>
            <w:r w:rsidRPr="00676179">
              <w:t>(% of Account Balance)</w:t>
            </w:r>
          </w:p>
        </w:tc>
      </w:tr>
      <w:tr w:rsidR="006F5DAC" w14:paraId="2B1632C1" w14:textId="77777777" w:rsidTr="00DA5EE2">
        <w:tc>
          <w:tcPr>
            <w:tcW w:w="1500" w:type="pct"/>
            <w:shd w:val="clear" w:color="auto" w:fill="D9D9D9"/>
            <w:vAlign w:val="center"/>
          </w:tcPr>
          <w:p w14:paraId="6F05B696" w14:textId="77777777" w:rsidR="006F5DAC" w:rsidRPr="00513EFE" w:rsidRDefault="006F5DAC" w:rsidP="00DA5EE2">
            <w:pPr>
              <w:pStyle w:val="TableText-CentreBold"/>
            </w:pPr>
            <w:r w:rsidRPr="00513EFE">
              <w:t>Under 65</w:t>
            </w:r>
          </w:p>
        </w:tc>
        <w:tc>
          <w:tcPr>
            <w:tcW w:w="1750" w:type="pct"/>
            <w:shd w:val="clear" w:color="auto" w:fill="auto"/>
            <w:vAlign w:val="center"/>
          </w:tcPr>
          <w:p w14:paraId="493A8BCE" w14:textId="31BFB9B8" w:rsidR="006F5DAC" w:rsidRPr="00513EFE" w:rsidRDefault="0017075F" w:rsidP="00DA5EE2">
            <w:pPr>
              <w:pStyle w:val="TableText-Centre"/>
            </w:pPr>
            <w:r>
              <w:t>2</w:t>
            </w:r>
            <w:r w:rsidR="006F5DAC" w:rsidRPr="00513EFE">
              <w:t>%</w:t>
            </w:r>
          </w:p>
        </w:tc>
        <w:tc>
          <w:tcPr>
            <w:tcW w:w="1750" w:type="pct"/>
            <w:vMerge w:val="restart"/>
            <w:shd w:val="clear" w:color="auto" w:fill="auto"/>
            <w:vAlign w:val="center"/>
          </w:tcPr>
          <w:p w14:paraId="66124CA7" w14:textId="77777777" w:rsidR="006F5DAC" w:rsidRPr="00513EFE" w:rsidRDefault="006F5DAC" w:rsidP="00DA5EE2">
            <w:pPr>
              <w:pStyle w:val="Table3-Centre"/>
            </w:pPr>
            <w:r w:rsidRPr="00513EFE">
              <w:t xml:space="preserve">Standard </w:t>
            </w:r>
            <w:r>
              <w:t>Account-Based Pensions</w:t>
            </w:r>
            <w:r w:rsidRPr="00513EFE">
              <w:t>: No Maximum Pension Payment</w:t>
            </w:r>
          </w:p>
          <w:p w14:paraId="6713954E" w14:textId="77777777" w:rsidR="006F5DAC" w:rsidRPr="00513EFE" w:rsidRDefault="006F5DAC" w:rsidP="00DA5EE2">
            <w:pPr>
              <w:pStyle w:val="Table3-Centre"/>
            </w:pPr>
          </w:p>
          <w:p w14:paraId="7553CE17" w14:textId="77777777" w:rsidR="006F5DAC" w:rsidRPr="00513EFE" w:rsidRDefault="006F5DAC" w:rsidP="00DA5EE2">
            <w:pPr>
              <w:pStyle w:val="Table3-Centre"/>
            </w:pPr>
            <w:r w:rsidRPr="00513EFE">
              <w:t xml:space="preserve">Transition to Retirement </w:t>
            </w:r>
            <w:r>
              <w:t>Account-Based Pensions</w:t>
            </w:r>
            <w:r w:rsidRPr="00513EFE">
              <w:t>: 10% Maximum Pension Payment</w:t>
            </w:r>
          </w:p>
        </w:tc>
      </w:tr>
      <w:tr w:rsidR="006F5DAC" w14:paraId="7D424410" w14:textId="77777777" w:rsidTr="00DA5EE2">
        <w:tc>
          <w:tcPr>
            <w:tcW w:w="1500" w:type="pct"/>
            <w:shd w:val="clear" w:color="auto" w:fill="D9D9D9"/>
            <w:vAlign w:val="center"/>
          </w:tcPr>
          <w:p w14:paraId="0DA5ED42" w14:textId="77777777" w:rsidR="006F5DAC" w:rsidRPr="00513EFE" w:rsidRDefault="006F5DAC" w:rsidP="00DA5EE2">
            <w:pPr>
              <w:pStyle w:val="TableText-CentreBold"/>
            </w:pPr>
            <w:r w:rsidRPr="00513EFE">
              <w:t>65 - 74</w:t>
            </w:r>
          </w:p>
        </w:tc>
        <w:tc>
          <w:tcPr>
            <w:tcW w:w="1750" w:type="pct"/>
            <w:shd w:val="clear" w:color="auto" w:fill="auto"/>
            <w:vAlign w:val="center"/>
          </w:tcPr>
          <w:p w14:paraId="318BB9F8" w14:textId="2344A701" w:rsidR="006F5DAC" w:rsidRPr="00513EFE" w:rsidRDefault="0017075F" w:rsidP="00DA5EE2">
            <w:pPr>
              <w:pStyle w:val="TableText-Centre"/>
            </w:pPr>
            <w:r>
              <w:t>2.5</w:t>
            </w:r>
            <w:r w:rsidR="006F5DAC" w:rsidRPr="00513EFE">
              <w:t>%</w:t>
            </w:r>
          </w:p>
        </w:tc>
        <w:tc>
          <w:tcPr>
            <w:tcW w:w="1750" w:type="pct"/>
            <w:vMerge/>
            <w:shd w:val="clear" w:color="auto" w:fill="auto"/>
            <w:vAlign w:val="center"/>
          </w:tcPr>
          <w:p w14:paraId="586A3363" w14:textId="77777777" w:rsidR="006F5DAC" w:rsidRPr="006E138A" w:rsidRDefault="006F5DAC" w:rsidP="00DA5EE2"/>
        </w:tc>
      </w:tr>
      <w:tr w:rsidR="006F5DAC" w14:paraId="1BAE20F4" w14:textId="77777777" w:rsidTr="00DA5EE2">
        <w:tc>
          <w:tcPr>
            <w:tcW w:w="1500" w:type="pct"/>
            <w:shd w:val="clear" w:color="auto" w:fill="D9D9D9"/>
            <w:vAlign w:val="center"/>
          </w:tcPr>
          <w:p w14:paraId="723A179D" w14:textId="77777777" w:rsidR="006F5DAC" w:rsidRPr="00513EFE" w:rsidRDefault="006F5DAC" w:rsidP="00DA5EE2">
            <w:pPr>
              <w:pStyle w:val="TableText-CentreBold"/>
            </w:pPr>
            <w:r w:rsidRPr="00513EFE">
              <w:t>75 - 79</w:t>
            </w:r>
          </w:p>
        </w:tc>
        <w:tc>
          <w:tcPr>
            <w:tcW w:w="1750" w:type="pct"/>
            <w:shd w:val="clear" w:color="auto" w:fill="auto"/>
            <w:vAlign w:val="center"/>
          </w:tcPr>
          <w:p w14:paraId="39A8E157" w14:textId="1BC79F11" w:rsidR="006F5DAC" w:rsidRPr="00513EFE" w:rsidRDefault="0017075F" w:rsidP="00DA5EE2">
            <w:pPr>
              <w:pStyle w:val="TableText-Centre"/>
            </w:pPr>
            <w:r>
              <w:t>3</w:t>
            </w:r>
            <w:r w:rsidR="006F5DAC" w:rsidRPr="00513EFE">
              <w:t>%</w:t>
            </w:r>
          </w:p>
        </w:tc>
        <w:tc>
          <w:tcPr>
            <w:tcW w:w="1750" w:type="pct"/>
            <w:vMerge/>
            <w:shd w:val="clear" w:color="auto" w:fill="auto"/>
            <w:vAlign w:val="center"/>
          </w:tcPr>
          <w:p w14:paraId="1ED99176" w14:textId="77777777" w:rsidR="006F5DAC" w:rsidRPr="006E138A" w:rsidRDefault="006F5DAC" w:rsidP="00DA5EE2"/>
        </w:tc>
      </w:tr>
      <w:tr w:rsidR="006F5DAC" w14:paraId="2E410843" w14:textId="77777777" w:rsidTr="00DA5EE2">
        <w:tc>
          <w:tcPr>
            <w:tcW w:w="1500" w:type="pct"/>
            <w:shd w:val="clear" w:color="auto" w:fill="D9D9D9"/>
            <w:vAlign w:val="center"/>
          </w:tcPr>
          <w:p w14:paraId="0232F641" w14:textId="77777777" w:rsidR="006F5DAC" w:rsidRPr="00513EFE" w:rsidRDefault="006F5DAC" w:rsidP="00DA5EE2">
            <w:pPr>
              <w:pStyle w:val="TableText-CentreBold"/>
            </w:pPr>
            <w:r w:rsidRPr="00513EFE">
              <w:t>80 -84</w:t>
            </w:r>
          </w:p>
        </w:tc>
        <w:tc>
          <w:tcPr>
            <w:tcW w:w="1750" w:type="pct"/>
            <w:shd w:val="clear" w:color="auto" w:fill="auto"/>
            <w:vAlign w:val="center"/>
          </w:tcPr>
          <w:p w14:paraId="781DC545" w14:textId="542E1083" w:rsidR="006F5DAC" w:rsidRPr="00513EFE" w:rsidRDefault="0017075F" w:rsidP="00DA5EE2">
            <w:pPr>
              <w:pStyle w:val="TableText-Centre"/>
            </w:pPr>
            <w:r>
              <w:t>3.5</w:t>
            </w:r>
            <w:r w:rsidR="006F5DAC" w:rsidRPr="00513EFE">
              <w:t>%</w:t>
            </w:r>
          </w:p>
        </w:tc>
        <w:tc>
          <w:tcPr>
            <w:tcW w:w="1750" w:type="pct"/>
            <w:vMerge/>
            <w:shd w:val="clear" w:color="auto" w:fill="auto"/>
            <w:vAlign w:val="center"/>
          </w:tcPr>
          <w:p w14:paraId="2925E7F9" w14:textId="77777777" w:rsidR="006F5DAC" w:rsidRPr="006E138A" w:rsidRDefault="006F5DAC" w:rsidP="00DA5EE2"/>
        </w:tc>
      </w:tr>
      <w:tr w:rsidR="006F5DAC" w14:paraId="0135E38B" w14:textId="77777777" w:rsidTr="00DA5EE2">
        <w:tc>
          <w:tcPr>
            <w:tcW w:w="1500" w:type="pct"/>
            <w:shd w:val="clear" w:color="auto" w:fill="D9D9D9"/>
            <w:vAlign w:val="center"/>
          </w:tcPr>
          <w:p w14:paraId="0FE6ACCA" w14:textId="77777777" w:rsidR="006F5DAC" w:rsidRPr="00513EFE" w:rsidRDefault="006F5DAC" w:rsidP="00DA5EE2">
            <w:pPr>
              <w:pStyle w:val="TableText-CentreBold"/>
            </w:pPr>
            <w:r w:rsidRPr="00513EFE">
              <w:t>85 – 89</w:t>
            </w:r>
          </w:p>
        </w:tc>
        <w:tc>
          <w:tcPr>
            <w:tcW w:w="1750" w:type="pct"/>
            <w:shd w:val="clear" w:color="auto" w:fill="auto"/>
            <w:vAlign w:val="center"/>
          </w:tcPr>
          <w:p w14:paraId="1F7F6893" w14:textId="063C5A6B" w:rsidR="006F5DAC" w:rsidRPr="00513EFE" w:rsidRDefault="0017075F" w:rsidP="00DA5EE2">
            <w:pPr>
              <w:pStyle w:val="TableText-Centre"/>
            </w:pPr>
            <w:r>
              <w:t>4.5</w:t>
            </w:r>
            <w:r w:rsidR="006F5DAC" w:rsidRPr="00513EFE">
              <w:t>%</w:t>
            </w:r>
          </w:p>
        </w:tc>
        <w:tc>
          <w:tcPr>
            <w:tcW w:w="1750" w:type="pct"/>
            <w:vMerge/>
            <w:shd w:val="clear" w:color="auto" w:fill="auto"/>
            <w:vAlign w:val="center"/>
          </w:tcPr>
          <w:p w14:paraId="75DB82CD" w14:textId="77777777" w:rsidR="006F5DAC" w:rsidRPr="006E138A" w:rsidRDefault="006F5DAC" w:rsidP="00DA5EE2"/>
        </w:tc>
      </w:tr>
      <w:tr w:rsidR="006F5DAC" w14:paraId="003EA4C1" w14:textId="77777777" w:rsidTr="00DA5EE2">
        <w:tc>
          <w:tcPr>
            <w:tcW w:w="1500" w:type="pct"/>
            <w:shd w:val="clear" w:color="auto" w:fill="D9D9D9"/>
            <w:vAlign w:val="center"/>
          </w:tcPr>
          <w:p w14:paraId="0B6702B9" w14:textId="77777777" w:rsidR="006F5DAC" w:rsidRPr="00513EFE" w:rsidRDefault="006F5DAC" w:rsidP="00DA5EE2">
            <w:pPr>
              <w:pStyle w:val="TableText-CentreBold"/>
            </w:pPr>
            <w:r w:rsidRPr="00513EFE">
              <w:t>90 -94</w:t>
            </w:r>
          </w:p>
        </w:tc>
        <w:tc>
          <w:tcPr>
            <w:tcW w:w="1750" w:type="pct"/>
            <w:shd w:val="clear" w:color="auto" w:fill="auto"/>
            <w:vAlign w:val="center"/>
          </w:tcPr>
          <w:p w14:paraId="09E021AB" w14:textId="546572C4" w:rsidR="006F5DAC" w:rsidRPr="00513EFE" w:rsidRDefault="0017075F" w:rsidP="00DA5EE2">
            <w:pPr>
              <w:pStyle w:val="TableText-Centre"/>
            </w:pPr>
            <w:r>
              <w:t>5.5</w:t>
            </w:r>
            <w:r w:rsidR="006F5DAC" w:rsidRPr="00513EFE">
              <w:t>%</w:t>
            </w:r>
          </w:p>
        </w:tc>
        <w:tc>
          <w:tcPr>
            <w:tcW w:w="1750" w:type="pct"/>
            <w:vMerge/>
            <w:shd w:val="clear" w:color="auto" w:fill="auto"/>
            <w:vAlign w:val="center"/>
          </w:tcPr>
          <w:p w14:paraId="76784D69" w14:textId="77777777" w:rsidR="006F5DAC" w:rsidRPr="006E138A" w:rsidRDefault="006F5DAC" w:rsidP="00DA5EE2"/>
        </w:tc>
      </w:tr>
      <w:tr w:rsidR="006F5DAC" w14:paraId="45C0E279" w14:textId="77777777" w:rsidTr="00DA5EE2">
        <w:tc>
          <w:tcPr>
            <w:tcW w:w="1500" w:type="pct"/>
            <w:shd w:val="clear" w:color="auto" w:fill="D9D9D9"/>
            <w:vAlign w:val="center"/>
          </w:tcPr>
          <w:p w14:paraId="7E4335AF" w14:textId="77777777" w:rsidR="006F5DAC" w:rsidRPr="00513EFE" w:rsidRDefault="006F5DAC" w:rsidP="00DA5EE2">
            <w:pPr>
              <w:pStyle w:val="TableText-CentreBold"/>
            </w:pPr>
            <w:r w:rsidRPr="00513EFE">
              <w:t>95+</w:t>
            </w:r>
          </w:p>
        </w:tc>
        <w:tc>
          <w:tcPr>
            <w:tcW w:w="1750" w:type="pct"/>
            <w:shd w:val="clear" w:color="auto" w:fill="auto"/>
            <w:vAlign w:val="center"/>
          </w:tcPr>
          <w:p w14:paraId="736F75E8" w14:textId="52F0B65F" w:rsidR="006F5DAC" w:rsidRPr="00513EFE" w:rsidRDefault="0017075F" w:rsidP="00DA5EE2">
            <w:pPr>
              <w:pStyle w:val="TableText-Centre"/>
            </w:pPr>
            <w:r>
              <w:t>7</w:t>
            </w:r>
            <w:r w:rsidR="006F5DAC" w:rsidRPr="00513EFE">
              <w:t>%</w:t>
            </w:r>
          </w:p>
        </w:tc>
        <w:tc>
          <w:tcPr>
            <w:tcW w:w="1750" w:type="pct"/>
            <w:vMerge/>
            <w:shd w:val="clear" w:color="auto" w:fill="auto"/>
            <w:vAlign w:val="center"/>
          </w:tcPr>
          <w:p w14:paraId="160B2CC3" w14:textId="77777777" w:rsidR="006F5DAC" w:rsidRPr="006E138A" w:rsidRDefault="006F5DAC" w:rsidP="00DA5EE2"/>
        </w:tc>
      </w:tr>
    </w:tbl>
    <w:p w14:paraId="13BD0730" w14:textId="77777777" w:rsidR="006F5DAC" w:rsidRDefault="006F5DAC" w:rsidP="006F5DAC">
      <w:pPr>
        <w:pStyle w:val="Notes-Heading"/>
      </w:pPr>
      <w:r>
        <w:t>Notes:</w:t>
      </w:r>
    </w:p>
    <w:tbl>
      <w:tblPr>
        <w:tblW w:w="5000" w:type="pct"/>
        <w:tblLook w:val="04A0" w:firstRow="1" w:lastRow="0" w:firstColumn="1" w:lastColumn="0" w:noHBand="0" w:noVBand="1"/>
      </w:tblPr>
      <w:tblGrid>
        <w:gridCol w:w="399"/>
        <w:gridCol w:w="9239"/>
      </w:tblGrid>
      <w:tr w:rsidR="006F5DAC" w14:paraId="75E8F10B" w14:textId="77777777" w:rsidTr="00DA5EE2">
        <w:tc>
          <w:tcPr>
            <w:tcW w:w="202" w:type="pct"/>
            <w:hideMark/>
          </w:tcPr>
          <w:p w14:paraId="55C97E00" w14:textId="77777777" w:rsidR="006F5DAC" w:rsidRDefault="006F5DAC" w:rsidP="00DA5EE2">
            <w:pPr>
              <w:pStyle w:val="Notes-Numbers"/>
            </w:pPr>
            <w:r>
              <w:t>[1]</w:t>
            </w:r>
          </w:p>
        </w:tc>
        <w:tc>
          <w:tcPr>
            <w:tcW w:w="4798" w:type="pct"/>
            <w:hideMark/>
          </w:tcPr>
          <w:p w14:paraId="2DF39D5E" w14:textId="77777777" w:rsidR="006F5DAC" w:rsidRPr="006E395C" w:rsidRDefault="006F5DAC" w:rsidP="00DA5EE2">
            <w:pPr>
              <w:pStyle w:val="Notes-Text"/>
            </w:pPr>
            <w:r w:rsidRPr="006E395C">
              <w:t>Minimum pension payments are</w:t>
            </w:r>
            <w:r>
              <w:t xml:space="preserve"> calculated annually at 1 July.</w:t>
            </w:r>
          </w:p>
        </w:tc>
      </w:tr>
    </w:tbl>
    <w:p w14:paraId="0474214B" w14:textId="77777777" w:rsidR="006F5DAC" w:rsidRDefault="006F5DAC" w:rsidP="006F5DAC"/>
    <w:p w14:paraId="762DFC1B" w14:textId="77777777" w:rsidR="006F5DAC" w:rsidRPr="00E21988" w:rsidRDefault="006F5DAC" w:rsidP="006F5DAC">
      <w:r>
        <w:t>F</w:t>
      </w:r>
      <w:r w:rsidRPr="00E21988">
        <w:t>or individuals over 60 years of age</w:t>
      </w:r>
      <w:r>
        <w:t>,</w:t>
      </w:r>
      <w:r w:rsidRPr="00E21988">
        <w:t xml:space="preserve"> Account Based</w:t>
      </w:r>
      <w:r>
        <w:t xml:space="preserve"> Pension payments are tax free </w:t>
      </w:r>
      <w:r w:rsidRPr="00E21988">
        <w:t xml:space="preserve">and do not have to be included in tax returns. </w:t>
      </w:r>
    </w:p>
    <w:p w14:paraId="5D2D8B0C" w14:textId="77777777" w:rsidR="006F5DAC" w:rsidRPr="00E21988" w:rsidRDefault="006F5DAC" w:rsidP="006F5DAC"/>
    <w:p w14:paraId="373C3349" w14:textId="77777777" w:rsidR="006F5DAC" w:rsidRPr="00E21988" w:rsidRDefault="006F5DAC" w:rsidP="006F5DAC">
      <w:r w:rsidRPr="00E21988">
        <w:t>The benefits of commencing an Account Based Pension are:</w:t>
      </w:r>
    </w:p>
    <w:tbl>
      <w:tblPr>
        <w:tblW w:w="4750" w:type="pct"/>
        <w:tblLook w:val="04A0" w:firstRow="1" w:lastRow="0" w:firstColumn="1" w:lastColumn="0" w:noHBand="0" w:noVBand="1"/>
      </w:tblPr>
      <w:tblGrid>
        <w:gridCol w:w="9156"/>
      </w:tblGrid>
      <w:tr w:rsidR="006F5DAC" w:rsidRPr="000056AC" w14:paraId="57472C5C" w14:textId="77777777" w:rsidTr="00DA5EE2">
        <w:tc>
          <w:tcPr>
            <w:tcW w:w="5000" w:type="pct"/>
          </w:tcPr>
          <w:p w14:paraId="1B884EE3" w14:textId="77777777" w:rsidR="006F5DAC" w:rsidRPr="00735CB2" w:rsidRDefault="006F5DAC" w:rsidP="00276E6F">
            <w:pPr>
              <w:pStyle w:val="Normal5ptBefore"/>
            </w:pPr>
            <w:r w:rsidRPr="00735CB2">
              <w:t>You receive a regular income stream to assist in meeting your retirement income needs.</w:t>
            </w:r>
          </w:p>
        </w:tc>
      </w:tr>
      <w:tr w:rsidR="006F5DAC" w:rsidRPr="000056AC" w14:paraId="51645BB4" w14:textId="77777777" w:rsidTr="00DA5EE2">
        <w:tc>
          <w:tcPr>
            <w:tcW w:w="5000" w:type="pct"/>
          </w:tcPr>
          <w:p w14:paraId="5A70F79A" w14:textId="77777777" w:rsidR="005910CB" w:rsidRDefault="006F5DAC" w:rsidP="00276E6F">
            <w:pPr>
              <w:pStyle w:val="Normal5ptBefore"/>
            </w:pPr>
            <w:r w:rsidRPr="00735CB2">
              <w:t xml:space="preserve">Payments made to individuals less than 60 years of age are taxable but receive tax concessions. </w:t>
            </w:r>
          </w:p>
          <w:p w14:paraId="607DB3B7" w14:textId="77CEF327" w:rsidR="006F5DAC" w:rsidRPr="00735CB2" w:rsidRDefault="006F5DAC" w:rsidP="00276E6F">
            <w:pPr>
              <w:pStyle w:val="Normal5ptBefore"/>
            </w:pPr>
            <w:r w:rsidRPr="00735CB2">
              <w:lastRenderedPageBreak/>
              <w:t xml:space="preserve">The pension drawn, less any </w:t>
            </w:r>
            <w:r w:rsidR="00A35012" w:rsidRPr="00735CB2">
              <w:t>tax-free</w:t>
            </w:r>
            <w:r w:rsidRPr="00735CB2">
              <w:t xml:space="preserve"> amount, is taxed at your marginal tax rate. A 15% tax rebate applies to </w:t>
            </w:r>
            <w:r w:rsidR="005910CB">
              <w:t>that net amount</w:t>
            </w:r>
            <w:r w:rsidRPr="00735CB2">
              <w:t>, which is taxable income. The tax rebate can be used to reduce an income tax liability arising from this pension as well as other income sources.</w:t>
            </w:r>
          </w:p>
        </w:tc>
      </w:tr>
      <w:tr w:rsidR="006F5DAC" w:rsidRPr="000056AC" w14:paraId="49A83744" w14:textId="77777777" w:rsidTr="00DA5EE2">
        <w:tc>
          <w:tcPr>
            <w:tcW w:w="5000" w:type="pct"/>
          </w:tcPr>
          <w:p w14:paraId="121EFBA2" w14:textId="77777777" w:rsidR="006F5DAC" w:rsidRPr="00735CB2" w:rsidRDefault="006F5DAC" w:rsidP="00276E6F">
            <w:pPr>
              <w:pStyle w:val="Normal5ptBefore"/>
            </w:pPr>
            <w:r w:rsidRPr="00735CB2">
              <w:lastRenderedPageBreak/>
              <w:t>Once you reach 60 years of age your pension payments will be tax free.</w:t>
            </w:r>
          </w:p>
        </w:tc>
      </w:tr>
      <w:tr w:rsidR="006F5DAC" w:rsidRPr="000056AC" w14:paraId="6A34F37D" w14:textId="77777777" w:rsidTr="00DA5EE2">
        <w:tc>
          <w:tcPr>
            <w:tcW w:w="5000" w:type="pct"/>
          </w:tcPr>
          <w:p w14:paraId="555CF522" w14:textId="77777777" w:rsidR="006F5DAC" w:rsidRPr="00735CB2" w:rsidRDefault="006F5DAC" w:rsidP="00276E6F">
            <w:pPr>
              <w:pStyle w:val="Normal5ptBefore"/>
            </w:pPr>
            <w:r w:rsidRPr="00735CB2">
              <w:t>You can choose the frequency of your pension payments (e.g. monthly, quarterly, half yearly or annually) and payments can be credited to your nominated bank account or paid to you by cheque.</w:t>
            </w:r>
          </w:p>
        </w:tc>
      </w:tr>
      <w:tr w:rsidR="006F5DAC" w:rsidRPr="000056AC" w14:paraId="709B52E8" w14:textId="77777777" w:rsidTr="00DA5EE2">
        <w:tc>
          <w:tcPr>
            <w:tcW w:w="5000" w:type="pct"/>
          </w:tcPr>
          <w:p w14:paraId="0C6DEFF5" w14:textId="1D97339D" w:rsidR="006F5DAC" w:rsidRPr="00735CB2" w:rsidRDefault="006F5DAC" w:rsidP="00276E6F">
            <w:pPr>
              <w:pStyle w:val="Normal5ptBefore"/>
            </w:pPr>
            <w:r w:rsidRPr="00735CB2">
              <w:t xml:space="preserve">Your Account Based Pension fund pays no tax on income or capital gains generated within the </w:t>
            </w:r>
            <w:r w:rsidR="00D52C9F">
              <w:t>pension</w:t>
            </w:r>
            <w:r w:rsidRPr="00735CB2">
              <w:t>.</w:t>
            </w:r>
          </w:p>
        </w:tc>
      </w:tr>
      <w:tr w:rsidR="006F5DAC" w:rsidRPr="00AD5297" w14:paraId="615E98A6" w14:textId="77777777" w:rsidTr="00DA5EE2">
        <w:tc>
          <w:tcPr>
            <w:tcW w:w="5000" w:type="pct"/>
          </w:tcPr>
          <w:p w14:paraId="70E020FE" w14:textId="455EC4C0" w:rsidR="006F5DAC" w:rsidRPr="00735CB2" w:rsidRDefault="006F5DAC" w:rsidP="00276E6F">
            <w:pPr>
              <w:pStyle w:val="Normal5ptBefore"/>
            </w:pPr>
            <w:r w:rsidRPr="00735CB2">
              <w:t xml:space="preserve">Your Account Based Pension portfolio will be invested in accordance with your risk profile. This would not be possible through </w:t>
            </w:r>
            <w:r w:rsidR="00794521">
              <w:t>n</w:t>
            </w:r>
            <w:r w:rsidRPr="00735CB2">
              <w:t>on-</w:t>
            </w:r>
            <w:proofErr w:type="gramStart"/>
            <w:r w:rsidRPr="00735CB2">
              <w:t>account based</w:t>
            </w:r>
            <w:proofErr w:type="gramEnd"/>
            <w:r w:rsidRPr="00735CB2">
              <w:t xml:space="preserve"> retirement income streams such as Annuities.</w:t>
            </w:r>
          </w:p>
        </w:tc>
      </w:tr>
    </w:tbl>
    <w:p w14:paraId="4308854E" w14:textId="57C514AD" w:rsidR="006F5DAC" w:rsidRPr="000056AC" w:rsidRDefault="006F5DAC" w:rsidP="00BC126D">
      <w:pPr>
        <w:pStyle w:val="Normal5ptBefore"/>
      </w:pPr>
      <w:r w:rsidRPr="000056AC">
        <w:t>You have the option of nominating a reversionary beneficiary (usually a spouse) who will receive the pension in the event of death.</w:t>
      </w:r>
      <w:r>
        <w:t xml:space="preserve"> This will increase the recipient’s superannuation balance assessable against the relevant Transfer Balance Account. </w:t>
      </w:r>
    </w:p>
    <w:p w14:paraId="6E7DCAC6" w14:textId="77777777" w:rsidR="00477430" w:rsidRPr="005F763D" w:rsidRDefault="00477430" w:rsidP="003D7678"/>
    <w:p w14:paraId="08888C16" w14:textId="77777777" w:rsidR="003D7678" w:rsidRPr="005F763D" w:rsidRDefault="003D7678" w:rsidP="003D7678">
      <w:pPr>
        <w:rPr>
          <w:color w:val="002060"/>
          <w:sz w:val="24"/>
        </w:rPr>
      </w:pPr>
      <w:r w:rsidRPr="005F763D">
        <w:rPr>
          <w:color w:val="002060"/>
          <w:sz w:val="24"/>
        </w:rPr>
        <w:t>Fixed-Term Annuity</w:t>
      </w:r>
    </w:p>
    <w:p w14:paraId="7972CE81" w14:textId="4E97B84E" w:rsidR="003D7678" w:rsidRDefault="003D7678" w:rsidP="003D7678"/>
    <w:tbl>
      <w:tblPr>
        <w:tblStyle w:val="TableGrid"/>
        <w:tblW w:w="0" w:type="auto"/>
        <w:tblInd w:w="76" w:type="dxa"/>
        <w:tblLook w:val="04A0" w:firstRow="1" w:lastRow="0" w:firstColumn="1" w:lastColumn="0" w:noHBand="0" w:noVBand="1"/>
      </w:tblPr>
      <w:tblGrid>
        <w:gridCol w:w="2754"/>
        <w:gridCol w:w="6798"/>
      </w:tblGrid>
      <w:tr w:rsidR="00C633C4" w:rsidRPr="00E51BEA" w14:paraId="084908DC" w14:textId="77777777" w:rsidTr="00C633C4">
        <w:tc>
          <w:tcPr>
            <w:tcW w:w="2754" w:type="dxa"/>
          </w:tcPr>
          <w:p w14:paraId="7402596D"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192DACC0" w14:textId="77777777" w:rsidR="00C633C4" w:rsidRPr="00E51BEA" w:rsidRDefault="00C633C4" w:rsidP="00D2574D">
            <w:pPr>
              <w:jc w:val="left"/>
              <w:rPr>
                <w:rFonts w:ascii="Calibri Light" w:hAnsi="Calibri Light"/>
              </w:rPr>
            </w:pPr>
          </w:p>
        </w:tc>
      </w:tr>
      <w:tr w:rsidR="00170F3C" w:rsidRPr="001A22F0" w14:paraId="53CF653E" w14:textId="77777777" w:rsidTr="00C633C4">
        <w:tc>
          <w:tcPr>
            <w:tcW w:w="2754" w:type="dxa"/>
          </w:tcPr>
          <w:p w14:paraId="04F5160C" w14:textId="77777777" w:rsidR="00170F3C" w:rsidRPr="00EA0A06" w:rsidRDefault="00170F3C" w:rsidP="00E164DA">
            <w:pPr>
              <w:pStyle w:val="Instructions"/>
            </w:pPr>
            <w:r w:rsidRPr="00EA0A06">
              <w:t>Title</w:t>
            </w:r>
          </w:p>
        </w:tc>
        <w:tc>
          <w:tcPr>
            <w:tcW w:w="6798" w:type="dxa"/>
          </w:tcPr>
          <w:p w14:paraId="495B6F73" w14:textId="28493D0E" w:rsidR="00170F3C" w:rsidRPr="001A22F0" w:rsidRDefault="00B6596E" w:rsidP="003A09CD">
            <w:pPr>
              <w:jc w:val="left"/>
            </w:pPr>
            <w:r>
              <w:t>Fixed-Term Annuity</w:t>
            </w:r>
          </w:p>
        </w:tc>
      </w:tr>
      <w:tr w:rsidR="00170F3C" w:rsidRPr="001A22F0" w14:paraId="10C59D91" w14:textId="77777777" w:rsidTr="00C633C4">
        <w:tc>
          <w:tcPr>
            <w:tcW w:w="2754" w:type="dxa"/>
          </w:tcPr>
          <w:p w14:paraId="566BECE4" w14:textId="77777777" w:rsidR="00170F3C" w:rsidRPr="00EA0A06" w:rsidRDefault="00170F3C" w:rsidP="00E164DA">
            <w:pPr>
              <w:pStyle w:val="Instructions"/>
            </w:pPr>
            <w:r w:rsidRPr="00EA0A06">
              <w:t>Explanation</w:t>
            </w:r>
          </w:p>
        </w:tc>
        <w:tc>
          <w:tcPr>
            <w:tcW w:w="6798" w:type="dxa"/>
          </w:tcPr>
          <w:p w14:paraId="6E5A3571" w14:textId="5D2898E0" w:rsidR="00B6596E" w:rsidRPr="005F763D" w:rsidRDefault="00B6596E" w:rsidP="00B6596E">
            <w:r w:rsidRPr="005F763D">
              <w:t>We recommend you invest $</w:t>
            </w:r>
            <w:r w:rsidRPr="005F763D">
              <w:rPr>
                <w:color w:val="FF0000"/>
              </w:rPr>
              <w:t>[__</w:t>
            </w:r>
            <w:proofErr w:type="gramStart"/>
            <w:r w:rsidRPr="005F763D">
              <w:rPr>
                <w:color w:val="FF0000"/>
              </w:rPr>
              <w:t>_,_</w:t>
            </w:r>
            <w:proofErr w:type="gramEnd"/>
            <w:r w:rsidRPr="005F763D">
              <w:rPr>
                <w:color w:val="FF0000"/>
              </w:rPr>
              <w:t>__]</w:t>
            </w:r>
            <w:r w:rsidRPr="005F763D">
              <w:t xml:space="preserve"> into a </w:t>
            </w:r>
            <w:r w:rsidRPr="005F763D">
              <w:rPr>
                <w:color w:val="FF0000"/>
              </w:rPr>
              <w:t>[term in years]</w:t>
            </w:r>
            <w:r w:rsidRPr="005F763D">
              <w:t xml:space="preserve"> </w:t>
            </w:r>
            <w:r w:rsidR="00924481" w:rsidRPr="001B4ECE">
              <w:rPr>
                <w:color w:val="7030A0"/>
                <w:highlight w:val="yellow"/>
              </w:rPr>
              <w:t>[</w:t>
            </w:r>
            <w:r w:rsidRPr="001B4ECE">
              <w:rPr>
                <w:color w:val="7030A0"/>
                <w:highlight w:val="yellow"/>
              </w:rPr>
              <w:t>Complying</w:t>
            </w:r>
            <w:r w:rsidR="00924481" w:rsidRPr="001B4ECE">
              <w:rPr>
                <w:color w:val="7030A0"/>
                <w:highlight w:val="yellow"/>
              </w:rPr>
              <w:t>]</w:t>
            </w:r>
            <w:r w:rsidRPr="001B4ECE">
              <w:rPr>
                <w:color w:val="7030A0"/>
              </w:rPr>
              <w:t xml:space="preserve"> </w:t>
            </w:r>
            <w:r w:rsidRPr="005F763D">
              <w:t>Annuity.</w:t>
            </w:r>
          </w:p>
          <w:p w14:paraId="056BB9DA" w14:textId="77777777" w:rsidR="00170F3C" w:rsidRPr="001A22F0" w:rsidRDefault="00170F3C" w:rsidP="003A09CD">
            <w:pPr>
              <w:jc w:val="left"/>
            </w:pPr>
          </w:p>
        </w:tc>
      </w:tr>
      <w:tr w:rsidR="00170F3C" w:rsidRPr="001A22F0" w14:paraId="7F84D8B9" w14:textId="77777777" w:rsidTr="00C633C4">
        <w:tc>
          <w:tcPr>
            <w:tcW w:w="2754" w:type="dxa"/>
          </w:tcPr>
          <w:p w14:paraId="083A6E17" w14:textId="77777777" w:rsidR="00170F3C" w:rsidRPr="00EA0A06" w:rsidRDefault="00170F3C" w:rsidP="00E164DA">
            <w:pPr>
              <w:pStyle w:val="Instructions"/>
            </w:pPr>
            <w:r w:rsidRPr="00EA0A06">
              <w:t>In your Best Interest</w:t>
            </w:r>
          </w:p>
        </w:tc>
        <w:tc>
          <w:tcPr>
            <w:tcW w:w="6798" w:type="dxa"/>
          </w:tcPr>
          <w:p w14:paraId="449E147D" w14:textId="77777777" w:rsidR="00170F3C" w:rsidRPr="001A22F0" w:rsidRDefault="00170F3C" w:rsidP="003A09CD">
            <w:pPr>
              <w:jc w:val="left"/>
            </w:pPr>
          </w:p>
        </w:tc>
      </w:tr>
    </w:tbl>
    <w:p w14:paraId="28CFD999" w14:textId="77777777" w:rsidR="00170F3C" w:rsidRPr="005F763D" w:rsidRDefault="00170F3C" w:rsidP="003D7678"/>
    <w:p w14:paraId="0DFCE716" w14:textId="6788BAEC" w:rsidR="003D7678" w:rsidRPr="003D0515" w:rsidRDefault="007F5C7D" w:rsidP="003D7678">
      <w:pPr>
        <w:rPr>
          <w:b/>
        </w:rPr>
      </w:pPr>
      <w:r w:rsidRPr="003D0515">
        <w:rPr>
          <w:b/>
        </w:rPr>
        <w:t>Further Detail</w:t>
      </w:r>
    </w:p>
    <w:p w14:paraId="3A39F1BD" w14:textId="77777777" w:rsidR="003D7678" w:rsidRPr="005F763D" w:rsidRDefault="003D7678">
      <w:pPr>
        <w:pStyle w:val="Normal5ptAfter"/>
      </w:pPr>
      <w:r w:rsidRPr="005F763D">
        <w:t>The details of the recommended income stream will be as follows:</w:t>
      </w:r>
    </w:p>
    <w:tbl>
      <w:tblPr>
        <w:tblW w:w="5000" w:type="pct"/>
        <w:tblBorders>
          <w:top w:val="single" w:sz="2" w:space="0" w:color="808080"/>
          <w:bottom w:val="single" w:sz="2" w:space="0" w:color="808080"/>
          <w:insideH w:val="single" w:sz="2" w:space="0" w:color="808080"/>
        </w:tblBorders>
        <w:tblLayout w:type="fixed"/>
        <w:tblLook w:val="0000" w:firstRow="0" w:lastRow="0" w:firstColumn="0" w:lastColumn="0" w:noHBand="0" w:noVBand="0"/>
      </w:tblPr>
      <w:tblGrid>
        <w:gridCol w:w="7710"/>
        <w:gridCol w:w="1928"/>
      </w:tblGrid>
      <w:tr w:rsidR="003D7678" w:rsidRPr="005F763D" w14:paraId="594EF39C" w14:textId="77777777" w:rsidTr="00036DDB">
        <w:tc>
          <w:tcPr>
            <w:tcW w:w="4000" w:type="pct"/>
            <w:tcBorders>
              <w:right w:val="single" w:sz="24" w:space="0" w:color="FFFFFF"/>
            </w:tcBorders>
            <w:shd w:val="clear" w:color="auto" w:fill="CCCCCC"/>
            <w:vAlign w:val="center"/>
          </w:tcPr>
          <w:p w14:paraId="5BFBA2B8" w14:textId="77777777" w:rsidR="003D7678" w:rsidRPr="005F763D" w:rsidRDefault="003D7678" w:rsidP="00036DDB">
            <w:pPr>
              <w:pStyle w:val="TableHeader2"/>
              <w:rPr>
                <w:rFonts w:ascii="Calibri" w:hAnsi="Calibri"/>
              </w:rPr>
            </w:pPr>
            <w:r w:rsidRPr="005F763D">
              <w:rPr>
                <w:rFonts w:ascii="Calibri" w:hAnsi="Calibri"/>
              </w:rPr>
              <w:t>Details</w:t>
            </w:r>
          </w:p>
        </w:tc>
        <w:tc>
          <w:tcPr>
            <w:tcW w:w="1000" w:type="pct"/>
            <w:tcBorders>
              <w:left w:val="single" w:sz="24" w:space="0" w:color="FFFFFF"/>
            </w:tcBorders>
            <w:shd w:val="clear" w:color="auto" w:fill="CCCCCC"/>
            <w:vAlign w:val="center"/>
          </w:tcPr>
          <w:p w14:paraId="5F9E5C7C" w14:textId="77777777" w:rsidR="003D7678" w:rsidRPr="005F763D" w:rsidRDefault="003D7678" w:rsidP="00036DDB">
            <w:pPr>
              <w:pStyle w:val="TableHeader2-Centre"/>
              <w:rPr>
                <w:rFonts w:ascii="Calibri" w:hAnsi="Calibri"/>
              </w:rPr>
            </w:pPr>
            <w:r w:rsidRPr="005F763D">
              <w:rPr>
                <w:rFonts w:ascii="Calibri" w:hAnsi="Calibri"/>
              </w:rPr>
              <w:t>Fixed Term Annuity</w:t>
            </w:r>
          </w:p>
        </w:tc>
      </w:tr>
      <w:tr w:rsidR="003D7678" w:rsidRPr="005F763D" w14:paraId="7D313CF1" w14:textId="77777777" w:rsidTr="00036DDB">
        <w:tc>
          <w:tcPr>
            <w:tcW w:w="4000" w:type="pct"/>
            <w:tcBorders>
              <w:right w:val="single" w:sz="24" w:space="0" w:color="FFFFFF"/>
            </w:tcBorders>
            <w:shd w:val="clear" w:color="auto" w:fill="auto"/>
            <w:vAlign w:val="center"/>
          </w:tcPr>
          <w:p w14:paraId="44E49D76" w14:textId="77777777" w:rsidR="003D7678" w:rsidRPr="005F763D" w:rsidRDefault="003D7678" w:rsidP="000D0191">
            <w:r w:rsidRPr="005F763D">
              <w:t>Amount invested</w:t>
            </w:r>
          </w:p>
        </w:tc>
        <w:tc>
          <w:tcPr>
            <w:tcW w:w="1000" w:type="pct"/>
            <w:tcBorders>
              <w:left w:val="single" w:sz="24" w:space="0" w:color="FFFFFF"/>
            </w:tcBorders>
            <w:shd w:val="clear" w:color="auto" w:fill="auto"/>
            <w:vAlign w:val="center"/>
          </w:tcPr>
          <w:p w14:paraId="11798007" w14:textId="195D73CA" w:rsidR="003D7678" w:rsidRPr="005F763D" w:rsidRDefault="00A43851" w:rsidP="00036DDB">
            <w:pPr>
              <w:pStyle w:val="TableText-Centre"/>
              <w:rPr>
                <w:rFonts w:ascii="Calibri" w:hAnsi="Calibri"/>
              </w:rPr>
            </w:pPr>
            <w:r w:rsidRPr="005F763D">
              <w:rPr>
                <w:color w:val="FF0000"/>
              </w:rPr>
              <w:t>$___,___</w:t>
            </w:r>
          </w:p>
        </w:tc>
      </w:tr>
      <w:tr w:rsidR="003D7678" w:rsidRPr="005F763D" w14:paraId="3B106B41" w14:textId="77777777" w:rsidTr="00036DDB">
        <w:tc>
          <w:tcPr>
            <w:tcW w:w="4000" w:type="pct"/>
            <w:tcBorders>
              <w:right w:val="single" w:sz="24" w:space="0" w:color="FFFFFF"/>
            </w:tcBorders>
            <w:shd w:val="clear" w:color="auto" w:fill="auto"/>
            <w:vAlign w:val="center"/>
          </w:tcPr>
          <w:p w14:paraId="64FBF6CA" w14:textId="77777777" w:rsidR="003D7678" w:rsidRPr="005F763D" w:rsidRDefault="003D7678" w:rsidP="000D0191">
            <w:r w:rsidRPr="005F763D">
              <w:t>Term</w:t>
            </w:r>
          </w:p>
        </w:tc>
        <w:tc>
          <w:tcPr>
            <w:tcW w:w="1000" w:type="pct"/>
            <w:tcBorders>
              <w:left w:val="single" w:sz="24" w:space="0" w:color="FFFFFF"/>
            </w:tcBorders>
            <w:shd w:val="clear" w:color="auto" w:fill="auto"/>
            <w:vAlign w:val="center"/>
          </w:tcPr>
          <w:p w14:paraId="31378C5C" w14:textId="6AE166C4" w:rsidR="003D7678" w:rsidRPr="005F763D" w:rsidRDefault="00A43851" w:rsidP="00036DDB">
            <w:pPr>
              <w:pStyle w:val="TableText-Centre"/>
              <w:rPr>
                <w:rFonts w:ascii="Calibri" w:hAnsi="Calibri"/>
              </w:rPr>
            </w:pPr>
            <w:r w:rsidRPr="005F763D">
              <w:rPr>
                <w:color w:val="FF0000"/>
              </w:rPr>
              <w:t>$___,___</w:t>
            </w:r>
          </w:p>
        </w:tc>
      </w:tr>
      <w:tr w:rsidR="003D7678" w:rsidRPr="005F763D" w14:paraId="788D69EB" w14:textId="77777777" w:rsidTr="00036DDB">
        <w:tc>
          <w:tcPr>
            <w:tcW w:w="4000" w:type="pct"/>
            <w:tcBorders>
              <w:right w:val="single" w:sz="24" w:space="0" w:color="FFFFFF"/>
            </w:tcBorders>
            <w:shd w:val="clear" w:color="auto" w:fill="auto"/>
            <w:vAlign w:val="center"/>
          </w:tcPr>
          <w:p w14:paraId="7FEF818A" w14:textId="77777777" w:rsidR="003D7678" w:rsidRPr="005F763D" w:rsidRDefault="003D7678" w:rsidP="000D0191">
            <w:r w:rsidRPr="005F763D">
              <w:t>Estimated income</w:t>
            </w:r>
          </w:p>
        </w:tc>
        <w:tc>
          <w:tcPr>
            <w:tcW w:w="1000" w:type="pct"/>
            <w:tcBorders>
              <w:left w:val="single" w:sz="24" w:space="0" w:color="FFFFFF"/>
            </w:tcBorders>
            <w:shd w:val="clear" w:color="auto" w:fill="auto"/>
            <w:vAlign w:val="center"/>
          </w:tcPr>
          <w:p w14:paraId="22497EAD" w14:textId="77F86A3C" w:rsidR="003D7678" w:rsidRPr="005F763D" w:rsidRDefault="00A43851" w:rsidP="00036DDB">
            <w:pPr>
              <w:pStyle w:val="TableText-Centre"/>
              <w:rPr>
                <w:rFonts w:ascii="Calibri" w:hAnsi="Calibri"/>
              </w:rPr>
            </w:pPr>
            <w:r w:rsidRPr="005F763D">
              <w:rPr>
                <w:color w:val="FF0000"/>
              </w:rPr>
              <w:t>$___,___</w:t>
            </w:r>
          </w:p>
        </w:tc>
      </w:tr>
      <w:tr w:rsidR="003D7678" w:rsidRPr="005F763D" w14:paraId="019EDCB3" w14:textId="77777777" w:rsidTr="00036DDB">
        <w:tc>
          <w:tcPr>
            <w:tcW w:w="4000" w:type="pct"/>
            <w:tcBorders>
              <w:right w:val="single" w:sz="24" w:space="0" w:color="FFFFFF"/>
            </w:tcBorders>
            <w:shd w:val="clear" w:color="auto" w:fill="auto"/>
            <w:vAlign w:val="center"/>
          </w:tcPr>
          <w:p w14:paraId="6425499D" w14:textId="77777777" w:rsidR="003D7678" w:rsidRPr="005F763D" w:rsidRDefault="003D7678" w:rsidP="000D0191">
            <w:r w:rsidRPr="005F763D">
              <w:t>Residual Capital Value</w:t>
            </w:r>
          </w:p>
        </w:tc>
        <w:tc>
          <w:tcPr>
            <w:tcW w:w="1000" w:type="pct"/>
            <w:tcBorders>
              <w:left w:val="single" w:sz="24" w:space="0" w:color="FFFFFF"/>
            </w:tcBorders>
            <w:shd w:val="clear" w:color="auto" w:fill="auto"/>
            <w:vAlign w:val="center"/>
          </w:tcPr>
          <w:p w14:paraId="058605F3" w14:textId="28CED29E" w:rsidR="003D7678" w:rsidRPr="005F763D" w:rsidRDefault="00A43851" w:rsidP="00036DDB">
            <w:pPr>
              <w:pStyle w:val="TableText-Centre"/>
              <w:rPr>
                <w:rFonts w:ascii="Calibri" w:hAnsi="Calibri"/>
              </w:rPr>
            </w:pPr>
            <w:r w:rsidRPr="005F763D">
              <w:rPr>
                <w:color w:val="FF0000"/>
              </w:rPr>
              <w:t>$___,___</w:t>
            </w:r>
          </w:p>
        </w:tc>
      </w:tr>
      <w:tr w:rsidR="003D7678" w:rsidRPr="005F763D" w14:paraId="430A37F8" w14:textId="77777777" w:rsidTr="00036DDB">
        <w:tc>
          <w:tcPr>
            <w:tcW w:w="4000" w:type="pct"/>
            <w:tcBorders>
              <w:right w:val="single" w:sz="24" w:space="0" w:color="FFFFFF"/>
            </w:tcBorders>
            <w:shd w:val="clear" w:color="auto" w:fill="auto"/>
            <w:vAlign w:val="center"/>
          </w:tcPr>
          <w:p w14:paraId="468572F4" w14:textId="77777777" w:rsidR="003D7678" w:rsidRPr="005F763D" w:rsidRDefault="003D7678" w:rsidP="000D0191">
            <w:r w:rsidRPr="005F763D">
              <w:t>Tax deductible amount</w:t>
            </w:r>
          </w:p>
        </w:tc>
        <w:tc>
          <w:tcPr>
            <w:tcW w:w="1000" w:type="pct"/>
            <w:tcBorders>
              <w:left w:val="single" w:sz="24" w:space="0" w:color="FFFFFF"/>
            </w:tcBorders>
            <w:shd w:val="clear" w:color="auto" w:fill="auto"/>
            <w:vAlign w:val="center"/>
          </w:tcPr>
          <w:p w14:paraId="0897CFC4" w14:textId="1B6D4924" w:rsidR="003D7678" w:rsidRPr="005F763D" w:rsidRDefault="00A43851" w:rsidP="00036DDB">
            <w:pPr>
              <w:pStyle w:val="TableText-Centre"/>
              <w:rPr>
                <w:rFonts w:ascii="Calibri" w:hAnsi="Calibri"/>
              </w:rPr>
            </w:pPr>
            <w:r w:rsidRPr="005F763D">
              <w:rPr>
                <w:color w:val="FF0000"/>
              </w:rPr>
              <w:t>$___,___</w:t>
            </w:r>
          </w:p>
        </w:tc>
      </w:tr>
    </w:tbl>
    <w:p w14:paraId="7A11ED8C" w14:textId="77777777" w:rsidR="003D7678" w:rsidRPr="005F763D" w:rsidRDefault="003D7678" w:rsidP="003D7678"/>
    <w:p w14:paraId="1CD30681" w14:textId="4CA3D18C" w:rsidR="003D7678" w:rsidRPr="005F763D" w:rsidRDefault="003D7678" w:rsidP="003D7678">
      <w:r w:rsidRPr="005F763D">
        <w:t xml:space="preserve">The estimated income is based on the quotation we have obtained from </w:t>
      </w:r>
      <w:r w:rsidRPr="005F763D">
        <w:rPr>
          <w:color w:val="FF0000"/>
        </w:rPr>
        <w:t>[</w:t>
      </w:r>
      <w:r w:rsidR="005868C3">
        <w:rPr>
          <w:color w:val="FF0000"/>
        </w:rPr>
        <w:t xml:space="preserve">annuity </w:t>
      </w:r>
      <w:r w:rsidR="00A43851">
        <w:rPr>
          <w:color w:val="FF0000"/>
        </w:rPr>
        <w:t>provider</w:t>
      </w:r>
      <w:r w:rsidRPr="005F763D">
        <w:rPr>
          <w:color w:val="FF0000"/>
        </w:rPr>
        <w:t>]</w:t>
      </w:r>
      <w:r w:rsidRPr="005F763D">
        <w:t xml:space="preserve">. In order to guarantee the level of income within the quotation we would need to complete an application prior to </w:t>
      </w:r>
      <w:r w:rsidRPr="000D0191">
        <w:rPr>
          <w:color w:val="7030A0"/>
          <w:highlight w:val="yellow"/>
        </w:rPr>
        <w:t>[date]</w:t>
      </w:r>
      <w:r w:rsidRPr="005F763D">
        <w:t>.</w:t>
      </w:r>
    </w:p>
    <w:p w14:paraId="66AD330A" w14:textId="77777777" w:rsidR="003D7678" w:rsidRPr="005F763D" w:rsidRDefault="003D7678" w:rsidP="003D7678"/>
    <w:p w14:paraId="1D8BFEF8" w14:textId="3831599F" w:rsidR="003D7678" w:rsidRDefault="003D7678" w:rsidP="003D7678">
      <w:pPr>
        <w:rPr>
          <w:color w:val="002060"/>
          <w:sz w:val="24"/>
        </w:rPr>
      </w:pPr>
      <w:bookmarkStart w:id="32" w:name="_Toc260306634"/>
      <w:r w:rsidRPr="005F763D">
        <w:rPr>
          <w:color w:val="002060"/>
          <w:sz w:val="24"/>
        </w:rPr>
        <w:t>Lifetime Annuity</w:t>
      </w:r>
    </w:p>
    <w:p w14:paraId="5848043F" w14:textId="576D3723" w:rsidR="00C633C4" w:rsidRDefault="00C633C4" w:rsidP="003D7678">
      <w:pPr>
        <w:rPr>
          <w:color w:val="002060"/>
          <w:sz w:val="24"/>
        </w:rPr>
      </w:pPr>
    </w:p>
    <w:tbl>
      <w:tblPr>
        <w:tblStyle w:val="TableGrid"/>
        <w:tblW w:w="0" w:type="auto"/>
        <w:tblInd w:w="76" w:type="dxa"/>
        <w:tblLook w:val="04A0" w:firstRow="1" w:lastRow="0" w:firstColumn="1" w:lastColumn="0" w:noHBand="0" w:noVBand="1"/>
      </w:tblPr>
      <w:tblGrid>
        <w:gridCol w:w="2754"/>
        <w:gridCol w:w="6798"/>
      </w:tblGrid>
      <w:tr w:rsidR="00C633C4" w:rsidRPr="00E51BEA" w14:paraId="51F7A4AE" w14:textId="77777777" w:rsidTr="00C633C4">
        <w:tc>
          <w:tcPr>
            <w:tcW w:w="2754" w:type="dxa"/>
          </w:tcPr>
          <w:p w14:paraId="47B9F3F8"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3D15D5D" w14:textId="77777777" w:rsidR="00C633C4" w:rsidRPr="00E51BEA" w:rsidRDefault="00C633C4" w:rsidP="00D2574D">
            <w:pPr>
              <w:jc w:val="left"/>
              <w:rPr>
                <w:rFonts w:ascii="Calibri Light" w:hAnsi="Calibri Light"/>
              </w:rPr>
            </w:pPr>
          </w:p>
        </w:tc>
      </w:tr>
      <w:tr w:rsidR="00C81BE4" w:rsidRPr="001A22F0" w14:paraId="01730902" w14:textId="77777777" w:rsidTr="00C633C4">
        <w:tc>
          <w:tcPr>
            <w:tcW w:w="2754" w:type="dxa"/>
          </w:tcPr>
          <w:p w14:paraId="7DDBD331" w14:textId="77777777" w:rsidR="00C81BE4" w:rsidRPr="00EA0A06" w:rsidRDefault="00C81BE4" w:rsidP="00E164DA">
            <w:pPr>
              <w:pStyle w:val="Instructions"/>
            </w:pPr>
            <w:r w:rsidRPr="00EA0A06">
              <w:t>Title</w:t>
            </w:r>
          </w:p>
        </w:tc>
        <w:tc>
          <w:tcPr>
            <w:tcW w:w="6798" w:type="dxa"/>
          </w:tcPr>
          <w:p w14:paraId="7542097D" w14:textId="189BCF23" w:rsidR="00C81BE4" w:rsidRPr="001A22F0" w:rsidRDefault="00C81BE4" w:rsidP="003A09CD">
            <w:pPr>
              <w:jc w:val="left"/>
            </w:pPr>
            <w:r>
              <w:t>Lifetime Annuity</w:t>
            </w:r>
          </w:p>
        </w:tc>
      </w:tr>
      <w:tr w:rsidR="00C81BE4" w:rsidRPr="001A22F0" w14:paraId="19FABF8E" w14:textId="77777777" w:rsidTr="00C633C4">
        <w:tc>
          <w:tcPr>
            <w:tcW w:w="2754" w:type="dxa"/>
          </w:tcPr>
          <w:p w14:paraId="352D4A4C" w14:textId="77777777" w:rsidR="00C81BE4" w:rsidRPr="00EA0A06" w:rsidRDefault="00C81BE4" w:rsidP="00E164DA">
            <w:pPr>
              <w:pStyle w:val="Instructions"/>
            </w:pPr>
            <w:r w:rsidRPr="00EA0A06">
              <w:t>Explanation</w:t>
            </w:r>
          </w:p>
        </w:tc>
        <w:tc>
          <w:tcPr>
            <w:tcW w:w="6798" w:type="dxa"/>
          </w:tcPr>
          <w:p w14:paraId="72F772C4" w14:textId="652EE96F" w:rsidR="00C81BE4" w:rsidRPr="001A22F0" w:rsidRDefault="004C448C" w:rsidP="003A09CD">
            <w:pPr>
              <w:jc w:val="left"/>
            </w:pPr>
            <w:r w:rsidRPr="00950F24">
              <w:t>We recommend you invest $</w:t>
            </w:r>
            <w:r w:rsidRPr="00950F24">
              <w:rPr>
                <w:color w:val="FF0000"/>
              </w:rPr>
              <w:t>[__</w:t>
            </w:r>
            <w:proofErr w:type="gramStart"/>
            <w:r w:rsidRPr="00950F24">
              <w:rPr>
                <w:color w:val="FF0000"/>
              </w:rPr>
              <w:t>_,_</w:t>
            </w:r>
            <w:proofErr w:type="gramEnd"/>
            <w:r w:rsidRPr="00950F24">
              <w:rPr>
                <w:color w:val="FF0000"/>
              </w:rPr>
              <w:t>__]</w:t>
            </w:r>
            <w:r w:rsidRPr="00950F24">
              <w:t xml:space="preserve"> into a Lifetime Annuity, </w:t>
            </w:r>
            <w:r w:rsidRPr="00950F24">
              <w:rPr>
                <w:color w:val="auto"/>
              </w:rPr>
              <w:t>sourced from</w:t>
            </w:r>
            <w:r w:rsidRPr="005F763D">
              <w:rPr>
                <w:color w:val="FF0000"/>
              </w:rPr>
              <w:t xml:space="preserve"> </w:t>
            </w:r>
            <w:r w:rsidRPr="000D0191">
              <w:rPr>
                <w:color w:val="7030A0"/>
                <w:highlight w:val="yellow"/>
              </w:rPr>
              <w:t>[your superannuation capital]</w:t>
            </w:r>
            <w:r>
              <w:rPr>
                <w:color w:val="7030A0"/>
                <w:highlight w:val="yellow"/>
              </w:rPr>
              <w:t>[cash]</w:t>
            </w:r>
            <w:r w:rsidRPr="005F763D">
              <w:t>.</w:t>
            </w:r>
          </w:p>
        </w:tc>
      </w:tr>
      <w:tr w:rsidR="00C81BE4" w:rsidRPr="001A22F0" w14:paraId="6B946CE9" w14:textId="77777777" w:rsidTr="00C633C4">
        <w:tc>
          <w:tcPr>
            <w:tcW w:w="2754" w:type="dxa"/>
          </w:tcPr>
          <w:p w14:paraId="43936D7F" w14:textId="77777777" w:rsidR="00C81BE4" w:rsidRPr="00EA0A06" w:rsidRDefault="00C81BE4" w:rsidP="00E164DA">
            <w:pPr>
              <w:pStyle w:val="Instructions"/>
            </w:pPr>
            <w:r w:rsidRPr="00EA0A06">
              <w:t>In your Best Interest</w:t>
            </w:r>
          </w:p>
        </w:tc>
        <w:tc>
          <w:tcPr>
            <w:tcW w:w="6798" w:type="dxa"/>
          </w:tcPr>
          <w:p w14:paraId="09DC82D9" w14:textId="77777777" w:rsidR="00C81BE4" w:rsidRPr="001A22F0" w:rsidRDefault="00C81BE4" w:rsidP="003A09CD">
            <w:pPr>
              <w:jc w:val="left"/>
            </w:pPr>
          </w:p>
        </w:tc>
      </w:tr>
    </w:tbl>
    <w:p w14:paraId="1EC13EFF" w14:textId="77777777" w:rsidR="003D7678" w:rsidRPr="005F763D" w:rsidRDefault="003D7678" w:rsidP="003D7678"/>
    <w:p w14:paraId="0E6663CF" w14:textId="77777777" w:rsidR="00E05826" w:rsidRPr="003D0515" w:rsidRDefault="00E05826" w:rsidP="00E05826">
      <w:pPr>
        <w:rPr>
          <w:b/>
        </w:rPr>
      </w:pPr>
      <w:r w:rsidRPr="003D0515">
        <w:rPr>
          <w:b/>
        </w:rPr>
        <w:t>Further Detail</w:t>
      </w:r>
    </w:p>
    <w:p w14:paraId="342DA7BD" w14:textId="77777777" w:rsidR="003D7678" w:rsidRPr="005F763D" w:rsidRDefault="003D7678">
      <w:pPr>
        <w:pStyle w:val="Normal5ptAfter"/>
      </w:pPr>
      <w:r w:rsidRPr="005F763D">
        <w:t>The details of the recommended income stream will be as follows:</w:t>
      </w:r>
    </w:p>
    <w:tbl>
      <w:tblPr>
        <w:tblW w:w="5000" w:type="pct"/>
        <w:tblBorders>
          <w:top w:val="single" w:sz="2" w:space="0" w:color="808080"/>
          <w:bottom w:val="single" w:sz="2" w:space="0" w:color="808080"/>
          <w:insideH w:val="single" w:sz="2" w:space="0" w:color="808080"/>
        </w:tblBorders>
        <w:tblLayout w:type="fixed"/>
        <w:tblLook w:val="0000" w:firstRow="0" w:lastRow="0" w:firstColumn="0" w:lastColumn="0" w:noHBand="0" w:noVBand="0"/>
      </w:tblPr>
      <w:tblGrid>
        <w:gridCol w:w="7710"/>
        <w:gridCol w:w="1928"/>
      </w:tblGrid>
      <w:tr w:rsidR="003D7678" w:rsidRPr="005F763D" w14:paraId="67672A3C" w14:textId="77777777" w:rsidTr="00036DDB">
        <w:tc>
          <w:tcPr>
            <w:tcW w:w="4000" w:type="pct"/>
            <w:tcBorders>
              <w:right w:val="single" w:sz="24" w:space="0" w:color="FFFFFF"/>
            </w:tcBorders>
            <w:shd w:val="clear" w:color="auto" w:fill="CCCCCC"/>
            <w:vAlign w:val="center"/>
          </w:tcPr>
          <w:p w14:paraId="5688DFD1" w14:textId="77777777" w:rsidR="003D7678" w:rsidRPr="005F763D" w:rsidRDefault="003D7678" w:rsidP="00036DDB">
            <w:pPr>
              <w:pStyle w:val="TableHeader2"/>
              <w:rPr>
                <w:rFonts w:ascii="Calibri" w:hAnsi="Calibri"/>
              </w:rPr>
            </w:pPr>
            <w:r w:rsidRPr="005F763D">
              <w:rPr>
                <w:rFonts w:ascii="Calibri" w:hAnsi="Calibri"/>
              </w:rPr>
              <w:t>Details</w:t>
            </w:r>
          </w:p>
        </w:tc>
        <w:tc>
          <w:tcPr>
            <w:tcW w:w="1000" w:type="pct"/>
            <w:tcBorders>
              <w:left w:val="single" w:sz="24" w:space="0" w:color="FFFFFF"/>
            </w:tcBorders>
            <w:shd w:val="clear" w:color="auto" w:fill="CCCCCC"/>
            <w:vAlign w:val="center"/>
          </w:tcPr>
          <w:p w14:paraId="5BFF2CD1" w14:textId="77777777" w:rsidR="003D7678" w:rsidRPr="005F763D" w:rsidRDefault="003D7678" w:rsidP="00036DDB">
            <w:pPr>
              <w:pStyle w:val="TableHeader2-Centre"/>
              <w:rPr>
                <w:rFonts w:ascii="Calibri" w:hAnsi="Calibri"/>
              </w:rPr>
            </w:pPr>
            <w:r w:rsidRPr="005F763D">
              <w:rPr>
                <w:rFonts w:ascii="Calibri" w:hAnsi="Calibri"/>
              </w:rPr>
              <w:t>Lifetime Annuity</w:t>
            </w:r>
          </w:p>
        </w:tc>
      </w:tr>
      <w:tr w:rsidR="003D7678" w:rsidRPr="005F763D" w14:paraId="55A47945" w14:textId="77777777" w:rsidTr="00036DDB">
        <w:tc>
          <w:tcPr>
            <w:tcW w:w="4000" w:type="pct"/>
            <w:tcBorders>
              <w:right w:val="single" w:sz="24" w:space="0" w:color="FFFFFF"/>
            </w:tcBorders>
            <w:shd w:val="clear" w:color="auto" w:fill="auto"/>
            <w:vAlign w:val="center"/>
          </w:tcPr>
          <w:p w14:paraId="7BCC379B" w14:textId="77777777" w:rsidR="003D7678" w:rsidRPr="005F763D" w:rsidRDefault="003D7678" w:rsidP="000D0191">
            <w:r w:rsidRPr="005F763D">
              <w:t>Amount invested</w:t>
            </w:r>
          </w:p>
        </w:tc>
        <w:tc>
          <w:tcPr>
            <w:tcW w:w="1000" w:type="pct"/>
            <w:tcBorders>
              <w:left w:val="single" w:sz="24" w:space="0" w:color="FFFFFF"/>
            </w:tcBorders>
            <w:shd w:val="clear" w:color="auto" w:fill="auto"/>
            <w:vAlign w:val="center"/>
          </w:tcPr>
          <w:p w14:paraId="647E2028" w14:textId="4361F8B4" w:rsidR="003D7678" w:rsidRPr="005F763D" w:rsidRDefault="00CA15B5" w:rsidP="00036DDB">
            <w:pPr>
              <w:pStyle w:val="TableText-Centre"/>
              <w:rPr>
                <w:rFonts w:ascii="Calibri" w:hAnsi="Calibri"/>
              </w:rPr>
            </w:pPr>
            <w:r w:rsidRPr="005F763D">
              <w:rPr>
                <w:color w:val="FF0000"/>
              </w:rPr>
              <w:t>$___,___</w:t>
            </w:r>
          </w:p>
        </w:tc>
      </w:tr>
      <w:tr w:rsidR="003D7678" w:rsidRPr="005F763D" w14:paraId="524E8FE3" w14:textId="77777777" w:rsidTr="00036DDB">
        <w:tc>
          <w:tcPr>
            <w:tcW w:w="4000" w:type="pct"/>
            <w:tcBorders>
              <w:right w:val="single" w:sz="24" w:space="0" w:color="FFFFFF"/>
            </w:tcBorders>
            <w:shd w:val="clear" w:color="auto" w:fill="auto"/>
            <w:vAlign w:val="center"/>
          </w:tcPr>
          <w:p w14:paraId="21CD24A2" w14:textId="77777777" w:rsidR="003D7678" w:rsidRPr="005F763D" w:rsidRDefault="003D7678" w:rsidP="000D0191">
            <w:r w:rsidRPr="005F763D">
              <w:t>Term</w:t>
            </w:r>
          </w:p>
        </w:tc>
        <w:tc>
          <w:tcPr>
            <w:tcW w:w="1000" w:type="pct"/>
            <w:tcBorders>
              <w:left w:val="single" w:sz="24" w:space="0" w:color="FFFFFF"/>
            </w:tcBorders>
            <w:shd w:val="clear" w:color="auto" w:fill="auto"/>
            <w:vAlign w:val="center"/>
          </w:tcPr>
          <w:p w14:paraId="56032927" w14:textId="77777777" w:rsidR="003D7678" w:rsidRPr="005F763D" w:rsidRDefault="003D7678" w:rsidP="00036DDB">
            <w:pPr>
              <w:pStyle w:val="TableText-Centre"/>
              <w:rPr>
                <w:rFonts w:ascii="Calibri" w:hAnsi="Calibri"/>
              </w:rPr>
            </w:pPr>
            <w:r w:rsidRPr="005F763D">
              <w:rPr>
                <w:rFonts w:ascii="Calibri" w:hAnsi="Calibri"/>
              </w:rPr>
              <w:t>Lifetime</w:t>
            </w:r>
          </w:p>
        </w:tc>
      </w:tr>
      <w:tr w:rsidR="003D7678" w:rsidRPr="005F763D" w14:paraId="2D03FB61" w14:textId="77777777" w:rsidTr="00036DDB">
        <w:tc>
          <w:tcPr>
            <w:tcW w:w="4000" w:type="pct"/>
            <w:tcBorders>
              <w:right w:val="single" w:sz="24" w:space="0" w:color="FFFFFF"/>
            </w:tcBorders>
            <w:shd w:val="clear" w:color="auto" w:fill="auto"/>
            <w:vAlign w:val="center"/>
          </w:tcPr>
          <w:p w14:paraId="2AF2E5B0" w14:textId="77777777" w:rsidR="003D7678" w:rsidRPr="005F763D" w:rsidRDefault="003D7678" w:rsidP="000D0191">
            <w:r w:rsidRPr="005F763D">
              <w:lastRenderedPageBreak/>
              <w:t>Estimated income</w:t>
            </w:r>
          </w:p>
        </w:tc>
        <w:tc>
          <w:tcPr>
            <w:tcW w:w="1000" w:type="pct"/>
            <w:tcBorders>
              <w:left w:val="single" w:sz="24" w:space="0" w:color="FFFFFF"/>
            </w:tcBorders>
            <w:shd w:val="clear" w:color="auto" w:fill="auto"/>
            <w:vAlign w:val="center"/>
          </w:tcPr>
          <w:p w14:paraId="43624BD5" w14:textId="673274A7" w:rsidR="003D7678" w:rsidRPr="005F763D" w:rsidRDefault="00CA15B5" w:rsidP="00036DDB">
            <w:pPr>
              <w:pStyle w:val="TableText-Centre"/>
              <w:rPr>
                <w:rFonts w:ascii="Calibri" w:hAnsi="Calibri"/>
              </w:rPr>
            </w:pPr>
            <w:r w:rsidRPr="005F763D">
              <w:rPr>
                <w:color w:val="FF0000"/>
              </w:rPr>
              <w:t>$___,___</w:t>
            </w:r>
          </w:p>
        </w:tc>
      </w:tr>
      <w:tr w:rsidR="003D7678" w:rsidRPr="005F763D" w14:paraId="6F8818C4" w14:textId="77777777" w:rsidTr="00036DDB">
        <w:tc>
          <w:tcPr>
            <w:tcW w:w="4000" w:type="pct"/>
            <w:tcBorders>
              <w:right w:val="single" w:sz="24" w:space="0" w:color="FFFFFF"/>
            </w:tcBorders>
            <w:shd w:val="clear" w:color="auto" w:fill="auto"/>
            <w:vAlign w:val="center"/>
          </w:tcPr>
          <w:p w14:paraId="0CCF7948" w14:textId="77777777" w:rsidR="003D7678" w:rsidRPr="005F763D" w:rsidRDefault="003D7678" w:rsidP="000D0191">
            <w:r w:rsidRPr="005F763D">
              <w:t>Indexation</w:t>
            </w:r>
          </w:p>
        </w:tc>
        <w:tc>
          <w:tcPr>
            <w:tcW w:w="1000" w:type="pct"/>
            <w:tcBorders>
              <w:left w:val="single" w:sz="24" w:space="0" w:color="FFFFFF"/>
            </w:tcBorders>
            <w:shd w:val="clear" w:color="auto" w:fill="auto"/>
            <w:vAlign w:val="center"/>
          </w:tcPr>
          <w:p w14:paraId="0E6C65BF" w14:textId="251A888F" w:rsidR="003D7678" w:rsidRPr="005F763D" w:rsidRDefault="00CA15B5" w:rsidP="00036DDB">
            <w:pPr>
              <w:pStyle w:val="TableText-Centre"/>
              <w:rPr>
                <w:rFonts w:ascii="Calibri" w:hAnsi="Calibri"/>
              </w:rPr>
            </w:pPr>
            <w:r w:rsidRPr="005F763D">
              <w:rPr>
                <w:color w:val="FF0000"/>
              </w:rPr>
              <w:t>$___,___</w:t>
            </w:r>
          </w:p>
        </w:tc>
      </w:tr>
      <w:tr w:rsidR="003D7678" w:rsidRPr="005F763D" w14:paraId="6A2F3F5B" w14:textId="77777777" w:rsidTr="00036DDB">
        <w:tc>
          <w:tcPr>
            <w:tcW w:w="4000" w:type="pct"/>
            <w:tcBorders>
              <w:right w:val="single" w:sz="24" w:space="0" w:color="FFFFFF"/>
            </w:tcBorders>
            <w:shd w:val="clear" w:color="auto" w:fill="auto"/>
            <w:vAlign w:val="center"/>
          </w:tcPr>
          <w:p w14:paraId="532B02E0" w14:textId="77777777" w:rsidR="003D7678" w:rsidRPr="005F763D" w:rsidRDefault="003D7678" w:rsidP="000D0191">
            <w:r w:rsidRPr="005F763D">
              <w:t>Residual Capital Value</w:t>
            </w:r>
          </w:p>
        </w:tc>
        <w:tc>
          <w:tcPr>
            <w:tcW w:w="1000" w:type="pct"/>
            <w:tcBorders>
              <w:left w:val="single" w:sz="24" w:space="0" w:color="FFFFFF"/>
            </w:tcBorders>
            <w:shd w:val="clear" w:color="auto" w:fill="auto"/>
            <w:vAlign w:val="center"/>
          </w:tcPr>
          <w:p w14:paraId="341A25F7" w14:textId="0B79CB39" w:rsidR="003D7678" w:rsidRPr="005F763D" w:rsidRDefault="00CA15B5" w:rsidP="00036DDB">
            <w:pPr>
              <w:pStyle w:val="TableText-Centre"/>
              <w:rPr>
                <w:rFonts w:ascii="Calibri" w:hAnsi="Calibri"/>
              </w:rPr>
            </w:pPr>
            <w:r w:rsidRPr="005F763D">
              <w:rPr>
                <w:color w:val="FF0000"/>
              </w:rPr>
              <w:t>$___,___</w:t>
            </w:r>
          </w:p>
        </w:tc>
      </w:tr>
      <w:tr w:rsidR="003D7678" w:rsidRPr="005F763D" w14:paraId="5B4E3B4A" w14:textId="77777777" w:rsidTr="00036DDB">
        <w:tc>
          <w:tcPr>
            <w:tcW w:w="4000" w:type="pct"/>
            <w:tcBorders>
              <w:right w:val="single" w:sz="24" w:space="0" w:color="FFFFFF"/>
            </w:tcBorders>
            <w:shd w:val="clear" w:color="auto" w:fill="auto"/>
            <w:vAlign w:val="center"/>
          </w:tcPr>
          <w:p w14:paraId="319E82F7" w14:textId="77777777" w:rsidR="003D7678" w:rsidRPr="005F763D" w:rsidRDefault="003D7678" w:rsidP="000D0191">
            <w:r w:rsidRPr="005F763D">
              <w:t>Tax deductible amount</w:t>
            </w:r>
          </w:p>
        </w:tc>
        <w:tc>
          <w:tcPr>
            <w:tcW w:w="1000" w:type="pct"/>
            <w:tcBorders>
              <w:left w:val="single" w:sz="24" w:space="0" w:color="FFFFFF"/>
            </w:tcBorders>
            <w:shd w:val="clear" w:color="auto" w:fill="auto"/>
            <w:vAlign w:val="center"/>
          </w:tcPr>
          <w:p w14:paraId="29130FB4" w14:textId="22DD1A56" w:rsidR="003D7678" w:rsidRPr="005F763D" w:rsidRDefault="00CA15B5" w:rsidP="000D0191">
            <w:pPr>
              <w:jc w:val="center"/>
            </w:pPr>
            <w:r w:rsidRPr="005F763D">
              <w:rPr>
                <w:color w:val="FF0000"/>
              </w:rPr>
              <w:t>$___,___</w:t>
            </w:r>
          </w:p>
        </w:tc>
      </w:tr>
    </w:tbl>
    <w:p w14:paraId="634569FC" w14:textId="77777777" w:rsidR="003D7678" w:rsidRPr="005F763D" w:rsidRDefault="003D7678" w:rsidP="003D7678"/>
    <w:p w14:paraId="78FFDC28" w14:textId="43AAC016" w:rsidR="003D7678" w:rsidRPr="005F763D" w:rsidRDefault="003D7678" w:rsidP="003D7678">
      <w:r w:rsidRPr="005F763D">
        <w:t xml:space="preserve">The estimated income above is based on the quotation we have obtained from </w:t>
      </w:r>
      <w:r w:rsidRPr="005F763D">
        <w:rPr>
          <w:color w:val="FF0000"/>
        </w:rPr>
        <w:t>[</w:t>
      </w:r>
      <w:r w:rsidR="004F00EF">
        <w:rPr>
          <w:color w:val="FF0000"/>
        </w:rPr>
        <w:t>annuity</w:t>
      </w:r>
      <w:r w:rsidR="00465589">
        <w:rPr>
          <w:color w:val="FF0000"/>
        </w:rPr>
        <w:t xml:space="preserve"> provider</w:t>
      </w:r>
      <w:r w:rsidRPr="005F763D">
        <w:rPr>
          <w:color w:val="FF0000"/>
        </w:rPr>
        <w:t>]</w:t>
      </w:r>
      <w:r w:rsidRPr="005F763D">
        <w:t xml:space="preserve">. In order to guarantee the level of income within the quotation we would need to complete an application prior to </w:t>
      </w:r>
      <w:r w:rsidRPr="000D0191">
        <w:rPr>
          <w:color w:val="7030A0"/>
          <w:highlight w:val="yellow"/>
        </w:rPr>
        <w:t>[date]</w:t>
      </w:r>
      <w:r w:rsidRPr="005F763D">
        <w:t>.</w:t>
      </w:r>
    </w:p>
    <w:p w14:paraId="0AADF527" w14:textId="77777777" w:rsidR="003D7678" w:rsidRPr="005F763D" w:rsidRDefault="003D7678" w:rsidP="003D7678"/>
    <w:p w14:paraId="4EA28E24" w14:textId="77777777" w:rsidR="00FD4426" w:rsidRPr="005F763D" w:rsidRDefault="00961112" w:rsidP="00FD4426">
      <w:r w:rsidRPr="005F763D">
        <w:br w:type="page"/>
      </w:r>
    </w:p>
    <w:p w14:paraId="4D33E507" w14:textId="4ECC06C4" w:rsidR="00FD4426" w:rsidRPr="005F763D" w:rsidRDefault="00FD4426" w:rsidP="0008751D">
      <w:pPr>
        <w:pStyle w:val="Heading2"/>
      </w:pPr>
      <w:bookmarkStart w:id="33" w:name="_Toc377642874"/>
      <w:bookmarkStart w:id="34" w:name="_Toc46236024"/>
      <w:r w:rsidRPr="005F763D">
        <w:lastRenderedPageBreak/>
        <w:t>Self-Managed Superannuation</w:t>
      </w:r>
      <w:bookmarkEnd w:id="32"/>
      <w:r w:rsidRPr="005F763D">
        <w:t xml:space="preserve"> Fund</w:t>
      </w:r>
      <w:r w:rsidR="00D722A9" w:rsidRPr="005F763D">
        <w:t xml:space="preserve"> (SMSF)</w:t>
      </w:r>
      <w:bookmarkEnd w:id="33"/>
      <w:bookmarkEnd w:id="34"/>
    </w:p>
    <w:p w14:paraId="5AE6113D" w14:textId="77777777" w:rsidR="00FD4426" w:rsidRPr="005F763D" w:rsidRDefault="00FD4426" w:rsidP="008C7CE9">
      <w:pPr>
        <w:jc w:val="left"/>
      </w:pPr>
    </w:p>
    <w:p w14:paraId="473026E1" w14:textId="77777777" w:rsidR="00C2375F" w:rsidRPr="005F763D" w:rsidRDefault="00C2375F" w:rsidP="008C7CE9">
      <w:pPr>
        <w:jc w:val="left"/>
        <w:rPr>
          <w:color w:val="002060"/>
          <w:sz w:val="24"/>
        </w:rPr>
      </w:pPr>
      <w:bookmarkStart w:id="35" w:name="_Toc376868646"/>
      <w:bookmarkStart w:id="36" w:name="_Toc376868647"/>
      <w:bookmarkStart w:id="37" w:name="_Toc260306636"/>
      <w:r w:rsidRPr="003E398B">
        <w:rPr>
          <w:color w:val="002060"/>
          <w:sz w:val="24"/>
        </w:rPr>
        <w:t>SMSF Establishment</w:t>
      </w:r>
      <w:bookmarkEnd w:id="35"/>
    </w:p>
    <w:p w14:paraId="1D5057CA" w14:textId="666AE097"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C633C4" w:rsidRPr="00E51BEA" w14:paraId="512AE9D2" w14:textId="77777777" w:rsidTr="00C633C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D0617C4" w14:textId="77777777" w:rsidR="00C633C4" w:rsidRPr="00AA2CC6" w:rsidRDefault="00C633C4" w:rsidP="00AA2CC6">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DCA9E62" w14:textId="77777777" w:rsidR="00C633C4" w:rsidRPr="00E51BEA" w:rsidRDefault="00C633C4" w:rsidP="00C633C4">
            <w:pPr>
              <w:pStyle w:val="TableHeader2"/>
              <w:rPr>
                <w:rFonts w:ascii="Calibri Light" w:hAnsi="Calibri Light"/>
              </w:rPr>
            </w:pPr>
          </w:p>
        </w:tc>
      </w:tr>
      <w:tr w:rsidR="00B149FC" w:rsidRPr="0088114A" w14:paraId="22482468" w14:textId="77777777" w:rsidTr="00C6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BD8ECAD" w14:textId="77777777" w:rsidR="00B149FC" w:rsidRPr="00E87AAA" w:rsidRDefault="00B149FC" w:rsidP="00E164DA">
            <w:pPr>
              <w:pStyle w:val="Instructions"/>
            </w:pPr>
            <w:r w:rsidRPr="00E87AAA">
              <w:t>Title</w:t>
            </w:r>
          </w:p>
        </w:tc>
        <w:tc>
          <w:tcPr>
            <w:tcW w:w="6798" w:type="dxa"/>
            <w:shd w:val="clear" w:color="auto" w:fill="auto"/>
          </w:tcPr>
          <w:p w14:paraId="7802E640" w14:textId="17AB56FA" w:rsidR="00B149FC" w:rsidRPr="0088114A" w:rsidRDefault="00B149FC" w:rsidP="003A09CD">
            <w:pPr>
              <w:spacing w:before="120"/>
            </w:pPr>
            <w:r>
              <w:t>Establish a SMSF</w:t>
            </w:r>
          </w:p>
        </w:tc>
      </w:tr>
      <w:tr w:rsidR="00B149FC" w:rsidRPr="0088114A" w14:paraId="782AE432" w14:textId="77777777" w:rsidTr="00C6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A966B3" w14:textId="77777777" w:rsidR="00B149FC" w:rsidRPr="00E87AAA" w:rsidRDefault="00B149FC" w:rsidP="00E164DA">
            <w:pPr>
              <w:pStyle w:val="Instructions"/>
            </w:pPr>
            <w:r w:rsidRPr="00E87AAA">
              <w:t>Explanation</w:t>
            </w:r>
          </w:p>
        </w:tc>
        <w:tc>
          <w:tcPr>
            <w:tcW w:w="6798" w:type="dxa"/>
            <w:shd w:val="clear" w:color="auto" w:fill="auto"/>
          </w:tcPr>
          <w:p w14:paraId="134D1771" w14:textId="1C00AF61" w:rsidR="00B149FC" w:rsidRPr="0088114A" w:rsidRDefault="00B149FC" w:rsidP="003A09CD">
            <w:pPr>
              <w:spacing w:before="120"/>
              <w:rPr>
                <w:color w:val="7030A0"/>
                <w:highlight w:val="yellow"/>
              </w:rPr>
            </w:pPr>
            <w:r w:rsidRPr="00E87AAA">
              <w:rPr>
                <w:color w:val="7030A0"/>
                <w:highlight w:val="yellow"/>
              </w:rPr>
              <w:t>[</w:t>
            </w:r>
            <w:r w:rsidRPr="0088114A">
              <w:rPr>
                <w:color w:val="7030A0"/>
                <w:highlight w:val="yellow"/>
              </w:rPr>
              <w:t xml:space="preserve">Establish the &lt;&lt;Fund Name&gt;&gt; (SMSF) with &lt;&lt;Client </w:t>
            </w:r>
            <w:r w:rsidRPr="00ED0A01">
              <w:rPr>
                <w:color w:val="7030A0"/>
                <w:highlight w:val="yellow"/>
              </w:rPr>
              <w:t>Na</w:t>
            </w:r>
            <w:r w:rsidRPr="00100A37">
              <w:rPr>
                <w:color w:val="7030A0"/>
                <w:highlight w:val="yellow"/>
              </w:rPr>
              <w:t>mes&gt;&gt; as both Members and Trustees.</w:t>
            </w:r>
            <w:r w:rsidRPr="00E87AAA">
              <w:rPr>
                <w:color w:val="7030A0"/>
                <w:highlight w:val="yellow"/>
              </w:rPr>
              <w:t>]</w:t>
            </w:r>
          </w:p>
          <w:p w14:paraId="0F89003A" w14:textId="77777777" w:rsidR="00B149FC" w:rsidRPr="00D769BE" w:rsidRDefault="00B149FC" w:rsidP="003A09CD">
            <w:pPr>
              <w:spacing w:before="120"/>
              <w:jc w:val="left"/>
              <w:rPr>
                <w:rFonts w:eastAsia="SimSun"/>
                <w:b/>
                <w:color w:val="auto"/>
                <w:szCs w:val="22"/>
                <w:lang w:val="x-none" w:eastAsia="x-none"/>
              </w:rPr>
            </w:pPr>
            <w:r w:rsidRPr="00D769BE">
              <w:rPr>
                <w:rFonts w:eastAsia="SimSun"/>
                <w:b/>
                <w:color w:val="auto"/>
                <w:szCs w:val="22"/>
                <w:lang w:val="x-none" w:eastAsia="x-none"/>
              </w:rPr>
              <w:t>OR</w:t>
            </w:r>
          </w:p>
          <w:p w14:paraId="15DA7110" w14:textId="5B344B43" w:rsidR="00B149FC" w:rsidRPr="002149F8" w:rsidRDefault="00B149FC" w:rsidP="003A09CD">
            <w:pPr>
              <w:spacing w:before="120"/>
              <w:rPr>
                <w:color w:val="7030A0"/>
                <w:highlight w:val="yellow"/>
              </w:rPr>
            </w:pPr>
            <w:r w:rsidRPr="00100A37">
              <w:rPr>
                <w:color w:val="7030A0"/>
                <w:highlight w:val="yellow"/>
              </w:rPr>
              <w:t xml:space="preserve">[Establish </w:t>
            </w:r>
            <w:r w:rsidRPr="0088114A">
              <w:rPr>
                <w:color w:val="7030A0"/>
                <w:highlight w:val="yellow"/>
              </w:rPr>
              <w:t xml:space="preserve">&lt;&lt;Client </w:t>
            </w:r>
            <w:r w:rsidRPr="00ED0A01">
              <w:rPr>
                <w:color w:val="7030A0"/>
                <w:highlight w:val="yellow"/>
              </w:rPr>
              <w:t>Names&gt;&gt; as Trustees</w:t>
            </w:r>
            <w:r w:rsidR="007177CF">
              <w:rPr>
                <w:color w:val="7030A0"/>
                <w:highlight w:val="yellow"/>
              </w:rPr>
              <w:t>.</w:t>
            </w:r>
            <w:r w:rsidRPr="00100A37">
              <w:rPr>
                <w:color w:val="7030A0"/>
                <w:highlight w:val="yellow"/>
              </w:rPr>
              <w:t xml:space="preserve"> </w:t>
            </w:r>
          </w:p>
          <w:p w14:paraId="78302AEE" w14:textId="77777777" w:rsidR="00B149FC" w:rsidRPr="00D769BE" w:rsidRDefault="00B149FC" w:rsidP="003A09CD">
            <w:pPr>
              <w:spacing w:before="120"/>
              <w:jc w:val="left"/>
              <w:rPr>
                <w:rFonts w:eastAsia="SimSun"/>
                <w:b/>
                <w:color w:val="auto"/>
                <w:szCs w:val="22"/>
                <w:lang w:val="x-none" w:eastAsia="x-none"/>
              </w:rPr>
            </w:pPr>
            <w:r w:rsidRPr="00D769BE">
              <w:rPr>
                <w:rFonts w:eastAsia="SimSun"/>
                <w:b/>
                <w:color w:val="auto"/>
                <w:szCs w:val="22"/>
                <w:lang w:val="x-none" w:eastAsia="x-none"/>
              </w:rPr>
              <w:t>OR</w:t>
            </w:r>
          </w:p>
          <w:p w14:paraId="6AEBEE89" w14:textId="08F47BFC" w:rsidR="00B149FC" w:rsidRPr="0088114A" w:rsidRDefault="00B149FC" w:rsidP="003A09CD">
            <w:pPr>
              <w:spacing w:before="120"/>
              <w:rPr>
                <w:sz w:val="18"/>
                <w:szCs w:val="18"/>
                <w:highlight w:val="yellow"/>
              </w:rPr>
            </w:pPr>
            <w:r w:rsidRPr="00E87AAA">
              <w:rPr>
                <w:color w:val="7030A0"/>
                <w:highlight w:val="yellow"/>
              </w:rPr>
              <w:t>[</w:t>
            </w:r>
            <w:r w:rsidRPr="0088114A">
              <w:rPr>
                <w:color w:val="7030A0"/>
                <w:highlight w:val="yellow"/>
              </w:rPr>
              <w:t>Establish &lt;&lt;Client Names&gt;&gt; as Directors of a corporate Trustee</w:t>
            </w:r>
            <w:r w:rsidR="007177CF">
              <w:rPr>
                <w:color w:val="7030A0"/>
                <w:highlight w:val="yellow"/>
              </w:rPr>
              <w:t xml:space="preserve"> &lt;&lt;company name&gt;&gt;</w:t>
            </w:r>
            <w:r w:rsidRPr="0088114A">
              <w:rPr>
                <w:color w:val="7030A0"/>
                <w:highlight w:val="yellow"/>
              </w:rPr>
              <w:t>.</w:t>
            </w:r>
            <w:r w:rsidRPr="00E87AAA">
              <w:rPr>
                <w:color w:val="7030A0"/>
                <w:highlight w:val="yellow"/>
              </w:rPr>
              <w:t>]</w:t>
            </w:r>
          </w:p>
        </w:tc>
      </w:tr>
      <w:tr w:rsidR="00B149FC" w:rsidRPr="00E87AAA" w14:paraId="45673D79" w14:textId="77777777" w:rsidTr="00C6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8137B2" w14:textId="77777777" w:rsidR="00B149FC" w:rsidRPr="00E87AAA" w:rsidRDefault="00B149FC" w:rsidP="00E164DA">
            <w:pPr>
              <w:pStyle w:val="Instructions"/>
            </w:pPr>
            <w:r w:rsidRPr="00E87AAA">
              <w:t>In your Best Interest</w:t>
            </w:r>
          </w:p>
        </w:tc>
        <w:tc>
          <w:tcPr>
            <w:tcW w:w="6798" w:type="dxa"/>
            <w:shd w:val="clear" w:color="auto" w:fill="auto"/>
          </w:tcPr>
          <w:p w14:paraId="18425FF0" w14:textId="036FFE79" w:rsidR="00B149FC" w:rsidRPr="00E87AAA" w:rsidRDefault="00B149FC" w:rsidP="003A09CD">
            <w:pPr>
              <w:spacing w:before="120"/>
              <w:jc w:val="left"/>
              <w:rPr>
                <w:sz w:val="18"/>
                <w:szCs w:val="18"/>
                <w:highlight w:val="yellow"/>
              </w:rPr>
            </w:pPr>
          </w:p>
        </w:tc>
      </w:tr>
    </w:tbl>
    <w:p w14:paraId="32837859" w14:textId="7F7FD045" w:rsidR="00170F3C" w:rsidRDefault="00170F3C" w:rsidP="008C7CE9">
      <w:pPr>
        <w:jc w:val="left"/>
      </w:pPr>
    </w:p>
    <w:p w14:paraId="6565D67C" w14:textId="18CFF9C6" w:rsidR="00170F3C" w:rsidRDefault="00170F3C" w:rsidP="008C7CE9">
      <w:pPr>
        <w:jc w:val="left"/>
      </w:pPr>
    </w:p>
    <w:p w14:paraId="7DADD8F9" w14:textId="42E64D9C" w:rsidR="00170F3C" w:rsidRDefault="00B149FC" w:rsidP="00E164DA">
      <w:pPr>
        <w:pStyle w:val="Instructions"/>
      </w:pPr>
      <w:r>
        <w:t>Further Detail</w:t>
      </w:r>
    </w:p>
    <w:p w14:paraId="2C62CB41" w14:textId="77777777" w:rsidR="00B149FC" w:rsidRDefault="00B149FC" w:rsidP="00B149FC">
      <w:pPr>
        <w:spacing w:before="120"/>
      </w:pPr>
      <w:r w:rsidRPr="00B64F8A">
        <w:t>A Self</w:t>
      </w:r>
      <w:r>
        <w:t>-</w:t>
      </w:r>
      <w:r w:rsidRPr="00B64F8A">
        <w:t>Managed Superannuation Fund (SMSF) is essentially a superannuation fund which is controlled by you.</w:t>
      </w:r>
    </w:p>
    <w:p w14:paraId="651C5627" w14:textId="77777777" w:rsidR="00B149FC" w:rsidRPr="00B64F8A" w:rsidRDefault="00B149FC" w:rsidP="00B149FC">
      <w:pPr>
        <w:spacing w:before="120"/>
      </w:pPr>
      <w:r>
        <w:t xml:space="preserve">A desire for </w:t>
      </w:r>
      <w:r w:rsidRPr="002149F8">
        <w:rPr>
          <w:u w:val="single"/>
        </w:rPr>
        <w:t>flexibility</w:t>
      </w:r>
      <w:r>
        <w:t xml:space="preserve"> of investment choice and </w:t>
      </w:r>
      <w:r w:rsidRPr="002149F8">
        <w:rPr>
          <w:u w:val="single"/>
        </w:rPr>
        <w:t>control</w:t>
      </w:r>
      <w:r>
        <w:t xml:space="preserve"> over investment assets are key indicators that a SMSF may be appropriate for your retirement planning.</w:t>
      </w:r>
    </w:p>
    <w:p w14:paraId="0B21F255" w14:textId="77777777" w:rsidR="00B149FC" w:rsidRPr="00B64F8A" w:rsidRDefault="00B149FC" w:rsidP="00B149FC">
      <w:pPr>
        <w:spacing w:before="120"/>
      </w:pPr>
      <w:r>
        <w:t>Very simply, a</w:t>
      </w:r>
      <w:r w:rsidRPr="00B64F8A">
        <w:t xml:space="preserve"> SMSF can have up to four members, all of whom must be trustees (and all trustees must be members). As members and thus trustees, you make all decisions relating to the operation of the SMSF, including how the SMSF’s assets are invested.</w:t>
      </w:r>
    </w:p>
    <w:p w14:paraId="305A6A64" w14:textId="77777777" w:rsidR="00B149FC" w:rsidRDefault="00B149FC" w:rsidP="00B149FC">
      <w:pPr>
        <w:spacing w:before="120"/>
      </w:pPr>
      <w:r w:rsidRPr="00B64F8A">
        <w:t>While this gives you added responsibility in relation to your superannuation, the majority of the compliance and administrative tasks can be outsourced to your accountant</w:t>
      </w:r>
      <w:r>
        <w:t xml:space="preserve">, fund administrator </w:t>
      </w:r>
      <w:r w:rsidRPr="00B64F8A">
        <w:t>and financial planner</w:t>
      </w:r>
      <w:r>
        <w:t xml:space="preserve"> on the assumption that this is cost effective. </w:t>
      </w:r>
    </w:p>
    <w:p w14:paraId="17B04B0F" w14:textId="77777777" w:rsidR="00B149FC" w:rsidRPr="00B64F8A" w:rsidRDefault="00B149FC" w:rsidP="00B149FC">
      <w:pPr>
        <w:spacing w:before="120"/>
      </w:pPr>
      <w:r>
        <w:t>The Australian Tax Office regulates SMSFs and has provided guidance upon the minimal amounts a fund should commence with and the different cost/benefit ‘break-even’ points that result from increasing levels of professional support.</w:t>
      </w:r>
    </w:p>
    <w:p w14:paraId="613C31EC" w14:textId="77777777" w:rsidR="00B149FC" w:rsidRDefault="00B149FC" w:rsidP="00B149FC">
      <w:pPr>
        <w:spacing w:before="120"/>
      </w:pPr>
      <w:r>
        <w:t>We believe that establishing a Self-Managed Superannuation Fund (SMSF) typically provides the following benefits:</w:t>
      </w:r>
    </w:p>
    <w:p w14:paraId="7FC6B8F4" w14:textId="22C65AC2" w:rsidR="00B149FC" w:rsidRPr="00E11BDB" w:rsidRDefault="00B149FC">
      <w:pPr>
        <w:pStyle w:val="InterPracBullet"/>
        <w:numPr>
          <w:ilvl w:val="0"/>
          <w:numId w:val="87"/>
        </w:numPr>
      </w:pPr>
      <w:r w:rsidRPr="00E11BDB">
        <w:t xml:space="preserve">Your current superannuation balance is at a sufficient level to make a SMSF </w:t>
      </w:r>
      <w:commentRangeStart w:id="38"/>
      <w:r w:rsidRPr="00E11BDB">
        <w:t>reasonably cost</w:t>
      </w:r>
      <w:commentRangeEnd w:id="38"/>
      <w:r w:rsidR="00EC2A1A" w:rsidRPr="00C127CF">
        <w:rPr>
          <w:rStyle w:val="CommentReference"/>
          <w:rFonts w:eastAsia="MS Mincho"/>
          <w:lang w:val="en-AU" w:eastAsia="ja-JP"/>
        </w:rPr>
        <w:commentReference w:id="38"/>
      </w:r>
      <w:r w:rsidRPr="00E11BDB">
        <w:t xml:space="preserve"> effective, and you have indicated you are comfortable with the responsibilities imposed on trustees of SMSFs.</w:t>
      </w:r>
    </w:p>
    <w:p w14:paraId="05B25D3C" w14:textId="11601697" w:rsidR="00B149FC" w:rsidRPr="00E11BDB" w:rsidRDefault="00B149FC">
      <w:pPr>
        <w:pStyle w:val="InterPracBullet"/>
        <w:numPr>
          <w:ilvl w:val="0"/>
          <w:numId w:val="87"/>
        </w:numPr>
      </w:pPr>
      <w:r w:rsidRPr="00E11BDB">
        <w:t>You have greater freedom over how your superannuation benefits are invested. You can decide which assets the SMSF invests in, including direct shares and direct property, unlike a public offer superannuation fund where the investment decisions are made on your behalf.</w:t>
      </w:r>
    </w:p>
    <w:p w14:paraId="26AF6C30" w14:textId="36667DE9" w:rsidR="00B149FC" w:rsidRPr="00E11BDB" w:rsidRDefault="00B149FC">
      <w:pPr>
        <w:pStyle w:val="InterPracBullet"/>
        <w:numPr>
          <w:ilvl w:val="0"/>
          <w:numId w:val="87"/>
        </w:numPr>
      </w:pPr>
      <w:r w:rsidRPr="00E11BDB">
        <w:t>You have greater control over the taxation benefits achieved within the fund. You as trustees can structure the Fund’s investments to maximise tax effectiveness.</w:t>
      </w:r>
    </w:p>
    <w:p w14:paraId="32D6396A" w14:textId="3583C908" w:rsidR="00B149FC" w:rsidRPr="00E11BDB" w:rsidRDefault="00B149FC">
      <w:pPr>
        <w:pStyle w:val="InterPracBullet"/>
        <w:numPr>
          <w:ilvl w:val="0"/>
          <w:numId w:val="87"/>
        </w:numPr>
      </w:pPr>
      <w:r w:rsidRPr="00E11BDB">
        <w:t>You have greater control over the management of your superannuation benefits. You can actively participate in the administration of the SMSF, including preparation of all required accounts and record keeping (although some tasks can be outsourced to professionals such as your accountant and financial planner).</w:t>
      </w:r>
    </w:p>
    <w:p w14:paraId="5F657863" w14:textId="4A51706C" w:rsidR="00B149FC" w:rsidRPr="00E11BDB" w:rsidRDefault="00B149FC">
      <w:pPr>
        <w:pStyle w:val="InterPracBullet"/>
        <w:numPr>
          <w:ilvl w:val="0"/>
          <w:numId w:val="87"/>
        </w:numPr>
      </w:pPr>
      <w:r w:rsidRPr="00E11BDB">
        <w:t xml:space="preserve">You may reduce administration costs. Most of the costs of running a SMSF are </w:t>
      </w:r>
      <w:r w:rsidRPr="00E11BDB">
        <w:rPr>
          <w:u w:val="single"/>
        </w:rPr>
        <w:t>fixed</w:t>
      </w:r>
      <w:r w:rsidRPr="00E11BDB">
        <w:t xml:space="preserve"> (for example, accounting costs, other compliance costs) regardless of the level of assets within the fund. This can allow you to achieve economies of scale where you have sufficiently large asset balances within the fund.</w:t>
      </w:r>
    </w:p>
    <w:p w14:paraId="52C868D9" w14:textId="77777777" w:rsidR="00B149FC" w:rsidRPr="00E11BDB" w:rsidRDefault="00B149FC">
      <w:pPr>
        <w:pStyle w:val="InterPracBullet"/>
        <w:numPr>
          <w:ilvl w:val="0"/>
          <w:numId w:val="87"/>
        </w:numPr>
      </w:pPr>
      <w:r w:rsidRPr="00E11BDB">
        <w:t>[You can have more certainty in relation to your estate planning arrangements. Many public offer superannuation funds allow you to nominate whom you would like to receive your accumulated superannuation benefit on your death, but the ultimate decision is made by the trustee. As trustees of your own SMSF, you can control the distribution of superannuation benefits on the death of a member.]</w:t>
      </w:r>
    </w:p>
    <w:p w14:paraId="6D6B2279" w14:textId="77777777" w:rsidR="00B149FC" w:rsidRDefault="00B149FC" w:rsidP="00B149FC">
      <w:pPr>
        <w:spacing w:before="120"/>
        <w:sectPr w:rsidR="00B149FC" w:rsidSect="003A09CD">
          <w:type w:val="continuous"/>
          <w:pgSz w:w="11906" w:h="16838" w:code="9"/>
          <w:pgMar w:top="1134" w:right="1134" w:bottom="1134" w:left="1134" w:header="567" w:footer="567" w:gutter="0"/>
          <w:cols w:space="708"/>
          <w:docGrid w:linePitch="360"/>
        </w:sectPr>
      </w:pPr>
    </w:p>
    <w:p w14:paraId="76F07353" w14:textId="77777777" w:rsidR="00EC3F6F" w:rsidRDefault="00EC3F6F">
      <w:pPr>
        <w:pStyle w:val="InterPracBullet"/>
      </w:pPr>
    </w:p>
    <w:p w14:paraId="66939158" w14:textId="4BE6F922" w:rsidR="00B149FC" w:rsidRPr="00BC126D" w:rsidRDefault="00B149FC">
      <w:pPr>
        <w:pStyle w:val="InterPracBullet"/>
        <w:rPr>
          <w:highlight w:val="yellow"/>
        </w:rPr>
      </w:pPr>
      <w:r w:rsidRPr="00BC126D">
        <w:lastRenderedPageBreak/>
        <w:t xml:space="preserve">Your obligations and responsibilities as trustees. </w:t>
      </w:r>
    </w:p>
    <w:p w14:paraId="463BCC63" w14:textId="3FD5418D" w:rsidR="00B149FC" w:rsidRPr="000D0943" w:rsidRDefault="00B149FC" w:rsidP="00C04C3C">
      <w:pPr>
        <w:spacing w:before="120"/>
      </w:pPr>
      <w:r w:rsidRPr="000D0943">
        <w:t>Superannuation legislation imposes significant administrative and compliance tasks on the trustees of SMSF’s, and non-compliance carries severe penalties.</w:t>
      </w:r>
    </w:p>
    <w:p w14:paraId="0F5608EA" w14:textId="77777777" w:rsidR="00B149FC" w:rsidRPr="00E11BDB" w:rsidRDefault="00B149FC">
      <w:pPr>
        <w:pStyle w:val="InterPracBullet"/>
        <w:numPr>
          <w:ilvl w:val="0"/>
          <w:numId w:val="87"/>
        </w:numPr>
      </w:pPr>
      <w:r w:rsidRPr="00E11BDB">
        <w:t>Lodging appropriate documents with the ATO to establish and register the SMSF;</w:t>
      </w:r>
    </w:p>
    <w:p w14:paraId="72A0C01D" w14:textId="77777777" w:rsidR="00B149FC" w:rsidRPr="00E11BDB" w:rsidRDefault="00B149FC">
      <w:pPr>
        <w:pStyle w:val="InterPracBullet"/>
        <w:numPr>
          <w:ilvl w:val="0"/>
          <w:numId w:val="87"/>
        </w:numPr>
      </w:pPr>
      <w:r w:rsidRPr="00E11BDB">
        <w:t>Documenting an investment strategy for the SMSF;</w:t>
      </w:r>
    </w:p>
    <w:p w14:paraId="1BF700D6" w14:textId="77777777" w:rsidR="00B149FC" w:rsidRPr="00E11BDB" w:rsidRDefault="00B149FC">
      <w:pPr>
        <w:pStyle w:val="InterPracBullet"/>
        <w:numPr>
          <w:ilvl w:val="0"/>
          <w:numId w:val="87"/>
        </w:numPr>
      </w:pPr>
      <w:r w:rsidRPr="00E11BDB">
        <w:t>Investing the assets of the SMSF;</w:t>
      </w:r>
    </w:p>
    <w:p w14:paraId="6DE7E596" w14:textId="77777777" w:rsidR="00B149FC" w:rsidRPr="00E11BDB" w:rsidRDefault="00B149FC">
      <w:pPr>
        <w:pStyle w:val="InterPracBullet"/>
        <w:numPr>
          <w:ilvl w:val="0"/>
          <w:numId w:val="87"/>
        </w:numPr>
      </w:pPr>
      <w:r w:rsidRPr="00E11BDB">
        <w:t>Maintaining proper records for the SMSF;</w:t>
      </w:r>
    </w:p>
    <w:p w14:paraId="745F8F25" w14:textId="77777777" w:rsidR="00B149FC" w:rsidRPr="00E11BDB" w:rsidRDefault="00B149FC">
      <w:pPr>
        <w:pStyle w:val="InterPracBullet"/>
        <w:numPr>
          <w:ilvl w:val="0"/>
          <w:numId w:val="87"/>
        </w:numPr>
      </w:pPr>
      <w:r w:rsidRPr="00E11BDB">
        <w:t>Ensure annual accounts are prepared;</w:t>
      </w:r>
    </w:p>
    <w:p w14:paraId="11036EC3" w14:textId="77777777" w:rsidR="00B149FC" w:rsidRPr="00E11BDB" w:rsidRDefault="00B149FC">
      <w:pPr>
        <w:pStyle w:val="InterPracBullet"/>
        <w:numPr>
          <w:ilvl w:val="0"/>
          <w:numId w:val="87"/>
        </w:numPr>
      </w:pPr>
      <w:r w:rsidRPr="00E11BDB">
        <w:t>Having the accounts audited;</w:t>
      </w:r>
    </w:p>
    <w:p w14:paraId="4BBCED1B" w14:textId="77777777" w:rsidR="00B149FC" w:rsidRPr="00E11BDB" w:rsidRDefault="00B149FC">
      <w:pPr>
        <w:pStyle w:val="InterPracBullet"/>
        <w:numPr>
          <w:ilvl w:val="0"/>
          <w:numId w:val="87"/>
        </w:numPr>
      </w:pPr>
      <w:r w:rsidRPr="00E11BDB">
        <w:t>Submitting annual returns to the ATO; and</w:t>
      </w:r>
    </w:p>
    <w:p w14:paraId="29E0FC7A" w14:textId="77777777" w:rsidR="00B149FC" w:rsidRPr="00E11BDB" w:rsidRDefault="00B149FC">
      <w:pPr>
        <w:pStyle w:val="InterPracBullet"/>
        <w:numPr>
          <w:ilvl w:val="0"/>
          <w:numId w:val="87"/>
        </w:numPr>
      </w:pPr>
      <w:r w:rsidRPr="00E11BDB">
        <w:t>Ensuring that the SMSF at all times complies with the relevant legislation.</w:t>
      </w:r>
    </w:p>
    <w:p w14:paraId="37429BBA" w14:textId="77777777" w:rsidR="00B149FC" w:rsidRPr="00E11BDB" w:rsidRDefault="00B149FC">
      <w:pPr>
        <w:pStyle w:val="InterPracBullet"/>
        <w:numPr>
          <w:ilvl w:val="0"/>
          <w:numId w:val="87"/>
        </w:numPr>
      </w:pPr>
      <w:r w:rsidRPr="00E11BDB">
        <w:t>Typically, expert legal and taxation advice should be obtained before deciding to set up your SMSF.</w:t>
      </w:r>
    </w:p>
    <w:p w14:paraId="115D0C62" w14:textId="3152C25E" w:rsidR="00B149FC" w:rsidRPr="00E11BDB" w:rsidRDefault="00B149FC">
      <w:pPr>
        <w:pStyle w:val="InterPracBullet"/>
        <w:numPr>
          <w:ilvl w:val="0"/>
          <w:numId w:val="87"/>
        </w:numPr>
      </w:pPr>
      <w:r w:rsidRPr="00E11BDB">
        <w:t>As trustee of your SMSF you can employ the services of professionals to assist in the management of the fund however you still have ultimate responsibility.</w:t>
      </w:r>
    </w:p>
    <w:p w14:paraId="39B0CEF6" w14:textId="00B32E3D" w:rsidR="00B149FC" w:rsidRPr="00E11BDB" w:rsidRDefault="00B149FC">
      <w:pPr>
        <w:pStyle w:val="InterPracBullet"/>
        <w:numPr>
          <w:ilvl w:val="0"/>
          <w:numId w:val="87"/>
        </w:numPr>
      </w:pPr>
      <w:r w:rsidRPr="00E11BDB">
        <w:t>You should be aware that there are severe penalties for Trustees who fail to ensure that a SMSF is properly administered.  Serious breaches of the SIS Act may deem the fund to be non-complying resulting in taxation consequences and other penalties.</w:t>
      </w:r>
    </w:p>
    <w:p w14:paraId="4F009885" w14:textId="571C5DF7" w:rsidR="00B149FC" w:rsidRPr="00E11BDB" w:rsidRDefault="00B149FC">
      <w:pPr>
        <w:pStyle w:val="InterPracBullet"/>
        <w:numPr>
          <w:ilvl w:val="0"/>
          <w:numId w:val="87"/>
        </w:numPr>
      </w:pPr>
      <w:r w:rsidRPr="00E11BDB">
        <w:t>You may incur extra costs depending on the asset level of the SMSF and the investments chosen. If the SMSF’s assets are invested in managed funds, there can be an increase in costs, because in addition to accountant and financial planner fees for the administration of the SMSF, fund managers also charge ongoing fees.</w:t>
      </w:r>
    </w:p>
    <w:p w14:paraId="64E80865" w14:textId="1DF02A36" w:rsidR="00B149FC" w:rsidRPr="00E11BDB" w:rsidRDefault="00B149FC">
      <w:pPr>
        <w:pStyle w:val="InterPracBullet"/>
        <w:numPr>
          <w:ilvl w:val="0"/>
          <w:numId w:val="87"/>
        </w:numPr>
      </w:pPr>
      <w:r w:rsidRPr="00E11BDB">
        <w:t xml:space="preserve">In the event of legal disputes, trustees may only pursue legal proceedings in the Supreme Court. </w:t>
      </w:r>
    </w:p>
    <w:p w14:paraId="349701FA" w14:textId="77777777" w:rsidR="00B149FC" w:rsidRDefault="00B149FC" w:rsidP="00B149FC">
      <w:pPr>
        <w:rPr>
          <w:rFonts w:eastAsia="SimSun"/>
          <w:b/>
          <w:color w:val="auto"/>
          <w:szCs w:val="22"/>
          <w:highlight w:val="cyan"/>
          <w:lang w:val="x-none" w:eastAsia="x-none"/>
        </w:rPr>
      </w:pPr>
    </w:p>
    <w:p w14:paraId="7A96F2AF" w14:textId="77777777" w:rsidR="00B149FC" w:rsidRDefault="00B149FC" w:rsidP="00B149FC">
      <w:pPr>
        <w:rPr>
          <w:color w:val="002060"/>
          <w:sz w:val="24"/>
        </w:rPr>
      </w:pPr>
    </w:p>
    <w:p w14:paraId="0BE911F2" w14:textId="77777777" w:rsidR="00B149FC" w:rsidRDefault="00B149FC" w:rsidP="00B149FC">
      <w:pPr>
        <w:rPr>
          <w:color w:val="002060"/>
          <w:sz w:val="24"/>
        </w:rPr>
      </w:pPr>
      <w:r w:rsidRPr="004E4C13">
        <w:rPr>
          <w:color w:val="002060"/>
          <w:sz w:val="24"/>
        </w:rPr>
        <w:t xml:space="preserve">Individual </w:t>
      </w:r>
      <w:commentRangeStart w:id="39"/>
      <w:r w:rsidRPr="004E4C13">
        <w:rPr>
          <w:color w:val="002060"/>
          <w:sz w:val="24"/>
        </w:rPr>
        <w:t>Trustees</w:t>
      </w:r>
      <w:commentRangeEnd w:id="39"/>
      <w:r w:rsidR="00B97F27">
        <w:rPr>
          <w:rStyle w:val="CommentReference"/>
          <w:color w:val="auto"/>
          <w:lang w:eastAsia="ja-JP"/>
        </w:rPr>
        <w:commentReference w:id="39"/>
      </w:r>
      <w:r>
        <w:rPr>
          <w:color w:val="002060"/>
          <w:sz w:val="24"/>
        </w:rPr>
        <w:t xml:space="preserve"> </w:t>
      </w:r>
    </w:p>
    <w:p w14:paraId="076239D3" w14:textId="77777777" w:rsidR="00B149FC" w:rsidRDefault="00B149FC" w:rsidP="00B149FC">
      <w:pPr>
        <w:spacing w:before="120"/>
      </w:pPr>
      <w:r>
        <w:t xml:space="preserve">We believe that using individual trustees for your SMSF supports your </w:t>
      </w:r>
      <w:commentRangeStart w:id="40"/>
      <w:r>
        <w:t>ob</w:t>
      </w:r>
      <w:r w:rsidRPr="00DA11DB">
        <w:t>jectives</w:t>
      </w:r>
      <w:commentRangeEnd w:id="40"/>
      <w:r w:rsidR="00A41C4E">
        <w:rPr>
          <w:rStyle w:val="CommentReference"/>
          <w:color w:val="auto"/>
          <w:lang w:eastAsia="ja-JP"/>
        </w:rPr>
        <w:commentReference w:id="40"/>
      </w:r>
      <w:r>
        <w:t xml:space="preserve"> for the following reasons:</w:t>
      </w:r>
    </w:p>
    <w:p w14:paraId="5E50FD03" w14:textId="32C3DDAD" w:rsidR="00B149FC" w:rsidRPr="003313C5" w:rsidRDefault="00B149FC" w:rsidP="00B149FC">
      <w:pPr>
        <w:rPr>
          <w:rFonts w:eastAsia="SimSun"/>
          <w:b/>
          <w:color w:val="auto"/>
          <w:szCs w:val="22"/>
          <w:highlight w:val="cyan"/>
          <w:lang w:val="x-none" w:eastAsia="x-none"/>
        </w:rPr>
      </w:pPr>
    </w:p>
    <w:p w14:paraId="6407401E" w14:textId="30080FBC" w:rsidR="00B149FC" w:rsidRPr="00C127CF" w:rsidRDefault="00B149FC">
      <w:pPr>
        <w:pStyle w:val="InterPracBullet"/>
        <w:numPr>
          <w:ilvl w:val="0"/>
          <w:numId w:val="85"/>
        </w:numPr>
      </w:pPr>
      <w:r w:rsidRPr="00C127CF">
        <w:t>You want a cost-effective trustee structure.</w:t>
      </w:r>
    </w:p>
    <w:p w14:paraId="0533AB8C" w14:textId="684FDBE3" w:rsidR="00B149FC" w:rsidRPr="00C127CF" w:rsidRDefault="00B149FC">
      <w:pPr>
        <w:pStyle w:val="InterPracBullet"/>
        <w:numPr>
          <w:ilvl w:val="0"/>
          <w:numId w:val="85"/>
        </w:numPr>
      </w:pPr>
      <w:r w:rsidRPr="00C127CF">
        <w:t>Having an individual trustee structure is a simpler arrangement than setting up a corporate trustee and has fewer statutory forms and reduced ongoing reporting obligations.</w:t>
      </w:r>
    </w:p>
    <w:p w14:paraId="2A48DBDF" w14:textId="77777777" w:rsidR="00B149FC" w:rsidRPr="00C127CF" w:rsidRDefault="00B149FC" w:rsidP="00B149FC">
      <w:pPr>
        <w:spacing w:before="120"/>
      </w:pPr>
      <w:r w:rsidRPr="00C127CF">
        <w:t>Before proceeding you should note the following:</w:t>
      </w:r>
    </w:p>
    <w:p w14:paraId="3B1C8230" w14:textId="7F51E710" w:rsidR="00B149FC" w:rsidRPr="00E11BDB" w:rsidRDefault="00B149FC">
      <w:pPr>
        <w:pStyle w:val="InterPracBullet"/>
        <w:numPr>
          <w:ilvl w:val="0"/>
          <w:numId w:val="86"/>
        </w:numPr>
      </w:pPr>
      <w:r w:rsidRPr="00E11BDB">
        <w:t>Additional costs may be incurred if there is a change to members/trustees of the SMSF because the individual trustee’s name will need to be changed on each investment held by the SMSF.</w:t>
      </w:r>
    </w:p>
    <w:p w14:paraId="4FBB359E" w14:textId="77777777" w:rsidR="00B149FC" w:rsidRPr="00E11BDB" w:rsidRDefault="00B149FC">
      <w:pPr>
        <w:pStyle w:val="InterPracBullet"/>
        <w:numPr>
          <w:ilvl w:val="0"/>
          <w:numId w:val="86"/>
        </w:numPr>
      </w:pPr>
      <w:r w:rsidRPr="00E11BDB">
        <w:t>You need to keep very clear documentation to show that SMSF investments are held by the individuals in their capacity as Trustee of the SMSF.</w:t>
      </w:r>
    </w:p>
    <w:p w14:paraId="5C04C17E" w14:textId="77777777" w:rsidR="00B149FC" w:rsidRPr="00E11BDB" w:rsidRDefault="00B149FC">
      <w:pPr>
        <w:pStyle w:val="InterPracBullet"/>
        <w:numPr>
          <w:ilvl w:val="0"/>
          <w:numId w:val="86"/>
        </w:numPr>
      </w:pPr>
      <w:r w:rsidRPr="00E11BDB">
        <w:t xml:space="preserve">In the event of fund being subject to legislated penalties, each individual Trustee is separately liable.  This results in the penalty being charged multiple times in a multi-member fund. </w:t>
      </w:r>
    </w:p>
    <w:p w14:paraId="3D7FE979" w14:textId="77777777" w:rsidR="00B149FC" w:rsidRDefault="00B149FC" w:rsidP="00B149FC">
      <w:pPr>
        <w:rPr>
          <w:rFonts w:eastAsia="SimSun"/>
          <w:b/>
          <w:color w:val="auto"/>
          <w:szCs w:val="22"/>
          <w:highlight w:val="cyan"/>
          <w:lang w:val="x-none" w:eastAsia="x-none"/>
        </w:rPr>
      </w:pPr>
    </w:p>
    <w:p w14:paraId="1C279A8C" w14:textId="77777777" w:rsidR="00B149FC" w:rsidRPr="00D20595" w:rsidRDefault="00B149FC">
      <w:pPr>
        <w:pStyle w:val="InterPracBullet"/>
      </w:pPr>
      <w:r w:rsidRPr="00D20595">
        <w:t xml:space="preserve">Costs incurred to set up a </w:t>
      </w:r>
      <w:commentRangeStart w:id="41"/>
      <w:r w:rsidRPr="00D20595">
        <w:t>SMSF</w:t>
      </w:r>
      <w:commentRangeEnd w:id="41"/>
      <w:r w:rsidR="00137B1E">
        <w:rPr>
          <w:rStyle w:val="CommentReference"/>
          <w:rFonts w:eastAsia="MS Mincho"/>
          <w:lang w:val="en-AU" w:eastAsia="ja-JP"/>
        </w:rPr>
        <w:commentReference w:id="41"/>
      </w:r>
      <w:r w:rsidRPr="00D20595">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268"/>
      </w:tblGrid>
      <w:tr w:rsidR="00B149FC" w14:paraId="45EE6C15" w14:textId="77777777" w:rsidTr="003A09CD">
        <w:tc>
          <w:tcPr>
            <w:tcW w:w="3543" w:type="dxa"/>
            <w:shd w:val="clear" w:color="auto" w:fill="D0CECE"/>
          </w:tcPr>
          <w:p w14:paraId="36609C71" w14:textId="77777777" w:rsidR="00B149FC" w:rsidRPr="00100A37" w:rsidRDefault="00B149FC" w:rsidP="003A09CD">
            <w:pPr>
              <w:spacing w:before="120"/>
              <w:rPr>
                <w:b/>
              </w:rPr>
            </w:pPr>
            <w:r w:rsidRPr="00ED0A01">
              <w:rPr>
                <w:b/>
              </w:rPr>
              <w:t>D</w:t>
            </w:r>
            <w:r w:rsidRPr="00100A37">
              <w:rPr>
                <w:b/>
              </w:rPr>
              <w:t>escription</w:t>
            </w:r>
          </w:p>
        </w:tc>
        <w:tc>
          <w:tcPr>
            <w:tcW w:w="2268" w:type="dxa"/>
            <w:shd w:val="clear" w:color="auto" w:fill="D0CECE"/>
          </w:tcPr>
          <w:p w14:paraId="335E5BA4" w14:textId="77777777" w:rsidR="00B149FC" w:rsidRPr="002149F8" w:rsidRDefault="00B149FC" w:rsidP="003A09CD">
            <w:pPr>
              <w:spacing w:before="120"/>
              <w:jc w:val="center"/>
              <w:rPr>
                <w:b/>
              </w:rPr>
            </w:pPr>
            <w:r w:rsidRPr="002149F8">
              <w:rPr>
                <w:b/>
              </w:rPr>
              <w:t>Estimated Cost in the first Year</w:t>
            </w:r>
          </w:p>
        </w:tc>
      </w:tr>
      <w:tr w:rsidR="004021E8" w14:paraId="463DF57D" w14:textId="77777777" w:rsidTr="003A09CD">
        <w:tc>
          <w:tcPr>
            <w:tcW w:w="3543" w:type="dxa"/>
            <w:shd w:val="clear" w:color="auto" w:fill="auto"/>
          </w:tcPr>
          <w:p w14:paraId="66B542BC" w14:textId="77777777" w:rsidR="004021E8" w:rsidRDefault="004021E8" w:rsidP="004021E8">
            <w:pPr>
              <w:spacing w:before="120"/>
            </w:pPr>
            <w:r>
              <w:t>Trust Deed</w:t>
            </w:r>
          </w:p>
        </w:tc>
        <w:tc>
          <w:tcPr>
            <w:tcW w:w="2268" w:type="dxa"/>
            <w:shd w:val="clear" w:color="auto" w:fill="auto"/>
          </w:tcPr>
          <w:p w14:paraId="52CE0FB8" w14:textId="2F6DE23E" w:rsidR="004021E8" w:rsidRDefault="004021E8" w:rsidP="004021E8">
            <w:pPr>
              <w:spacing w:before="120"/>
            </w:pPr>
            <w:r>
              <w:rPr>
                <w:color w:val="FF0000"/>
              </w:rPr>
              <w:t>$</w:t>
            </w:r>
            <w:r w:rsidRPr="005F763D">
              <w:rPr>
                <w:color w:val="FF0000"/>
              </w:rPr>
              <w:t>[___,___]</w:t>
            </w:r>
          </w:p>
        </w:tc>
      </w:tr>
      <w:tr w:rsidR="004021E8" w14:paraId="5D1F7D06" w14:textId="77777777" w:rsidTr="003A09CD">
        <w:tc>
          <w:tcPr>
            <w:tcW w:w="3543" w:type="dxa"/>
            <w:shd w:val="clear" w:color="auto" w:fill="auto"/>
          </w:tcPr>
          <w:p w14:paraId="51FF889D" w14:textId="77777777" w:rsidR="004021E8" w:rsidRDefault="004021E8" w:rsidP="004021E8">
            <w:pPr>
              <w:spacing w:before="120"/>
            </w:pPr>
            <w:r>
              <w:t>Accounting Fee</w:t>
            </w:r>
          </w:p>
        </w:tc>
        <w:tc>
          <w:tcPr>
            <w:tcW w:w="2268" w:type="dxa"/>
            <w:shd w:val="clear" w:color="auto" w:fill="auto"/>
          </w:tcPr>
          <w:p w14:paraId="5328BE75" w14:textId="258D43E9" w:rsidR="004021E8" w:rsidRDefault="004021E8" w:rsidP="004021E8">
            <w:pPr>
              <w:spacing w:before="120"/>
            </w:pPr>
            <w:r>
              <w:rPr>
                <w:color w:val="FF0000"/>
              </w:rPr>
              <w:t>$</w:t>
            </w:r>
            <w:r w:rsidRPr="005F763D">
              <w:rPr>
                <w:color w:val="FF0000"/>
              </w:rPr>
              <w:t>[___,___]</w:t>
            </w:r>
          </w:p>
        </w:tc>
      </w:tr>
      <w:tr w:rsidR="004021E8" w14:paraId="601D7D48" w14:textId="77777777" w:rsidTr="003A09CD">
        <w:tc>
          <w:tcPr>
            <w:tcW w:w="3543" w:type="dxa"/>
            <w:shd w:val="clear" w:color="auto" w:fill="auto"/>
          </w:tcPr>
          <w:p w14:paraId="1C0C25F3" w14:textId="77777777" w:rsidR="004021E8" w:rsidRDefault="004021E8" w:rsidP="004021E8">
            <w:pPr>
              <w:spacing w:before="120"/>
            </w:pPr>
            <w:r>
              <w:t>Auditor Fee</w:t>
            </w:r>
          </w:p>
        </w:tc>
        <w:tc>
          <w:tcPr>
            <w:tcW w:w="2268" w:type="dxa"/>
            <w:shd w:val="clear" w:color="auto" w:fill="auto"/>
          </w:tcPr>
          <w:p w14:paraId="19189BCB" w14:textId="3772FDE3" w:rsidR="004021E8" w:rsidRDefault="004021E8" w:rsidP="004021E8">
            <w:pPr>
              <w:spacing w:before="120"/>
            </w:pPr>
            <w:r>
              <w:rPr>
                <w:color w:val="FF0000"/>
              </w:rPr>
              <w:t>$</w:t>
            </w:r>
            <w:r w:rsidRPr="005F763D">
              <w:rPr>
                <w:color w:val="FF0000"/>
              </w:rPr>
              <w:t>[___,___]</w:t>
            </w:r>
          </w:p>
        </w:tc>
      </w:tr>
      <w:tr w:rsidR="004021E8" w14:paraId="50C2E378" w14:textId="77777777" w:rsidTr="003A09CD">
        <w:tc>
          <w:tcPr>
            <w:tcW w:w="3543" w:type="dxa"/>
            <w:shd w:val="clear" w:color="auto" w:fill="auto"/>
          </w:tcPr>
          <w:p w14:paraId="665C1862" w14:textId="77777777" w:rsidR="004021E8" w:rsidRDefault="004021E8" w:rsidP="004021E8">
            <w:pPr>
              <w:spacing w:before="120"/>
            </w:pPr>
            <w:r>
              <w:t>Fund Administrator Fee</w:t>
            </w:r>
          </w:p>
        </w:tc>
        <w:tc>
          <w:tcPr>
            <w:tcW w:w="2268" w:type="dxa"/>
            <w:shd w:val="clear" w:color="auto" w:fill="auto"/>
          </w:tcPr>
          <w:p w14:paraId="762050A6" w14:textId="5182C8CD" w:rsidR="004021E8" w:rsidRDefault="004021E8" w:rsidP="004021E8">
            <w:pPr>
              <w:spacing w:before="120"/>
            </w:pPr>
            <w:r>
              <w:rPr>
                <w:color w:val="FF0000"/>
              </w:rPr>
              <w:t>$</w:t>
            </w:r>
            <w:r w:rsidRPr="005F763D">
              <w:rPr>
                <w:color w:val="FF0000"/>
              </w:rPr>
              <w:t>[___,___]</w:t>
            </w:r>
          </w:p>
        </w:tc>
      </w:tr>
      <w:tr w:rsidR="004021E8" w14:paraId="396F64C0" w14:textId="77777777" w:rsidTr="003A09CD">
        <w:tc>
          <w:tcPr>
            <w:tcW w:w="3543" w:type="dxa"/>
            <w:shd w:val="clear" w:color="auto" w:fill="auto"/>
          </w:tcPr>
          <w:p w14:paraId="5F9D5379" w14:textId="77777777" w:rsidR="004021E8" w:rsidRDefault="004021E8" w:rsidP="004021E8">
            <w:pPr>
              <w:spacing w:before="120"/>
            </w:pPr>
            <w:r>
              <w:t>Financial Planning Fee</w:t>
            </w:r>
          </w:p>
        </w:tc>
        <w:tc>
          <w:tcPr>
            <w:tcW w:w="2268" w:type="dxa"/>
            <w:shd w:val="clear" w:color="auto" w:fill="auto"/>
          </w:tcPr>
          <w:p w14:paraId="319843D7" w14:textId="215E4A6C" w:rsidR="004021E8" w:rsidRDefault="004021E8" w:rsidP="004021E8">
            <w:pPr>
              <w:spacing w:before="120"/>
            </w:pPr>
            <w:r>
              <w:rPr>
                <w:color w:val="FF0000"/>
              </w:rPr>
              <w:t>$</w:t>
            </w:r>
            <w:r w:rsidRPr="005F763D">
              <w:rPr>
                <w:color w:val="FF0000"/>
              </w:rPr>
              <w:t>[___,___]</w:t>
            </w:r>
          </w:p>
        </w:tc>
      </w:tr>
      <w:tr w:rsidR="004021E8" w14:paraId="1E1BCCFA" w14:textId="77777777" w:rsidTr="003A09CD">
        <w:tc>
          <w:tcPr>
            <w:tcW w:w="3543" w:type="dxa"/>
            <w:shd w:val="clear" w:color="auto" w:fill="auto"/>
          </w:tcPr>
          <w:p w14:paraId="0178E4D5" w14:textId="77777777" w:rsidR="004021E8" w:rsidRDefault="004021E8" w:rsidP="004021E8">
            <w:pPr>
              <w:spacing w:before="120"/>
            </w:pPr>
            <w:r>
              <w:t>Legal Fees</w:t>
            </w:r>
          </w:p>
        </w:tc>
        <w:tc>
          <w:tcPr>
            <w:tcW w:w="2268" w:type="dxa"/>
            <w:shd w:val="clear" w:color="auto" w:fill="auto"/>
          </w:tcPr>
          <w:p w14:paraId="15EF7302" w14:textId="3959E4EE" w:rsidR="004021E8" w:rsidRDefault="004021E8" w:rsidP="004021E8">
            <w:pPr>
              <w:spacing w:before="120"/>
            </w:pPr>
            <w:r>
              <w:rPr>
                <w:color w:val="FF0000"/>
              </w:rPr>
              <w:t>$</w:t>
            </w:r>
            <w:r w:rsidRPr="005F763D">
              <w:rPr>
                <w:color w:val="FF0000"/>
              </w:rPr>
              <w:t>[___,___]</w:t>
            </w:r>
          </w:p>
        </w:tc>
      </w:tr>
      <w:tr w:rsidR="004021E8" w14:paraId="5D615D72" w14:textId="77777777" w:rsidTr="003A09CD">
        <w:tc>
          <w:tcPr>
            <w:tcW w:w="3543" w:type="dxa"/>
            <w:shd w:val="clear" w:color="auto" w:fill="auto"/>
          </w:tcPr>
          <w:p w14:paraId="2B93491C" w14:textId="77777777" w:rsidR="004021E8" w:rsidRDefault="004021E8" w:rsidP="004021E8">
            <w:pPr>
              <w:spacing w:before="120"/>
            </w:pPr>
            <w:r w:rsidRPr="002149F8">
              <w:rPr>
                <w:color w:val="7030A0"/>
                <w:highlight w:val="yellow"/>
              </w:rPr>
              <w:lastRenderedPageBreak/>
              <w:t>[Other]</w:t>
            </w:r>
            <w:r>
              <w:t xml:space="preserve"> Implementation Fee</w:t>
            </w:r>
          </w:p>
        </w:tc>
        <w:tc>
          <w:tcPr>
            <w:tcW w:w="2268" w:type="dxa"/>
            <w:shd w:val="clear" w:color="auto" w:fill="auto"/>
          </w:tcPr>
          <w:p w14:paraId="4C686E6E" w14:textId="48B0542E" w:rsidR="004021E8" w:rsidRDefault="004021E8" w:rsidP="004021E8">
            <w:pPr>
              <w:spacing w:before="120"/>
            </w:pPr>
            <w:r>
              <w:rPr>
                <w:color w:val="FF0000"/>
              </w:rPr>
              <w:t>$</w:t>
            </w:r>
            <w:r w:rsidRPr="005F763D">
              <w:rPr>
                <w:color w:val="FF0000"/>
              </w:rPr>
              <w:t>[___,___]</w:t>
            </w:r>
          </w:p>
        </w:tc>
      </w:tr>
      <w:tr w:rsidR="004021E8" w14:paraId="572A5FEB" w14:textId="77777777" w:rsidTr="003A09CD">
        <w:tc>
          <w:tcPr>
            <w:tcW w:w="3543" w:type="dxa"/>
            <w:shd w:val="clear" w:color="auto" w:fill="auto"/>
          </w:tcPr>
          <w:p w14:paraId="715A35EE" w14:textId="1F87F5BE" w:rsidR="004021E8" w:rsidRPr="002149F8" w:rsidRDefault="004021E8" w:rsidP="004021E8">
            <w:pPr>
              <w:spacing w:before="120"/>
              <w:rPr>
                <w:color w:val="7030A0"/>
                <w:highlight w:val="yellow"/>
              </w:rPr>
            </w:pPr>
            <w:r>
              <w:rPr>
                <w:color w:val="7030A0"/>
                <w:highlight w:val="yellow"/>
              </w:rPr>
              <w:t>[</w:t>
            </w:r>
            <w:proofErr w:type="gramStart"/>
            <w:r>
              <w:rPr>
                <w:color w:val="7030A0"/>
                <w:highlight w:val="yellow"/>
              </w:rPr>
              <w:t>Other</w:t>
            </w:r>
            <w:proofErr w:type="gramEnd"/>
            <w:r>
              <w:rPr>
                <w:color w:val="7030A0"/>
                <w:highlight w:val="yellow"/>
              </w:rPr>
              <w:t xml:space="preserve"> 3</w:t>
            </w:r>
            <w:r w:rsidRPr="0088492C">
              <w:rPr>
                <w:color w:val="7030A0"/>
                <w:highlight w:val="yellow"/>
              </w:rPr>
              <w:t>rd</w:t>
            </w:r>
            <w:r>
              <w:rPr>
                <w:color w:val="7030A0"/>
                <w:highlight w:val="yellow"/>
              </w:rPr>
              <w:t xml:space="preserve"> party Fee]</w:t>
            </w:r>
          </w:p>
        </w:tc>
        <w:tc>
          <w:tcPr>
            <w:tcW w:w="2268" w:type="dxa"/>
            <w:shd w:val="clear" w:color="auto" w:fill="auto"/>
          </w:tcPr>
          <w:p w14:paraId="2CD3DF4D" w14:textId="2F9A3AC2" w:rsidR="004021E8" w:rsidRDefault="004021E8" w:rsidP="004021E8">
            <w:pPr>
              <w:spacing w:before="120"/>
            </w:pPr>
            <w:r>
              <w:rPr>
                <w:color w:val="FF0000"/>
              </w:rPr>
              <w:t>$</w:t>
            </w:r>
            <w:r w:rsidRPr="005F763D">
              <w:rPr>
                <w:color w:val="FF0000"/>
              </w:rPr>
              <w:t>[___,___]</w:t>
            </w:r>
          </w:p>
        </w:tc>
      </w:tr>
      <w:tr w:rsidR="004021E8" w14:paraId="4219DB60" w14:textId="77777777" w:rsidTr="003A09CD">
        <w:tc>
          <w:tcPr>
            <w:tcW w:w="3543" w:type="dxa"/>
            <w:shd w:val="clear" w:color="auto" w:fill="auto"/>
          </w:tcPr>
          <w:p w14:paraId="7B4ABAB9" w14:textId="77777777" w:rsidR="004021E8" w:rsidRPr="0088114A" w:rsidRDefault="004021E8" w:rsidP="004021E8">
            <w:pPr>
              <w:spacing w:before="120"/>
              <w:jc w:val="right"/>
              <w:rPr>
                <w:b/>
                <w:sz w:val="24"/>
              </w:rPr>
            </w:pPr>
            <w:r w:rsidRPr="0088114A">
              <w:rPr>
                <w:b/>
                <w:sz w:val="24"/>
              </w:rPr>
              <w:t>$</w:t>
            </w:r>
          </w:p>
        </w:tc>
        <w:tc>
          <w:tcPr>
            <w:tcW w:w="2268" w:type="dxa"/>
            <w:shd w:val="clear" w:color="auto" w:fill="auto"/>
          </w:tcPr>
          <w:p w14:paraId="7CEA4304" w14:textId="4ACCFA58" w:rsidR="004021E8" w:rsidRPr="001B4ECE" w:rsidRDefault="004021E8" w:rsidP="004021E8">
            <w:pPr>
              <w:spacing w:before="120"/>
              <w:rPr>
                <w:b/>
                <w:bCs/>
              </w:rPr>
            </w:pPr>
            <w:r w:rsidRPr="001B4ECE">
              <w:rPr>
                <w:b/>
                <w:bCs/>
                <w:color w:val="FF0000"/>
              </w:rPr>
              <w:t>$[___,___]</w:t>
            </w:r>
          </w:p>
        </w:tc>
      </w:tr>
    </w:tbl>
    <w:p w14:paraId="7501D381" w14:textId="77777777" w:rsidR="00B149FC" w:rsidRPr="003313C5" w:rsidRDefault="00B149FC">
      <w:pPr>
        <w:pStyle w:val="InterPracBullet"/>
        <w:rPr>
          <w:highlight w:val="yellow"/>
        </w:rPr>
      </w:pPr>
    </w:p>
    <w:p w14:paraId="621BEFB3" w14:textId="77777777" w:rsidR="00B149FC" w:rsidRDefault="00B149FC" w:rsidP="00B149FC">
      <w:pPr>
        <w:rPr>
          <w:rFonts w:eastAsia="SimSun"/>
          <w:b/>
          <w:color w:val="auto"/>
          <w:szCs w:val="22"/>
          <w:highlight w:val="cyan"/>
          <w:lang w:val="x-none" w:eastAsia="x-none"/>
        </w:rPr>
      </w:pPr>
    </w:p>
    <w:p w14:paraId="59388301" w14:textId="77777777" w:rsidR="00B149FC" w:rsidRPr="00394AA6" w:rsidRDefault="00B149FC">
      <w:pPr>
        <w:pStyle w:val="InterPracBullet"/>
      </w:pPr>
      <w:r w:rsidRPr="00394AA6">
        <w:t xml:space="preserve">Single Member </w:t>
      </w:r>
      <w:commentRangeStart w:id="42"/>
      <w:r w:rsidRPr="00394AA6">
        <w:t>Fund</w:t>
      </w:r>
      <w:commentRangeEnd w:id="42"/>
      <w:r w:rsidR="005A76FB">
        <w:rPr>
          <w:rStyle w:val="CommentReference"/>
          <w:rFonts w:eastAsia="MS Mincho"/>
          <w:lang w:val="en-AU" w:eastAsia="ja-JP"/>
        </w:rPr>
        <w:commentReference w:id="42"/>
      </w:r>
    </w:p>
    <w:p w14:paraId="68069241" w14:textId="77777777" w:rsidR="00B149FC" w:rsidRDefault="00B149FC" w:rsidP="00B149FC">
      <w:pPr>
        <w:spacing w:before="120"/>
      </w:pPr>
      <w:r w:rsidRPr="00EC25EC">
        <w:t xml:space="preserve">As your </w:t>
      </w:r>
      <w:r>
        <w:t>SMSF</w:t>
      </w:r>
      <w:r w:rsidRPr="00EC25EC">
        <w:t xml:space="preserve"> will be a single member fund (for the intended term of the fund) you are required to have either a corporate trustee (where you can be the sole director or one of two directors as long as the second director is not your employee) or two individual trustees (where the second trustee is not your employee), to benefit from the tax concessions ava</w:t>
      </w:r>
      <w:r>
        <w:t>ilable to superannuation funds.</w:t>
      </w:r>
    </w:p>
    <w:p w14:paraId="5F25C019" w14:textId="77777777" w:rsidR="00B149FC" w:rsidRDefault="00B149FC" w:rsidP="00B149FC">
      <w:pPr>
        <w:spacing w:before="120"/>
      </w:pPr>
      <w:r>
        <w:t xml:space="preserve">Although </w:t>
      </w:r>
      <w:r w:rsidRPr="002149F8">
        <w:rPr>
          <w:color w:val="7030A0"/>
          <w:highlight w:val="yellow"/>
        </w:rPr>
        <w:t>[another non-</w:t>
      </w:r>
      <w:r>
        <w:rPr>
          <w:color w:val="7030A0"/>
          <w:highlight w:val="yellow"/>
        </w:rPr>
        <w:t>member</w:t>
      </w:r>
      <w:r w:rsidRPr="002149F8">
        <w:rPr>
          <w:color w:val="7030A0"/>
          <w:highlight w:val="yellow"/>
        </w:rPr>
        <w:t>]</w:t>
      </w:r>
      <w:r>
        <w:t xml:space="preserve"> is not a member of your SMSF </w:t>
      </w:r>
      <w:r w:rsidRPr="002149F8">
        <w:rPr>
          <w:color w:val="7030A0"/>
          <w:highlight w:val="yellow"/>
        </w:rPr>
        <w:t>[he][she]</w:t>
      </w:r>
      <w:r>
        <w:t xml:space="preserve"> is permitted to be a trustee as you are the only member of your SMSF.</w:t>
      </w:r>
    </w:p>
    <w:p w14:paraId="46475BEB" w14:textId="77777777" w:rsidR="00B149FC" w:rsidRDefault="00B149FC" w:rsidP="00B149FC">
      <w:pPr>
        <w:spacing w:before="120"/>
      </w:pPr>
    </w:p>
    <w:p w14:paraId="5F9425CC" w14:textId="77777777" w:rsidR="00B149FC" w:rsidRPr="00394AA6" w:rsidRDefault="00B149FC">
      <w:pPr>
        <w:pStyle w:val="InterPracBullet"/>
      </w:pPr>
      <w:r w:rsidRPr="00394AA6">
        <w:t xml:space="preserve">Multiple Member </w:t>
      </w:r>
      <w:commentRangeStart w:id="43"/>
      <w:r w:rsidRPr="00394AA6">
        <w:t>Fund</w:t>
      </w:r>
      <w:commentRangeEnd w:id="43"/>
      <w:r w:rsidR="005A76FB">
        <w:rPr>
          <w:rStyle w:val="CommentReference"/>
          <w:rFonts w:eastAsia="MS Mincho"/>
          <w:lang w:val="en-AU" w:eastAsia="ja-JP"/>
        </w:rPr>
        <w:commentReference w:id="43"/>
      </w:r>
    </w:p>
    <w:p w14:paraId="517AE052" w14:textId="77777777" w:rsidR="00B149FC" w:rsidRDefault="00B149FC" w:rsidP="00B149FC">
      <w:pPr>
        <w:spacing w:before="120"/>
      </w:pPr>
      <w:r>
        <w:t>Typically, all Trustees are Members and vice versa.</w:t>
      </w:r>
    </w:p>
    <w:p w14:paraId="71FC8220" w14:textId="77777777" w:rsidR="00B149FC" w:rsidRDefault="00B149FC" w:rsidP="00B149FC">
      <w:pPr>
        <w:spacing w:before="120"/>
      </w:pPr>
      <w:r>
        <w:t>Exceptions can occur when a Member loses legal capacity and an Attorney or Guardian will act for them. In that case, the Trust Deed should be checked that it empowers these non-members to assume Trustee powers.</w:t>
      </w:r>
    </w:p>
    <w:p w14:paraId="7F190BBE" w14:textId="77777777" w:rsidR="00B149FC" w:rsidRDefault="00B149FC" w:rsidP="00B149FC">
      <w:pPr>
        <w:spacing w:before="120"/>
      </w:pPr>
      <w:r>
        <w:t>The rules governing who may be members and trustees are complex.</w:t>
      </w:r>
    </w:p>
    <w:p w14:paraId="7EE47D9E" w14:textId="77777777" w:rsidR="00B149FC" w:rsidRPr="002149F8" w:rsidRDefault="00B149FC" w:rsidP="00B149FC">
      <w:pPr>
        <w:spacing w:before="120"/>
        <w:rPr>
          <w:color w:val="7030A0"/>
          <w:highlight w:val="yellow"/>
        </w:rPr>
      </w:pPr>
      <w:r w:rsidRPr="002149F8">
        <w:rPr>
          <w:color w:val="7030A0"/>
          <w:highlight w:val="yellow"/>
        </w:rPr>
        <w:t>[As relevant, further add to this section in the case of potential disqualified persons, employer/employee relationship.]</w:t>
      </w:r>
    </w:p>
    <w:p w14:paraId="1EB41182" w14:textId="77777777" w:rsidR="00B149FC" w:rsidRPr="002149F8" w:rsidRDefault="00B149FC" w:rsidP="00B149FC">
      <w:pPr>
        <w:spacing w:before="120"/>
      </w:pPr>
      <w:r w:rsidRPr="002149F8">
        <w:t>On the death of a member, the fund may revert to a single me</w:t>
      </w:r>
      <w:r>
        <w:t>mber</w:t>
      </w:r>
      <w:r w:rsidRPr="002149F8">
        <w:t xml:space="preserve"> fund.</w:t>
      </w:r>
      <w:r>
        <w:t xml:space="preserve"> If that is the case, the fund will need to be restructured to allow for another member or non-member Trustee. There is a six-month window to accommodate this requirement and the Trust Deed must have provision to empower an incoming Trustee. </w:t>
      </w:r>
    </w:p>
    <w:p w14:paraId="7D106C7C" w14:textId="77777777" w:rsidR="00B149FC" w:rsidRDefault="00B149FC" w:rsidP="00B149FC">
      <w:pPr>
        <w:spacing w:before="120"/>
        <w:rPr>
          <w:color w:val="002060"/>
          <w:sz w:val="24"/>
        </w:rPr>
      </w:pPr>
    </w:p>
    <w:p w14:paraId="7A1EBD17" w14:textId="77777777" w:rsidR="00B149FC" w:rsidRPr="00F96C0A" w:rsidRDefault="00B149FC" w:rsidP="00B149FC">
      <w:pPr>
        <w:spacing w:before="120"/>
        <w:rPr>
          <w:color w:val="002060"/>
          <w:sz w:val="24"/>
        </w:rPr>
      </w:pPr>
      <w:r>
        <w:rPr>
          <w:color w:val="002060"/>
          <w:sz w:val="24"/>
        </w:rPr>
        <w:t xml:space="preserve">Corporate </w:t>
      </w:r>
      <w:commentRangeStart w:id="44"/>
      <w:r>
        <w:rPr>
          <w:color w:val="002060"/>
          <w:sz w:val="24"/>
        </w:rPr>
        <w:t>Trustee</w:t>
      </w:r>
      <w:commentRangeEnd w:id="44"/>
      <w:r w:rsidR="00B97F27">
        <w:rPr>
          <w:rStyle w:val="CommentReference"/>
          <w:color w:val="auto"/>
          <w:lang w:eastAsia="ja-JP"/>
        </w:rPr>
        <w:commentReference w:id="44"/>
      </w:r>
    </w:p>
    <w:p w14:paraId="084918DD" w14:textId="77777777" w:rsidR="00B149FC" w:rsidRDefault="00B149FC" w:rsidP="00B149FC">
      <w:pPr>
        <w:spacing w:before="120"/>
      </w:pPr>
      <w:r>
        <w:t>We believe that using a corporate trustee for your SMSF supports your objectives for the following reasons:</w:t>
      </w:r>
    </w:p>
    <w:p w14:paraId="774B9359" w14:textId="5FE1D845" w:rsidR="00B149FC" w:rsidRPr="003313C5" w:rsidRDefault="00B149FC" w:rsidP="00B149FC">
      <w:pPr>
        <w:rPr>
          <w:rFonts w:eastAsia="SimSun"/>
          <w:b/>
          <w:color w:val="auto"/>
          <w:szCs w:val="22"/>
          <w:highlight w:val="cyan"/>
          <w:lang w:val="x-none" w:eastAsia="x-none"/>
        </w:rPr>
      </w:pPr>
    </w:p>
    <w:p w14:paraId="2960BEF6" w14:textId="012FB1CB" w:rsidR="00B149FC" w:rsidRPr="00E11BDB" w:rsidRDefault="00B149FC">
      <w:pPr>
        <w:pStyle w:val="InterPracBullet"/>
        <w:numPr>
          <w:ilvl w:val="0"/>
          <w:numId w:val="133"/>
        </w:numPr>
      </w:pPr>
      <w:r w:rsidRPr="00E11BDB">
        <w:t>Using a corporate trustee ensures you have a clear separation of SMSF assets and your personal assets.  This division may also enhance protection in the event of a member’s bankruptcy.</w:t>
      </w:r>
    </w:p>
    <w:p w14:paraId="7F8AA021" w14:textId="11E34A9E" w:rsidR="00B149FC" w:rsidRPr="00E11BDB" w:rsidRDefault="00B149FC">
      <w:pPr>
        <w:pStyle w:val="InterPracBullet"/>
        <w:numPr>
          <w:ilvl w:val="0"/>
          <w:numId w:val="133"/>
        </w:numPr>
      </w:pPr>
      <w:r w:rsidRPr="00E11BDB">
        <w:t>Using a corporate trustee ensures continuous succession.  A company has an indefinite life span; in other words, it cannot die.  Therefore, a corporate trustee can make control of a SMSF more certain in the circumstances of the death or incapacity of a member.</w:t>
      </w:r>
    </w:p>
    <w:p w14:paraId="042E1E1C" w14:textId="6F3BF045" w:rsidR="00B149FC" w:rsidRPr="00E11BDB" w:rsidRDefault="00B149FC">
      <w:pPr>
        <w:pStyle w:val="InterPracBullet"/>
        <w:numPr>
          <w:ilvl w:val="0"/>
          <w:numId w:val="133"/>
        </w:numPr>
      </w:pPr>
      <w:r w:rsidRPr="00E11BDB">
        <w:t>A corporate trustee provides administrative efficiency. When members are admitted to, or cease membership of the SMSF, all that is required is that the person becomes, or ceases to be a director of the corporate trustee.  The corporate trustee does not change as a result.  Therefore, title to all the assets of the SMSF remains in the name of the corporate trustee.</w:t>
      </w:r>
    </w:p>
    <w:p w14:paraId="7845BF0E" w14:textId="0D5CAF08" w:rsidR="00B149FC" w:rsidRPr="00E11BDB" w:rsidRDefault="00B149FC">
      <w:pPr>
        <w:pStyle w:val="InterPracBullet"/>
        <w:numPr>
          <w:ilvl w:val="0"/>
          <w:numId w:val="133"/>
        </w:numPr>
      </w:pPr>
      <w:r w:rsidRPr="00E11BDB">
        <w:t>Using a corporate trustee provides greater asset protection:  As companies are subject to limited liability, a corporate trustee will provide greater protection where a party sues the trustee for damages.</w:t>
      </w:r>
    </w:p>
    <w:p w14:paraId="26BF86B5" w14:textId="7947AD29" w:rsidR="00B149FC" w:rsidRPr="00E11BDB" w:rsidRDefault="00B149FC">
      <w:pPr>
        <w:pStyle w:val="InterPracBullet"/>
        <w:numPr>
          <w:ilvl w:val="0"/>
          <w:numId w:val="133"/>
        </w:numPr>
      </w:pPr>
      <w:r w:rsidRPr="00E11BDB">
        <w:t>A corporate trustee ensures greater flexibility for estate planning purposes, as the trustee does not change as a result of the death of a member.</w:t>
      </w:r>
    </w:p>
    <w:p w14:paraId="1C9F82BB" w14:textId="7F85B69F" w:rsidR="00B149FC" w:rsidRPr="00E11BDB" w:rsidRDefault="00B149FC">
      <w:pPr>
        <w:pStyle w:val="InterPracBullet"/>
        <w:numPr>
          <w:ilvl w:val="0"/>
          <w:numId w:val="133"/>
        </w:numPr>
      </w:pPr>
      <w:r w:rsidRPr="00E11BDB">
        <w:t>The trustee structure will not need to be amended in the event of the death or departure of a member resulting in the fund being a single member fund.</w:t>
      </w:r>
    </w:p>
    <w:p w14:paraId="2E670385" w14:textId="77777777" w:rsidR="00B149FC" w:rsidRDefault="00B149FC" w:rsidP="00B149FC">
      <w:pPr>
        <w:pStyle w:val="Table2-Left"/>
      </w:pPr>
    </w:p>
    <w:p w14:paraId="40FED903" w14:textId="77777777" w:rsidR="00B149FC" w:rsidRDefault="00B149FC" w:rsidP="00B149FC">
      <w:pPr>
        <w:spacing w:before="120"/>
      </w:pPr>
      <w:r w:rsidRPr="0048432F">
        <w:t>Before proceeding you should note the following:</w:t>
      </w:r>
    </w:p>
    <w:p w14:paraId="7CFC603E" w14:textId="0F8F0A72" w:rsidR="00B149FC" w:rsidRPr="00E11BDB" w:rsidRDefault="00DB67CD">
      <w:pPr>
        <w:pStyle w:val="InterPracBullet"/>
        <w:numPr>
          <w:ilvl w:val="0"/>
          <w:numId w:val="83"/>
        </w:numPr>
      </w:pPr>
      <w:r w:rsidRPr="00E11BDB" w:rsidDel="00DB67CD">
        <w:rPr>
          <w:b/>
        </w:rPr>
        <w:t xml:space="preserve"> </w:t>
      </w:r>
      <w:r w:rsidR="00B149FC" w:rsidRPr="00E11BDB">
        <w:t>Trustees need to keep very clear documentation to show that SMSF investments are held by the company in its capacity as Trustee of your SMSF.</w:t>
      </w:r>
    </w:p>
    <w:p w14:paraId="790526C0" w14:textId="27D4A4D7" w:rsidR="00B149FC" w:rsidRPr="00C127CF" w:rsidRDefault="00B149FC">
      <w:pPr>
        <w:pStyle w:val="InterPracBullet"/>
        <w:numPr>
          <w:ilvl w:val="0"/>
          <w:numId w:val="83"/>
        </w:numPr>
      </w:pPr>
      <w:r w:rsidRPr="00E11BDB">
        <w:lastRenderedPageBreak/>
        <w:t xml:space="preserve">In the event of fund being subject to legislated penalties, the corporate Trustee is only liable once even if there are multiple Directors.  </w:t>
      </w:r>
    </w:p>
    <w:p w14:paraId="55AC9A3F" w14:textId="45D4F7FD" w:rsidR="00B149FC" w:rsidRPr="00C127CF" w:rsidRDefault="00B149FC">
      <w:pPr>
        <w:pStyle w:val="InterPracBullet"/>
        <w:numPr>
          <w:ilvl w:val="0"/>
          <w:numId w:val="83"/>
        </w:numPr>
      </w:pPr>
      <w:r w:rsidRPr="00C127CF">
        <w:t>It is safest to have a company designated to act as trustee that undertakes no business activity and doesn’t act as Trustee for other entities.</w:t>
      </w:r>
    </w:p>
    <w:p w14:paraId="59A63E86" w14:textId="5D3FDBDE" w:rsidR="00B149FC" w:rsidRPr="00C127CF" w:rsidRDefault="00B149FC">
      <w:pPr>
        <w:pStyle w:val="InterPracBullet"/>
        <w:numPr>
          <w:ilvl w:val="0"/>
          <w:numId w:val="83"/>
        </w:numPr>
      </w:pPr>
      <w:r w:rsidRPr="00C127CF">
        <w:t>The trustee company pays an annual discounted fee to ASIC.</w:t>
      </w:r>
    </w:p>
    <w:p w14:paraId="59B97A23" w14:textId="77777777" w:rsidR="00B149FC" w:rsidRDefault="00B149FC">
      <w:pPr>
        <w:pStyle w:val="InterPracBullet"/>
      </w:pPr>
    </w:p>
    <w:p w14:paraId="0A53401A" w14:textId="77777777" w:rsidR="00B149FC" w:rsidRPr="00702AF6" w:rsidRDefault="00B149FC">
      <w:pPr>
        <w:pStyle w:val="InterPracBullet"/>
      </w:pPr>
      <w:r w:rsidRPr="00702AF6">
        <w:t xml:space="preserve">Single Member </w:t>
      </w:r>
      <w:commentRangeStart w:id="45"/>
      <w:r w:rsidRPr="00702AF6">
        <w:t>Fund</w:t>
      </w:r>
      <w:commentRangeEnd w:id="45"/>
      <w:r w:rsidR="00C04C3C">
        <w:rPr>
          <w:rStyle w:val="CommentReference"/>
          <w:rFonts w:eastAsia="MS Mincho"/>
          <w:lang w:val="en-AU" w:eastAsia="ja-JP"/>
        </w:rPr>
        <w:commentReference w:id="45"/>
      </w:r>
      <w:r w:rsidRPr="00702AF6">
        <w:t xml:space="preserve"> </w:t>
      </w:r>
    </w:p>
    <w:p w14:paraId="36CEE968" w14:textId="77777777" w:rsidR="00B149FC" w:rsidRDefault="00B149FC" w:rsidP="00B149FC">
      <w:pPr>
        <w:spacing w:before="120"/>
      </w:pPr>
      <w:r w:rsidRPr="00EC25EC">
        <w:t xml:space="preserve">As your </w:t>
      </w:r>
      <w:r>
        <w:t>SMSF</w:t>
      </w:r>
      <w:r w:rsidRPr="00EC25EC">
        <w:t xml:space="preserve"> will be a single member fund (for the intended term of the fund) you are required to have either a corporate trustee (where you can be the sole director or one of two directors as long as the second director is not your employee) or two individual trustees (where the second trustee is not your </w:t>
      </w:r>
      <w:r>
        <w:t xml:space="preserve">unrelated </w:t>
      </w:r>
      <w:r w:rsidRPr="00EC25EC">
        <w:t>employee), to benefit from the tax concessions available to superannuation funds.</w:t>
      </w:r>
    </w:p>
    <w:p w14:paraId="3ADD0AF5" w14:textId="31E36FA2" w:rsidR="00B149FC" w:rsidRPr="00E11BDB" w:rsidRDefault="00B149FC" w:rsidP="00C127CF">
      <w:pPr>
        <w:pStyle w:val="Normal5ptBefore"/>
        <w:numPr>
          <w:ilvl w:val="0"/>
          <w:numId w:val="131"/>
        </w:numPr>
        <w:ind w:left="709" w:hanging="283"/>
      </w:pPr>
      <w:r w:rsidRPr="00E11BDB">
        <w:t xml:space="preserve">Using a corporate trustee provides advantages for </w:t>
      </w:r>
      <w:r w:rsidR="00687FB3" w:rsidRPr="00E11BDB">
        <w:t>s</w:t>
      </w:r>
      <w:r w:rsidRPr="00E11BDB">
        <w:t xml:space="preserve">ole </w:t>
      </w:r>
      <w:r w:rsidR="00687FB3" w:rsidRPr="00E11BDB">
        <w:t>m</w:t>
      </w:r>
      <w:r w:rsidRPr="00E11BDB">
        <w:t>ember SMSFs.  You can have a SMSF where one individual is both the sole member and the sole director.</w:t>
      </w:r>
    </w:p>
    <w:p w14:paraId="4CFA1A1E" w14:textId="5E95EE3B" w:rsidR="00B149FC" w:rsidRPr="00E11BDB" w:rsidRDefault="00B149FC" w:rsidP="00C127CF">
      <w:pPr>
        <w:pStyle w:val="Normal5ptBefore"/>
        <w:numPr>
          <w:ilvl w:val="0"/>
          <w:numId w:val="131"/>
        </w:numPr>
        <w:ind w:left="709" w:hanging="283"/>
      </w:pPr>
      <w:r w:rsidRPr="00E11BDB">
        <w:t>You can be a single member and a sole director of a corporate trustee to maintain complete control over your retirement savings.</w:t>
      </w:r>
    </w:p>
    <w:p w14:paraId="31C8C4D2" w14:textId="347DCE22" w:rsidR="00B149FC" w:rsidRPr="00E11BDB" w:rsidRDefault="00B149FC" w:rsidP="00C127CF">
      <w:pPr>
        <w:pStyle w:val="Normal5ptBefore"/>
        <w:numPr>
          <w:ilvl w:val="0"/>
          <w:numId w:val="131"/>
        </w:numPr>
        <w:ind w:left="709" w:hanging="283"/>
      </w:pPr>
      <w:r w:rsidRPr="00E11BDB">
        <w:t>In the event that it is desirable that another person joint the fund at a future date then the ownership of fund assets does not have to be legally altered.</w:t>
      </w:r>
    </w:p>
    <w:p w14:paraId="1EB7196D" w14:textId="0B57105E" w:rsidR="00B149FC" w:rsidRDefault="00B149FC" w:rsidP="00B149FC">
      <w:pPr>
        <w:spacing w:before="120"/>
        <w:rPr>
          <w:color w:val="7030A0"/>
          <w:highlight w:val="yellow"/>
        </w:rPr>
      </w:pPr>
      <w:r w:rsidRPr="0048432F">
        <w:t xml:space="preserve">Before proceeding you should note </w:t>
      </w:r>
      <w:r w:rsidR="009A3ADF">
        <w:rPr>
          <w:color w:val="7030A0"/>
          <w:highlight w:val="yellow"/>
        </w:rPr>
        <w:t>a</w:t>
      </w:r>
      <w:r w:rsidRPr="002149F8">
        <w:rPr>
          <w:color w:val="7030A0"/>
          <w:highlight w:val="yellow"/>
        </w:rPr>
        <w:t>dditional costs are incurred by using a corporate trustee due to set up and ongoing administration costs of the company.</w:t>
      </w:r>
      <w:r>
        <w:rPr>
          <w:color w:val="7030A0"/>
          <w:highlight w:val="yellow"/>
        </w:rPr>
        <w:t>]</w:t>
      </w:r>
      <w:r w:rsidRPr="002149F8">
        <w:rPr>
          <w:color w:val="7030A0"/>
          <w:highlight w:val="yellow"/>
        </w:rPr>
        <w:t xml:space="preserve">  </w:t>
      </w:r>
    </w:p>
    <w:p w14:paraId="261BA2D8" w14:textId="77777777" w:rsidR="009A3ADF" w:rsidRDefault="009A3ADF" w:rsidP="00B149FC">
      <w:pPr>
        <w:spacing w:before="120"/>
        <w:rPr>
          <w:color w:val="7030A0"/>
          <w:highlight w:val="yellow"/>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268"/>
      </w:tblGrid>
      <w:tr w:rsidR="00B149FC" w:rsidRPr="00E87AAA" w14:paraId="288AB8FC" w14:textId="77777777" w:rsidTr="003A09CD">
        <w:tc>
          <w:tcPr>
            <w:tcW w:w="3543" w:type="dxa"/>
            <w:shd w:val="clear" w:color="auto" w:fill="D0CECE"/>
          </w:tcPr>
          <w:p w14:paraId="71572796" w14:textId="77777777" w:rsidR="00B149FC" w:rsidRPr="00E87AAA" w:rsidRDefault="00B149FC" w:rsidP="003A09CD">
            <w:pPr>
              <w:spacing w:before="120"/>
              <w:rPr>
                <w:b/>
              </w:rPr>
            </w:pPr>
            <w:commentRangeStart w:id="46"/>
            <w:r w:rsidRPr="00E87AAA">
              <w:rPr>
                <w:b/>
              </w:rPr>
              <w:t>Description</w:t>
            </w:r>
            <w:commentRangeEnd w:id="46"/>
            <w:r w:rsidR="00BA74DB">
              <w:rPr>
                <w:rStyle w:val="CommentReference"/>
                <w:color w:val="auto"/>
                <w:lang w:eastAsia="ja-JP"/>
              </w:rPr>
              <w:commentReference w:id="46"/>
            </w:r>
          </w:p>
        </w:tc>
        <w:tc>
          <w:tcPr>
            <w:tcW w:w="2268" w:type="dxa"/>
            <w:shd w:val="clear" w:color="auto" w:fill="D0CECE"/>
          </w:tcPr>
          <w:p w14:paraId="3796A027" w14:textId="77777777" w:rsidR="00B149FC" w:rsidRPr="00E87AAA" w:rsidRDefault="00B149FC" w:rsidP="003A09CD">
            <w:pPr>
              <w:spacing w:before="120"/>
              <w:jc w:val="center"/>
              <w:rPr>
                <w:b/>
              </w:rPr>
            </w:pPr>
            <w:r w:rsidRPr="00E87AAA">
              <w:rPr>
                <w:b/>
              </w:rPr>
              <w:t>Estimated Cost in the first Year</w:t>
            </w:r>
          </w:p>
        </w:tc>
      </w:tr>
      <w:tr w:rsidR="00B149FC" w14:paraId="770A41FD" w14:textId="77777777" w:rsidTr="003A09CD">
        <w:tc>
          <w:tcPr>
            <w:tcW w:w="3543" w:type="dxa"/>
            <w:shd w:val="clear" w:color="auto" w:fill="auto"/>
          </w:tcPr>
          <w:p w14:paraId="6CE75397" w14:textId="77777777" w:rsidR="00B149FC" w:rsidRDefault="00B149FC" w:rsidP="003A09CD">
            <w:pPr>
              <w:spacing w:before="120"/>
            </w:pPr>
            <w:r>
              <w:t>Trust Deed</w:t>
            </w:r>
          </w:p>
        </w:tc>
        <w:tc>
          <w:tcPr>
            <w:tcW w:w="2268" w:type="dxa"/>
            <w:shd w:val="clear" w:color="auto" w:fill="auto"/>
          </w:tcPr>
          <w:p w14:paraId="017EC2F8" w14:textId="4992D537" w:rsidR="00B149FC" w:rsidRDefault="004021E8" w:rsidP="003A09CD">
            <w:pPr>
              <w:spacing w:before="120"/>
            </w:pPr>
            <w:r>
              <w:rPr>
                <w:color w:val="FF0000"/>
              </w:rPr>
              <w:t>$</w:t>
            </w:r>
            <w:r w:rsidRPr="005F763D">
              <w:rPr>
                <w:color w:val="FF0000"/>
              </w:rPr>
              <w:t>[___,___]</w:t>
            </w:r>
          </w:p>
        </w:tc>
      </w:tr>
      <w:tr w:rsidR="00B149FC" w14:paraId="0F017324" w14:textId="77777777" w:rsidTr="003A09CD">
        <w:tc>
          <w:tcPr>
            <w:tcW w:w="3543" w:type="dxa"/>
            <w:shd w:val="clear" w:color="auto" w:fill="auto"/>
          </w:tcPr>
          <w:p w14:paraId="5F9272F5" w14:textId="77777777" w:rsidR="00B149FC" w:rsidRDefault="00B149FC" w:rsidP="003A09CD">
            <w:pPr>
              <w:spacing w:before="120"/>
            </w:pPr>
            <w:r>
              <w:t>ASIC Fee</w:t>
            </w:r>
          </w:p>
        </w:tc>
        <w:tc>
          <w:tcPr>
            <w:tcW w:w="2268" w:type="dxa"/>
            <w:shd w:val="clear" w:color="auto" w:fill="auto"/>
          </w:tcPr>
          <w:p w14:paraId="1051038A" w14:textId="77E2FD0A" w:rsidR="00B149FC" w:rsidRDefault="004021E8" w:rsidP="003A09CD">
            <w:pPr>
              <w:spacing w:before="120"/>
            </w:pPr>
            <w:r>
              <w:rPr>
                <w:color w:val="FF0000"/>
              </w:rPr>
              <w:t>$</w:t>
            </w:r>
            <w:r w:rsidRPr="005F763D">
              <w:rPr>
                <w:color w:val="FF0000"/>
              </w:rPr>
              <w:t>[___,___]</w:t>
            </w:r>
          </w:p>
        </w:tc>
      </w:tr>
      <w:tr w:rsidR="00B149FC" w14:paraId="0F3F97D9" w14:textId="77777777" w:rsidTr="003A09CD">
        <w:tc>
          <w:tcPr>
            <w:tcW w:w="3543" w:type="dxa"/>
            <w:shd w:val="clear" w:color="auto" w:fill="auto"/>
          </w:tcPr>
          <w:p w14:paraId="45AAF3C9" w14:textId="77777777" w:rsidR="00B149FC" w:rsidRDefault="00B149FC" w:rsidP="003A09CD">
            <w:pPr>
              <w:spacing w:before="120"/>
            </w:pPr>
            <w:r>
              <w:t>Accounting Fee</w:t>
            </w:r>
          </w:p>
        </w:tc>
        <w:tc>
          <w:tcPr>
            <w:tcW w:w="2268" w:type="dxa"/>
            <w:shd w:val="clear" w:color="auto" w:fill="auto"/>
          </w:tcPr>
          <w:p w14:paraId="4A573957" w14:textId="5A125B92" w:rsidR="00B149FC" w:rsidRDefault="004021E8" w:rsidP="003A09CD">
            <w:pPr>
              <w:spacing w:before="120"/>
            </w:pPr>
            <w:r>
              <w:rPr>
                <w:color w:val="FF0000"/>
              </w:rPr>
              <w:t>$</w:t>
            </w:r>
            <w:r w:rsidRPr="005F763D">
              <w:rPr>
                <w:color w:val="FF0000"/>
              </w:rPr>
              <w:t>[___,___]</w:t>
            </w:r>
          </w:p>
        </w:tc>
      </w:tr>
      <w:tr w:rsidR="00B149FC" w14:paraId="3517C435" w14:textId="77777777" w:rsidTr="003A09CD">
        <w:tc>
          <w:tcPr>
            <w:tcW w:w="3543" w:type="dxa"/>
            <w:shd w:val="clear" w:color="auto" w:fill="auto"/>
          </w:tcPr>
          <w:p w14:paraId="15B12020" w14:textId="77777777" w:rsidR="00B149FC" w:rsidRDefault="00B149FC" w:rsidP="003A09CD">
            <w:pPr>
              <w:spacing w:before="120"/>
            </w:pPr>
            <w:r>
              <w:t>Auditor Fee</w:t>
            </w:r>
          </w:p>
        </w:tc>
        <w:tc>
          <w:tcPr>
            <w:tcW w:w="2268" w:type="dxa"/>
            <w:shd w:val="clear" w:color="auto" w:fill="auto"/>
          </w:tcPr>
          <w:p w14:paraId="472A1942" w14:textId="0D4FE275" w:rsidR="00B149FC" w:rsidRDefault="004021E8" w:rsidP="003A09CD">
            <w:pPr>
              <w:spacing w:before="120"/>
            </w:pPr>
            <w:r>
              <w:rPr>
                <w:color w:val="FF0000"/>
              </w:rPr>
              <w:t>$</w:t>
            </w:r>
            <w:r w:rsidRPr="005F763D">
              <w:rPr>
                <w:color w:val="FF0000"/>
              </w:rPr>
              <w:t>[___,___]</w:t>
            </w:r>
          </w:p>
        </w:tc>
      </w:tr>
      <w:tr w:rsidR="00B149FC" w14:paraId="07798A4C" w14:textId="77777777" w:rsidTr="003A09CD">
        <w:tc>
          <w:tcPr>
            <w:tcW w:w="3543" w:type="dxa"/>
            <w:shd w:val="clear" w:color="auto" w:fill="auto"/>
          </w:tcPr>
          <w:p w14:paraId="6BCEE6D0" w14:textId="77777777" w:rsidR="00B149FC" w:rsidRDefault="00B149FC" w:rsidP="003A09CD">
            <w:pPr>
              <w:spacing w:before="120"/>
            </w:pPr>
            <w:r>
              <w:t>Fund Administrator Fee</w:t>
            </w:r>
          </w:p>
        </w:tc>
        <w:tc>
          <w:tcPr>
            <w:tcW w:w="2268" w:type="dxa"/>
            <w:shd w:val="clear" w:color="auto" w:fill="auto"/>
          </w:tcPr>
          <w:p w14:paraId="7B79B74A" w14:textId="4CAF63FE" w:rsidR="00B149FC" w:rsidRDefault="004021E8" w:rsidP="003A09CD">
            <w:pPr>
              <w:spacing w:before="120"/>
            </w:pPr>
            <w:r>
              <w:rPr>
                <w:color w:val="FF0000"/>
              </w:rPr>
              <w:t>$</w:t>
            </w:r>
            <w:r w:rsidRPr="005F763D">
              <w:rPr>
                <w:color w:val="FF0000"/>
              </w:rPr>
              <w:t>[___,___]</w:t>
            </w:r>
          </w:p>
        </w:tc>
      </w:tr>
      <w:tr w:rsidR="00B149FC" w14:paraId="7D161AD4" w14:textId="77777777" w:rsidTr="003A09CD">
        <w:tc>
          <w:tcPr>
            <w:tcW w:w="3543" w:type="dxa"/>
            <w:shd w:val="clear" w:color="auto" w:fill="auto"/>
          </w:tcPr>
          <w:p w14:paraId="5CBB3530" w14:textId="77777777" w:rsidR="00B149FC" w:rsidRDefault="00B149FC" w:rsidP="003A09CD">
            <w:pPr>
              <w:spacing w:before="120"/>
            </w:pPr>
            <w:r>
              <w:t>Financial Planning Fee</w:t>
            </w:r>
          </w:p>
        </w:tc>
        <w:tc>
          <w:tcPr>
            <w:tcW w:w="2268" w:type="dxa"/>
            <w:shd w:val="clear" w:color="auto" w:fill="auto"/>
          </w:tcPr>
          <w:p w14:paraId="14F45964" w14:textId="7F9BD7AB" w:rsidR="00B149FC" w:rsidRDefault="004021E8" w:rsidP="003A09CD">
            <w:pPr>
              <w:spacing w:before="120"/>
            </w:pPr>
            <w:r>
              <w:rPr>
                <w:color w:val="FF0000"/>
              </w:rPr>
              <w:t>$</w:t>
            </w:r>
            <w:r w:rsidRPr="005F763D">
              <w:rPr>
                <w:color w:val="FF0000"/>
              </w:rPr>
              <w:t>[___,___]</w:t>
            </w:r>
          </w:p>
        </w:tc>
      </w:tr>
      <w:tr w:rsidR="00B149FC" w14:paraId="62CA5F3C" w14:textId="77777777" w:rsidTr="003A09CD">
        <w:tc>
          <w:tcPr>
            <w:tcW w:w="3543" w:type="dxa"/>
            <w:shd w:val="clear" w:color="auto" w:fill="auto"/>
          </w:tcPr>
          <w:p w14:paraId="54103E7C" w14:textId="77777777" w:rsidR="00B149FC" w:rsidRDefault="00B149FC" w:rsidP="003A09CD">
            <w:pPr>
              <w:spacing w:before="120"/>
            </w:pPr>
            <w:r>
              <w:t>Legal Fees</w:t>
            </w:r>
          </w:p>
        </w:tc>
        <w:tc>
          <w:tcPr>
            <w:tcW w:w="2268" w:type="dxa"/>
            <w:shd w:val="clear" w:color="auto" w:fill="auto"/>
          </w:tcPr>
          <w:p w14:paraId="0E3A0479" w14:textId="18ADB781" w:rsidR="00B149FC" w:rsidRDefault="004021E8" w:rsidP="003A09CD">
            <w:pPr>
              <w:spacing w:before="120"/>
            </w:pPr>
            <w:r>
              <w:rPr>
                <w:color w:val="FF0000"/>
              </w:rPr>
              <w:t>$</w:t>
            </w:r>
            <w:r w:rsidRPr="005F763D">
              <w:rPr>
                <w:color w:val="FF0000"/>
              </w:rPr>
              <w:t>[___,___]</w:t>
            </w:r>
          </w:p>
        </w:tc>
      </w:tr>
      <w:tr w:rsidR="00B149FC" w14:paraId="47BB8DC6" w14:textId="77777777" w:rsidTr="003A09CD">
        <w:tc>
          <w:tcPr>
            <w:tcW w:w="3543" w:type="dxa"/>
            <w:shd w:val="clear" w:color="auto" w:fill="auto"/>
          </w:tcPr>
          <w:p w14:paraId="08B4735E" w14:textId="458B9755" w:rsidR="00B149FC" w:rsidRDefault="00B149FC" w:rsidP="003A09CD">
            <w:pPr>
              <w:spacing w:before="120"/>
            </w:pPr>
            <w:r>
              <w:rPr>
                <w:color w:val="7030A0"/>
                <w:highlight w:val="yellow"/>
              </w:rPr>
              <w:t>[</w:t>
            </w:r>
            <w:r w:rsidRPr="002149F8">
              <w:rPr>
                <w:color w:val="7030A0"/>
                <w:highlight w:val="yellow"/>
              </w:rPr>
              <w:t>Other</w:t>
            </w:r>
            <w:r>
              <w:rPr>
                <w:color w:val="7030A0"/>
                <w:highlight w:val="yellow"/>
              </w:rPr>
              <w:t>]</w:t>
            </w:r>
            <w:r>
              <w:t xml:space="preserve"> Implementation Fee</w:t>
            </w:r>
          </w:p>
        </w:tc>
        <w:tc>
          <w:tcPr>
            <w:tcW w:w="2268" w:type="dxa"/>
            <w:shd w:val="clear" w:color="auto" w:fill="auto"/>
          </w:tcPr>
          <w:p w14:paraId="0DBA8636" w14:textId="5B65976B" w:rsidR="00B149FC" w:rsidRDefault="004021E8" w:rsidP="003A09CD">
            <w:pPr>
              <w:spacing w:before="120"/>
            </w:pPr>
            <w:r>
              <w:rPr>
                <w:color w:val="FF0000"/>
              </w:rPr>
              <w:t>$</w:t>
            </w:r>
            <w:r w:rsidRPr="005F763D">
              <w:rPr>
                <w:color w:val="FF0000"/>
              </w:rPr>
              <w:t>[___,___]</w:t>
            </w:r>
          </w:p>
        </w:tc>
      </w:tr>
      <w:tr w:rsidR="00944F8C" w14:paraId="29C7E209" w14:textId="77777777" w:rsidTr="003A09CD">
        <w:tc>
          <w:tcPr>
            <w:tcW w:w="3543" w:type="dxa"/>
            <w:shd w:val="clear" w:color="auto" w:fill="auto"/>
          </w:tcPr>
          <w:p w14:paraId="15AFE75D" w14:textId="74372BEA" w:rsidR="00944F8C" w:rsidRDefault="00944F8C" w:rsidP="003A09CD">
            <w:pPr>
              <w:spacing w:before="120"/>
              <w:rPr>
                <w:color w:val="7030A0"/>
                <w:highlight w:val="yellow"/>
              </w:rPr>
            </w:pPr>
            <w:r>
              <w:rPr>
                <w:color w:val="7030A0"/>
                <w:highlight w:val="yellow"/>
              </w:rPr>
              <w:t>[</w:t>
            </w:r>
            <w:proofErr w:type="gramStart"/>
            <w:r>
              <w:rPr>
                <w:color w:val="7030A0"/>
                <w:highlight w:val="yellow"/>
              </w:rPr>
              <w:t>Other</w:t>
            </w:r>
            <w:proofErr w:type="gramEnd"/>
            <w:r>
              <w:rPr>
                <w:color w:val="7030A0"/>
                <w:highlight w:val="yellow"/>
              </w:rPr>
              <w:t xml:space="preserve"> 3</w:t>
            </w:r>
            <w:r w:rsidRPr="0088492C">
              <w:rPr>
                <w:color w:val="7030A0"/>
                <w:highlight w:val="yellow"/>
              </w:rPr>
              <w:t>rd</w:t>
            </w:r>
            <w:r>
              <w:rPr>
                <w:color w:val="7030A0"/>
                <w:highlight w:val="yellow"/>
              </w:rPr>
              <w:t xml:space="preserve"> party Fee]</w:t>
            </w:r>
          </w:p>
        </w:tc>
        <w:tc>
          <w:tcPr>
            <w:tcW w:w="2268" w:type="dxa"/>
            <w:shd w:val="clear" w:color="auto" w:fill="auto"/>
          </w:tcPr>
          <w:p w14:paraId="184BAA10" w14:textId="636ECF9E" w:rsidR="00944F8C" w:rsidRDefault="004021E8" w:rsidP="003A09CD">
            <w:pPr>
              <w:spacing w:before="120"/>
            </w:pPr>
            <w:r>
              <w:rPr>
                <w:color w:val="FF0000"/>
              </w:rPr>
              <w:t>$</w:t>
            </w:r>
            <w:r w:rsidRPr="005F763D">
              <w:rPr>
                <w:color w:val="FF0000"/>
              </w:rPr>
              <w:t>[___,___]</w:t>
            </w:r>
          </w:p>
        </w:tc>
      </w:tr>
      <w:tr w:rsidR="00B149FC" w14:paraId="307FD109" w14:textId="77777777" w:rsidTr="003A09CD">
        <w:tc>
          <w:tcPr>
            <w:tcW w:w="3543" w:type="dxa"/>
            <w:shd w:val="clear" w:color="auto" w:fill="auto"/>
          </w:tcPr>
          <w:p w14:paraId="013ABBB3" w14:textId="77777777" w:rsidR="00B149FC" w:rsidRPr="00E87AAA" w:rsidRDefault="00B149FC" w:rsidP="003A09CD">
            <w:pPr>
              <w:spacing w:before="120"/>
              <w:jc w:val="right"/>
              <w:rPr>
                <w:b/>
                <w:sz w:val="24"/>
              </w:rPr>
            </w:pPr>
            <w:r w:rsidRPr="00E87AAA">
              <w:rPr>
                <w:b/>
                <w:sz w:val="24"/>
              </w:rPr>
              <w:t>$</w:t>
            </w:r>
          </w:p>
        </w:tc>
        <w:tc>
          <w:tcPr>
            <w:tcW w:w="2268" w:type="dxa"/>
            <w:shd w:val="clear" w:color="auto" w:fill="auto"/>
          </w:tcPr>
          <w:p w14:paraId="453F828A" w14:textId="2D1FC1E2" w:rsidR="00B149FC" w:rsidRPr="001B4ECE" w:rsidRDefault="004021E8" w:rsidP="003A09CD">
            <w:pPr>
              <w:spacing w:before="120"/>
              <w:rPr>
                <w:b/>
                <w:bCs/>
              </w:rPr>
            </w:pPr>
            <w:r w:rsidRPr="001B4ECE">
              <w:rPr>
                <w:b/>
                <w:bCs/>
                <w:color w:val="FF0000"/>
              </w:rPr>
              <w:t>$[___,___]</w:t>
            </w:r>
          </w:p>
        </w:tc>
      </w:tr>
    </w:tbl>
    <w:p w14:paraId="32831099" w14:textId="4A10C0A5" w:rsidR="00B149FC" w:rsidRDefault="00B149FC" w:rsidP="00B149FC">
      <w:pPr>
        <w:rPr>
          <w:rFonts w:eastAsia="SimSun"/>
          <w:b/>
          <w:color w:val="auto"/>
          <w:szCs w:val="22"/>
          <w:highlight w:val="cyan"/>
          <w:lang w:eastAsia="x-none"/>
        </w:rPr>
      </w:pPr>
    </w:p>
    <w:p w14:paraId="7FBB5ECB" w14:textId="77777777" w:rsidR="00394AA6" w:rsidRDefault="00394AA6" w:rsidP="00B149FC">
      <w:pPr>
        <w:rPr>
          <w:rFonts w:eastAsia="SimSun"/>
          <w:b/>
          <w:color w:val="auto"/>
          <w:szCs w:val="22"/>
          <w:highlight w:val="cyan"/>
          <w:lang w:eastAsia="x-none"/>
        </w:rPr>
      </w:pPr>
    </w:p>
    <w:p w14:paraId="194A7095" w14:textId="37F735A8" w:rsidR="00F7374A" w:rsidRDefault="00F7374A" w:rsidP="00E164DA">
      <w:pPr>
        <w:pStyle w:val="Instructions"/>
      </w:pPr>
      <w:r>
        <w:t>Further Detail</w:t>
      </w:r>
      <w:r w:rsidR="00427DA5">
        <w:t xml:space="preserve"> (additional)</w:t>
      </w:r>
    </w:p>
    <w:p w14:paraId="6031E22C" w14:textId="77777777" w:rsidR="00B149FC" w:rsidRPr="002149F8" w:rsidRDefault="00B149FC" w:rsidP="00AC617F">
      <w:pPr>
        <w:spacing w:before="120"/>
        <w:ind w:left="-284" w:hanging="142"/>
        <w:rPr>
          <w:color w:val="002060"/>
          <w:sz w:val="24"/>
        </w:rPr>
      </w:pPr>
      <w:r w:rsidRPr="002149F8">
        <w:rPr>
          <w:color w:val="002060"/>
          <w:sz w:val="24"/>
        </w:rPr>
        <w:t xml:space="preserve">Important </w:t>
      </w:r>
      <w:r>
        <w:rPr>
          <w:color w:val="002060"/>
          <w:sz w:val="24"/>
        </w:rPr>
        <w:t xml:space="preserve">Personal </w:t>
      </w:r>
      <w:r w:rsidRPr="002149F8">
        <w:rPr>
          <w:color w:val="002060"/>
          <w:sz w:val="24"/>
        </w:rPr>
        <w:t>Insurance Information</w:t>
      </w:r>
    </w:p>
    <w:p w14:paraId="74BEA42C" w14:textId="77777777" w:rsidR="00B149FC" w:rsidRDefault="00B149FC" w:rsidP="00AC617F">
      <w:pPr>
        <w:spacing w:before="120"/>
        <w:ind w:left="-284"/>
      </w:pPr>
      <w:r w:rsidRPr="002149F8">
        <w:t xml:space="preserve">Upon </w:t>
      </w:r>
      <w:r>
        <w:t>a full transfer of pre-existing superannuation account balances to the new fund, existing insurances funded from these accounts will lapse.</w:t>
      </w:r>
    </w:p>
    <w:p w14:paraId="50AD254B" w14:textId="77777777" w:rsidR="00B149FC" w:rsidRPr="002149F8" w:rsidRDefault="00B149FC" w:rsidP="00AC617F">
      <w:pPr>
        <w:spacing w:before="120"/>
        <w:ind w:left="-284"/>
      </w:pPr>
      <w:r>
        <w:t>An insurance Risk Needs Analysis may be required.</w:t>
      </w:r>
    </w:p>
    <w:p w14:paraId="1D7C8B16" w14:textId="77777777" w:rsidR="00B149FC" w:rsidRDefault="00B149FC" w:rsidP="00B149FC">
      <w:pPr>
        <w:rPr>
          <w:rFonts w:eastAsia="SimSun"/>
          <w:b/>
          <w:color w:val="auto"/>
          <w:szCs w:val="22"/>
          <w:highlight w:val="cyan"/>
          <w:lang w:eastAsia="x-none"/>
        </w:rPr>
      </w:pPr>
    </w:p>
    <w:p w14:paraId="02848DA2" w14:textId="0E56ACEC" w:rsidR="00B149FC" w:rsidRDefault="00B149FC" w:rsidP="00B149FC">
      <w:pPr>
        <w:spacing w:before="120"/>
        <w:rPr>
          <w:color w:val="002060"/>
          <w:sz w:val="24"/>
        </w:rPr>
      </w:pPr>
    </w:p>
    <w:p w14:paraId="27721712" w14:textId="4FA0C54F" w:rsidR="00F7374A" w:rsidRDefault="00F7374A" w:rsidP="00E164DA">
      <w:pPr>
        <w:pStyle w:val="Instructions"/>
      </w:pPr>
      <w:r>
        <w:t>Further Detail</w:t>
      </w:r>
      <w:r w:rsidR="00427DA5">
        <w:t xml:space="preserve"> (additional)</w:t>
      </w:r>
    </w:p>
    <w:p w14:paraId="2E3495E7" w14:textId="77777777" w:rsidR="00F7374A" w:rsidRDefault="00F7374A" w:rsidP="00B149FC">
      <w:pPr>
        <w:spacing w:before="120"/>
        <w:rPr>
          <w:color w:val="002060"/>
          <w:sz w:val="24"/>
        </w:rPr>
        <w:sectPr w:rsidR="00F7374A" w:rsidSect="003A09CD">
          <w:type w:val="continuous"/>
          <w:pgSz w:w="11906" w:h="16838" w:code="9"/>
          <w:pgMar w:top="1134" w:right="1134" w:bottom="1134" w:left="1134" w:header="567" w:footer="567" w:gutter="0"/>
          <w:cols w:space="708"/>
          <w:docGrid w:linePitch="360"/>
        </w:sectPr>
      </w:pPr>
    </w:p>
    <w:p w14:paraId="323A38B9" w14:textId="6B0C7A57" w:rsidR="00B149FC" w:rsidRPr="00F96C0A" w:rsidRDefault="00AC617F" w:rsidP="00AC617F">
      <w:pPr>
        <w:spacing w:before="120"/>
        <w:ind w:left="-284"/>
        <w:rPr>
          <w:color w:val="002060"/>
          <w:sz w:val="24"/>
        </w:rPr>
      </w:pPr>
      <w:r>
        <w:rPr>
          <w:color w:val="002060"/>
          <w:sz w:val="24"/>
        </w:rPr>
        <w:tab/>
      </w:r>
      <w:r w:rsidR="00B149FC" w:rsidRPr="004E4C13">
        <w:rPr>
          <w:color w:val="002060"/>
          <w:sz w:val="24"/>
        </w:rPr>
        <w:t>Reserving Strategy</w:t>
      </w:r>
      <w:r w:rsidR="00B149FC">
        <w:rPr>
          <w:color w:val="002060"/>
          <w:sz w:val="24"/>
        </w:rPr>
        <w:t xml:space="preserve">  </w:t>
      </w:r>
    </w:p>
    <w:p w14:paraId="7E9EE5E0" w14:textId="77777777" w:rsidR="00B149FC" w:rsidRDefault="00B149FC" w:rsidP="00B149FC">
      <w:pPr>
        <w:spacing w:before="120"/>
      </w:pPr>
      <w:r w:rsidRPr="00B64F8A">
        <w:t xml:space="preserve">A reserving strategy </w:t>
      </w:r>
      <w:r>
        <w:t>includes the Asset Allocation for the investment of funds held in specific reserves.</w:t>
      </w:r>
    </w:p>
    <w:p w14:paraId="30E5BCF5" w14:textId="77777777" w:rsidR="00B149FC" w:rsidRPr="002149F8" w:rsidRDefault="00B149FC" w:rsidP="00B149FC">
      <w:pPr>
        <w:rPr>
          <w:sz w:val="16"/>
          <w:szCs w:val="16"/>
        </w:rPr>
      </w:pPr>
    </w:p>
    <w:p w14:paraId="788EE322" w14:textId="77777777" w:rsidR="00B149FC" w:rsidRDefault="00B149FC" w:rsidP="00B149FC">
      <w:r>
        <w:lastRenderedPageBreak/>
        <w:t xml:space="preserve">It implies that the </w:t>
      </w:r>
      <w:r w:rsidRPr="00B64F8A">
        <w:t xml:space="preserve">Trustees of the SMSF </w:t>
      </w:r>
      <w:r>
        <w:t xml:space="preserve">will </w:t>
      </w:r>
      <w:r w:rsidRPr="00B64F8A">
        <w:t>direct</w:t>
      </w:r>
      <w:r>
        <w:t>:</w:t>
      </w:r>
    </w:p>
    <w:p w14:paraId="1CAC9148" w14:textId="77777777" w:rsidR="00B149FC" w:rsidRPr="002149F8" w:rsidRDefault="00B149FC">
      <w:pPr>
        <w:pStyle w:val="InterPracBullet"/>
        <w:numPr>
          <w:ilvl w:val="0"/>
          <w:numId w:val="80"/>
        </w:numPr>
      </w:pPr>
      <w:r w:rsidRPr="002149F8">
        <w:t>fund income into a ‘reserve’ account, with the aim of providing liquidity for operating expenses.</w:t>
      </w:r>
    </w:p>
    <w:p w14:paraId="234E296F" w14:textId="77777777" w:rsidR="00B149FC" w:rsidRPr="002149F8" w:rsidRDefault="00B149FC">
      <w:pPr>
        <w:pStyle w:val="InterPracBullet"/>
        <w:numPr>
          <w:ilvl w:val="0"/>
          <w:numId w:val="80"/>
        </w:numPr>
      </w:pPr>
      <w:r w:rsidRPr="002149F8">
        <w:t>investment earnings into a ‘reserve’ account, with the aim of later allocating these fairly to member’s individual accounts in proportion to their account balances.</w:t>
      </w:r>
    </w:p>
    <w:p w14:paraId="08985C99" w14:textId="77777777" w:rsidR="00B149FC" w:rsidRPr="002149F8" w:rsidRDefault="00B149FC">
      <w:pPr>
        <w:pStyle w:val="InterPracBullet"/>
        <w:numPr>
          <w:ilvl w:val="0"/>
          <w:numId w:val="80"/>
        </w:numPr>
      </w:pPr>
      <w:r w:rsidRPr="002149F8">
        <w:t>investment earnings into a ‘reserve’ account, with the aim of later allocating these to member’s individual accounts in proportion to the performance of their segregated assets.</w:t>
      </w:r>
    </w:p>
    <w:p w14:paraId="582501D1" w14:textId="77777777" w:rsidR="00B149FC" w:rsidRPr="002149F8" w:rsidRDefault="00B149FC">
      <w:pPr>
        <w:pStyle w:val="InterPracBullet"/>
        <w:numPr>
          <w:ilvl w:val="0"/>
          <w:numId w:val="80"/>
        </w:numPr>
      </w:pPr>
      <w:r w:rsidRPr="002149F8">
        <w:t>contributions to a ‘reserve’ account, rather than immediately allocating these to member accounts.</w:t>
      </w:r>
    </w:p>
    <w:p w14:paraId="1EC39D86" w14:textId="77777777" w:rsidR="00B149FC" w:rsidRPr="002149F8" w:rsidRDefault="00B149FC" w:rsidP="00B149FC">
      <w:pPr>
        <w:spacing w:before="120"/>
        <w:rPr>
          <w:sz w:val="16"/>
          <w:szCs w:val="16"/>
        </w:rPr>
      </w:pPr>
    </w:p>
    <w:p w14:paraId="517ED50D" w14:textId="77777777" w:rsidR="00B149FC" w:rsidRDefault="00B149FC" w:rsidP="00B149FC">
      <w:r w:rsidRPr="00B64F8A">
        <w:t>This strategy can achieve the following benefits:</w:t>
      </w:r>
    </w:p>
    <w:p w14:paraId="09C0367B" w14:textId="77777777" w:rsidR="00B149FC" w:rsidRPr="002149F8" w:rsidRDefault="00B149FC">
      <w:pPr>
        <w:pStyle w:val="InterPracBullet"/>
        <w:numPr>
          <w:ilvl w:val="0"/>
          <w:numId w:val="81"/>
        </w:numPr>
      </w:pPr>
      <w:r w:rsidRPr="002149F8">
        <w:t>It can enable the Trustees to ‘smooth’ the investment returns credited to individual member’s accounts. This is because in ‘good’ years a portion of the Fund’s investment earnings can be added to the reserve account, and in ‘bad’ years the funds in the reserve account can be added to the individual member’s accounts. The overall aim is to ensure a consistently positive ‘return’ is achieved for the individual members.</w:t>
      </w:r>
    </w:p>
    <w:p w14:paraId="2DF6CF99" w14:textId="77777777" w:rsidR="00B149FC" w:rsidRPr="002149F8" w:rsidRDefault="00B149FC">
      <w:pPr>
        <w:pStyle w:val="InterPracBullet"/>
        <w:numPr>
          <w:ilvl w:val="0"/>
          <w:numId w:val="81"/>
        </w:numPr>
      </w:pPr>
      <w:r w:rsidRPr="002149F8">
        <w:t>It can create a resource to provide for expenses of the fund (e.g. taxes, administration costs, insurance premiums).</w:t>
      </w:r>
    </w:p>
    <w:p w14:paraId="7086DBEC" w14:textId="77777777" w:rsidR="00B149FC" w:rsidRDefault="00B149FC" w:rsidP="00B149FC">
      <w:pPr>
        <w:spacing w:before="120"/>
      </w:pPr>
      <w:r w:rsidRPr="00B64F8A">
        <w:t>Establishing a reserving strategy in relation to future earnings of the SMSF would involve the following:</w:t>
      </w:r>
    </w:p>
    <w:p w14:paraId="00AFE78C" w14:textId="77777777" w:rsidR="00B149FC" w:rsidRPr="002149F8" w:rsidRDefault="00B149FC">
      <w:pPr>
        <w:pStyle w:val="InterPracBullet"/>
        <w:numPr>
          <w:ilvl w:val="0"/>
          <w:numId w:val="82"/>
        </w:numPr>
      </w:pPr>
      <w:r w:rsidRPr="002149F8">
        <w:t>The trustees establish and maintain a reserve account(s), ensuring that the Trust Deed allows for the maintenance of such reserves.</w:t>
      </w:r>
    </w:p>
    <w:p w14:paraId="77528E3E" w14:textId="41BC728A" w:rsidR="00B149FC" w:rsidRPr="002149F8" w:rsidRDefault="00B149FC">
      <w:pPr>
        <w:pStyle w:val="InterPracBullet"/>
        <w:numPr>
          <w:ilvl w:val="0"/>
          <w:numId w:val="82"/>
        </w:numPr>
      </w:pPr>
      <w:r w:rsidRPr="002149F8">
        <w:t>The Trustees would adopt a benchmark for the distribution of earnings to members. This would be a minimum amount (less</w:t>
      </w:r>
      <w:r w:rsidR="0009435C" w:rsidRPr="00570618">
        <w:t xml:space="preserve"> </w:t>
      </w:r>
      <w:r w:rsidRPr="002149F8">
        <w:t>than 5%) that would be paid fairly to the respective members of the SMSF.</w:t>
      </w:r>
    </w:p>
    <w:p w14:paraId="3527DD0E" w14:textId="77777777" w:rsidR="00B149FC" w:rsidRPr="00596020" w:rsidRDefault="00B149FC" w:rsidP="00B149FC">
      <w:pPr>
        <w:spacing w:before="120"/>
      </w:pPr>
      <w:r w:rsidRPr="002149F8">
        <w:t>A</w:t>
      </w:r>
      <w:r w:rsidRPr="00596020">
        <w:t>ny funds held in a reserve account are subject to the normal 15% earnings tax (even</w:t>
      </w:r>
      <w:r w:rsidRPr="002149F8">
        <w:t xml:space="preserve"> if the remainder of the fund is</w:t>
      </w:r>
      <w:r w:rsidRPr="00596020">
        <w:t xml:space="preserve"> in pension phase).</w:t>
      </w:r>
    </w:p>
    <w:p w14:paraId="5558431E" w14:textId="77777777" w:rsidR="00B149FC" w:rsidRPr="00D769BE" w:rsidRDefault="00B149FC" w:rsidP="00B149FC">
      <w:pPr>
        <w:spacing w:before="120"/>
        <w:rPr>
          <w:b/>
        </w:rPr>
      </w:pPr>
      <w:r w:rsidRPr="00D769BE">
        <w:rPr>
          <w:b/>
        </w:rPr>
        <w:t>You need to consider the potential for this strategy to be viewed by the Australian Taxation Office (ATO) as a tax avoidance measure. It would be prudent to seek expert legal advice in this regard or seek a private ruling from the ATO.</w:t>
      </w:r>
    </w:p>
    <w:p w14:paraId="3613B85B" w14:textId="77777777" w:rsidR="00B149FC" w:rsidRPr="00D769BE" w:rsidRDefault="00B149FC" w:rsidP="00B149FC">
      <w:pPr>
        <w:spacing w:before="120"/>
      </w:pPr>
    </w:p>
    <w:p w14:paraId="665E089D" w14:textId="77777777" w:rsidR="00C2375F" w:rsidRPr="00D769BE" w:rsidRDefault="00C2375F" w:rsidP="008C7CE9">
      <w:pPr>
        <w:jc w:val="left"/>
      </w:pPr>
      <w:bookmarkStart w:id="47" w:name="_Toc376868649"/>
      <w:bookmarkEnd w:id="36"/>
    </w:p>
    <w:p w14:paraId="407D5038" w14:textId="76C82636" w:rsidR="00C2375F" w:rsidRPr="00D769BE" w:rsidRDefault="00C2375F" w:rsidP="008C7CE9">
      <w:pPr>
        <w:jc w:val="left"/>
        <w:rPr>
          <w:color w:val="002060"/>
          <w:sz w:val="24"/>
        </w:rPr>
      </w:pPr>
      <w:bookmarkStart w:id="48" w:name="_Toc376868651"/>
      <w:bookmarkEnd w:id="47"/>
      <w:r w:rsidRPr="00D769BE">
        <w:rPr>
          <w:color w:val="002060"/>
          <w:sz w:val="24"/>
        </w:rPr>
        <w:t>Investment Strategy</w:t>
      </w:r>
    </w:p>
    <w:p w14:paraId="776EEF68" w14:textId="6290F193" w:rsidR="00B45D2A" w:rsidRPr="00D769BE" w:rsidRDefault="00B45D2A" w:rsidP="008C7CE9">
      <w:pPr>
        <w:jc w:val="left"/>
        <w:rPr>
          <w:color w:val="002060"/>
          <w:sz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A8727D" w:rsidRPr="00E87AAA" w14:paraId="00CC2291" w14:textId="77777777" w:rsidTr="00D2574D">
        <w:tc>
          <w:tcPr>
            <w:tcW w:w="2754" w:type="dxa"/>
            <w:shd w:val="clear" w:color="auto" w:fill="auto"/>
          </w:tcPr>
          <w:p w14:paraId="36E37753" w14:textId="17397368" w:rsidR="00A8727D" w:rsidRPr="00D769BE" w:rsidRDefault="00A8727D" w:rsidP="00E164DA">
            <w:pPr>
              <w:pStyle w:val="Instructions"/>
            </w:pPr>
          </w:p>
        </w:tc>
        <w:tc>
          <w:tcPr>
            <w:tcW w:w="6798" w:type="dxa"/>
            <w:shd w:val="clear" w:color="auto" w:fill="auto"/>
          </w:tcPr>
          <w:p w14:paraId="40348F51" w14:textId="148DDC2B" w:rsidR="004021E8" w:rsidRDefault="004021E8" w:rsidP="00AF738A">
            <w:pPr>
              <w:jc w:val="left"/>
            </w:pPr>
            <w:r>
              <w:t xml:space="preserve">The Strategic asset allocation of the fund should be recorded in the Trustee </w:t>
            </w:r>
            <w:commentRangeStart w:id="49"/>
            <w:r>
              <w:t>Minutes</w:t>
            </w:r>
            <w:commentRangeEnd w:id="49"/>
            <w:r w:rsidR="009F2968">
              <w:rPr>
                <w:rStyle w:val="CommentReference"/>
                <w:color w:val="auto"/>
                <w:lang w:eastAsia="ja-JP"/>
              </w:rPr>
              <w:commentReference w:id="49"/>
            </w:r>
            <w:r>
              <w:t>:</w:t>
            </w:r>
          </w:p>
          <w:p w14:paraId="7EAA4B72" w14:textId="33D932F9" w:rsidR="004021E8" w:rsidRDefault="004021E8" w:rsidP="00AF738A">
            <w:pPr>
              <w:jc w:val="left"/>
            </w:pPr>
            <w:r>
              <w:t>Cash</w:t>
            </w:r>
            <w:proofErr w:type="gramStart"/>
            <w:r>
              <w:t xml:space="preserve">   </w:t>
            </w:r>
            <w:r w:rsidRPr="005F763D">
              <w:rPr>
                <w:color w:val="FF0000"/>
              </w:rPr>
              <w:t>[</w:t>
            </w:r>
            <w:proofErr w:type="gramEnd"/>
            <w:r w:rsidRPr="005F763D">
              <w:rPr>
                <w:color w:val="FF0000"/>
              </w:rPr>
              <w:t>___]</w:t>
            </w:r>
            <w:r>
              <w:rPr>
                <w:color w:val="FF0000"/>
              </w:rPr>
              <w:t>% Variance +/- 10%</w:t>
            </w:r>
          </w:p>
          <w:p w14:paraId="609333D5" w14:textId="7F7A0E3D" w:rsidR="004021E8" w:rsidRDefault="004021E8" w:rsidP="00AF738A">
            <w:pPr>
              <w:jc w:val="left"/>
            </w:pPr>
            <w:r>
              <w:t>Fixed Interest</w:t>
            </w:r>
            <w:r w:rsidR="009F2968">
              <w:t xml:space="preserve"> </w:t>
            </w:r>
            <w:proofErr w:type="gramStart"/>
            <w:r w:rsidR="009F2968">
              <w:t xml:space="preserve">   </w:t>
            </w:r>
            <w:r w:rsidR="009F2968" w:rsidRPr="005F763D">
              <w:rPr>
                <w:color w:val="FF0000"/>
              </w:rPr>
              <w:t>[</w:t>
            </w:r>
            <w:proofErr w:type="gramEnd"/>
            <w:r w:rsidR="009F2968" w:rsidRPr="005F763D">
              <w:rPr>
                <w:color w:val="FF0000"/>
              </w:rPr>
              <w:t>___]</w:t>
            </w:r>
            <w:r w:rsidR="009F2968">
              <w:rPr>
                <w:color w:val="FF0000"/>
              </w:rPr>
              <w:t>% Variance +/- 10%</w:t>
            </w:r>
          </w:p>
          <w:p w14:paraId="70616D42" w14:textId="6E6352D7" w:rsidR="004021E8" w:rsidRDefault="004021E8" w:rsidP="00AF738A">
            <w:pPr>
              <w:jc w:val="left"/>
            </w:pPr>
            <w:r>
              <w:t>Australian Shares</w:t>
            </w:r>
            <w:r w:rsidR="009F2968">
              <w:t xml:space="preserve"> </w:t>
            </w:r>
            <w:proofErr w:type="gramStart"/>
            <w:r w:rsidR="009F2968">
              <w:t xml:space="preserve">   </w:t>
            </w:r>
            <w:r w:rsidR="009F2968" w:rsidRPr="005F763D">
              <w:rPr>
                <w:color w:val="FF0000"/>
              </w:rPr>
              <w:t>[</w:t>
            </w:r>
            <w:proofErr w:type="gramEnd"/>
            <w:r w:rsidR="009F2968" w:rsidRPr="005F763D">
              <w:rPr>
                <w:color w:val="FF0000"/>
              </w:rPr>
              <w:t>___]</w:t>
            </w:r>
            <w:r w:rsidR="009F2968">
              <w:rPr>
                <w:color w:val="FF0000"/>
              </w:rPr>
              <w:t>% Variance +/- 10%</w:t>
            </w:r>
          </w:p>
          <w:p w14:paraId="7F6D30C4" w14:textId="3A8ECCB7" w:rsidR="004021E8" w:rsidRDefault="004021E8" w:rsidP="00AF738A">
            <w:pPr>
              <w:jc w:val="left"/>
            </w:pPr>
            <w:r>
              <w:t>International Shares</w:t>
            </w:r>
            <w:r w:rsidR="009F2968">
              <w:t xml:space="preserve"> </w:t>
            </w:r>
            <w:proofErr w:type="gramStart"/>
            <w:r w:rsidR="009F2968">
              <w:t xml:space="preserve">   </w:t>
            </w:r>
            <w:r w:rsidR="009F2968" w:rsidRPr="005F763D">
              <w:rPr>
                <w:color w:val="FF0000"/>
              </w:rPr>
              <w:t>[</w:t>
            </w:r>
            <w:proofErr w:type="gramEnd"/>
            <w:r w:rsidR="009F2968" w:rsidRPr="005F763D">
              <w:rPr>
                <w:color w:val="FF0000"/>
              </w:rPr>
              <w:t>___]</w:t>
            </w:r>
            <w:r w:rsidR="009F2968">
              <w:rPr>
                <w:color w:val="FF0000"/>
              </w:rPr>
              <w:t>% Variance +/- 10%</w:t>
            </w:r>
          </w:p>
          <w:p w14:paraId="04392BC6" w14:textId="599385AD" w:rsidR="004021E8" w:rsidRDefault="004021E8" w:rsidP="00AF738A">
            <w:pPr>
              <w:jc w:val="left"/>
            </w:pPr>
            <w:r>
              <w:t>Property</w:t>
            </w:r>
            <w:r w:rsidR="009F2968">
              <w:t xml:space="preserve"> </w:t>
            </w:r>
            <w:proofErr w:type="gramStart"/>
            <w:r w:rsidR="009F2968">
              <w:t xml:space="preserve">   </w:t>
            </w:r>
            <w:r w:rsidR="009F2968" w:rsidRPr="005F763D">
              <w:rPr>
                <w:color w:val="FF0000"/>
              </w:rPr>
              <w:t>[</w:t>
            </w:r>
            <w:proofErr w:type="gramEnd"/>
            <w:r w:rsidR="009F2968" w:rsidRPr="005F763D">
              <w:rPr>
                <w:color w:val="FF0000"/>
              </w:rPr>
              <w:t>___]</w:t>
            </w:r>
            <w:r w:rsidR="009F2968">
              <w:rPr>
                <w:color w:val="FF0000"/>
              </w:rPr>
              <w:t>% Variance +/- 10%</w:t>
            </w:r>
          </w:p>
          <w:p w14:paraId="3B1B7FC5" w14:textId="6FBEF478" w:rsidR="004021E8" w:rsidRDefault="004021E8" w:rsidP="00AF738A">
            <w:pPr>
              <w:jc w:val="left"/>
            </w:pPr>
            <w:r>
              <w:t>Other</w:t>
            </w:r>
            <w:proofErr w:type="gramStart"/>
            <w:r w:rsidR="009F2968">
              <w:t xml:space="preserve">   </w:t>
            </w:r>
            <w:r w:rsidR="009F2968" w:rsidRPr="005F763D">
              <w:rPr>
                <w:color w:val="FF0000"/>
              </w:rPr>
              <w:t>[</w:t>
            </w:r>
            <w:proofErr w:type="gramEnd"/>
            <w:r w:rsidR="009F2968" w:rsidRPr="005F763D">
              <w:rPr>
                <w:color w:val="FF0000"/>
              </w:rPr>
              <w:t>___]</w:t>
            </w:r>
            <w:r w:rsidR="009F2968">
              <w:rPr>
                <w:color w:val="FF0000"/>
              </w:rPr>
              <w:t>% Variance +/- 10%</w:t>
            </w:r>
          </w:p>
          <w:p w14:paraId="12DD77DE" w14:textId="77777777" w:rsidR="004021E8" w:rsidRDefault="004021E8" w:rsidP="00AF738A">
            <w:pPr>
              <w:jc w:val="left"/>
            </w:pPr>
          </w:p>
          <w:p w14:paraId="1C67FDB7" w14:textId="3B6AFFA0" w:rsidR="00AF738A" w:rsidRPr="00D769BE" w:rsidRDefault="00AF738A" w:rsidP="00AF738A">
            <w:pPr>
              <w:jc w:val="left"/>
            </w:pPr>
            <w:r w:rsidRPr="00D769BE">
              <w:t>Typically developing an Investment Strategy for your SMSF meets your needs/objectives for the following reasons:</w:t>
            </w:r>
          </w:p>
          <w:p w14:paraId="5C7D2221" w14:textId="77777777" w:rsidR="00AF738A" w:rsidRPr="00D769BE" w:rsidRDefault="00AF738A">
            <w:pPr>
              <w:pStyle w:val="InterPracBullet"/>
              <w:numPr>
                <w:ilvl w:val="0"/>
                <w:numId w:val="115"/>
              </w:numPr>
            </w:pPr>
            <w:r w:rsidRPr="00D769BE">
              <w:t>As trustee of your SMSF, you are required to develop and adhere to the Fund’s investment strategy.</w:t>
            </w:r>
          </w:p>
          <w:p w14:paraId="47934539" w14:textId="77777777" w:rsidR="00AF738A" w:rsidRPr="00D769BE" w:rsidRDefault="00AF738A">
            <w:pPr>
              <w:pStyle w:val="InterPracBullet"/>
              <w:numPr>
                <w:ilvl w:val="0"/>
                <w:numId w:val="115"/>
              </w:numPr>
            </w:pPr>
            <w:r w:rsidRPr="00D769BE">
              <w:t>The investment strategy details the investment objectives of the fund, the risks the fund is willing to accept and the types of investments you would consider holding.</w:t>
            </w:r>
          </w:p>
          <w:p w14:paraId="77D3717F" w14:textId="77777777" w:rsidR="00AF738A" w:rsidRPr="00D769BE" w:rsidRDefault="00AF738A">
            <w:pPr>
              <w:pStyle w:val="InterPracBullet"/>
              <w:numPr>
                <w:ilvl w:val="0"/>
                <w:numId w:val="115"/>
              </w:numPr>
            </w:pPr>
            <w:r w:rsidRPr="00D769BE">
              <w:t>The investment strategy considers a number of aspects such as risk, diversification and liquidity to ensure that funds are invested to provide retirement benefits and expenses can be paid at the appropriate time.</w:t>
            </w:r>
          </w:p>
          <w:p w14:paraId="4F4308CA" w14:textId="77777777" w:rsidR="00003CBD" w:rsidRPr="00D769BE" w:rsidRDefault="00003CBD" w:rsidP="00003CBD">
            <w:pPr>
              <w:jc w:val="left"/>
            </w:pPr>
          </w:p>
          <w:p w14:paraId="59B51921" w14:textId="77777777" w:rsidR="00003CBD" w:rsidRPr="00D769BE" w:rsidRDefault="00003CBD" w:rsidP="00003CBD">
            <w:pPr>
              <w:jc w:val="left"/>
            </w:pPr>
            <w:r w:rsidRPr="00D769BE">
              <w:t>Before proceeding you should note the following:</w:t>
            </w:r>
          </w:p>
          <w:p w14:paraId="1391E879" w14:textId="77777777" w:rsidR="00003CBD" w:rsidRPr="00D769BE" w:rsidRDefault="00003CBD">
            <w:pPr>
              <w:pStyle w:val="InterPracBullet"/>
              <w:numPr>
                <w:ilvl w:val="0"/>
                <w:numId w:val="114"/>
              </w:numPr>
            </w:pPr>
            <w:r w:rsidRPr="00D769BE">
              <w:t>An investment strategy is a legal requirement.  If your fund does not have an investment strategy or investment decisions are made which are inconsistent with the investment strategy, you may face penalties or your fund may be deemed non-complying and lose tax concessions.</w:t>
            </w:r>
          </w:p>
          <w:p w14:paraId="5F90297F" w14:textId="77777777" w:rsidR="00003CBD" w:rsidRPr="00D769BE" w:rsidRDefault="00003CBD">
            <w:pPr>
              <w:pStyle w:val="InterPracBullet"/>
              <w:numPr>
                <w:ilvl w:val="0"/>
                <w:numId w:val="114"/>
              </w:numPr>
            </w:pPr>
            <w:r w:rsidRPr="00D769BE">
              <w:t>Please note that you cannot implement the investment advice until the investment strategy for the SMSF has been formulated.</w:t>
            </w:r>
          </w:p>
          <w:p w14:paraId="3894C82D" w14:textId="77777777" w:rsidR="00003CBD" w:rsidRPr="00D769BE" w:rsidRDefault="00003CBD">
            <w:pPr>
              <w:pStyle w:val="InterPracBullet"/>
              <w:numPr>
                <w:ilvl w:val="0"/>
                <w:numId w:val="114"/>
              </w:numPr>
            </w:pPr>
            <w:r w:rsidRPr="00D769BE">
              <w:lastRenderedPageBreak/>
              <w:t>The investment strategy should be reviewed on an ongoing basis (at least annually) to ensure it is still appropriate for the goals of the SMSF and the risk profiles for members as well as changes in member and account balances.  The trustee’s decision should be recorded in trustee minutes.</w:t>
            </w:r>
          </w:p>
          <w:p w14:paraId="3ED0346C" w14:textId="77777777" w:rsidR="00003CBD" w:rsidRPr="00D769BE" w:rsidRDefault="00003CBD">
            <w:pPr>
              <w:pStyle w:val="InterPracBullet"/>
              <w:numPr>
                <w:ilvl w:val="0"/>
                <w:numId w:val="114"/>
              </w:numPr>
            </w:pPr>
            <w:r w:rsidRPr="00D769BE">
              <w:t>As part of formulating the SMSF’s investment strategy the trustees will also hold the requirement to include an assessment and on-going review of the insurance needs for members.  This assessment will need to be documented within the investment strategy and documented in subsequent investment strategy reviews.</w:t>
            </w:r>
          </w:p>
          <w:p w14:paraId="59954B10" w14:textId="4F6D9115" w:rsidR="0028367C" w:rsidRPr="00D769BE" w:rsidRDefault="00003CBD">
            <w:pPr>
              <w:pStyle w:val="InterPracBullet"/>
              <w:numPr>
                <w:ilvl w:val="0"/>
                <w:numId w:val="114"/>
              </w:numPr>
            </w:pPr>
            <w:r w:rsidRPr="00D769BE">
              <w:t>There are certain investment restrictions on SMSFs. You should discuss</w:t>
            </w:r>
            <w:r w:rsidR="0028367C" w:rsidRPr="00D769BE">
              <w:t xml:space="preserve"> these restrictions (and understand) with the SMSF’s administrator and/or your accountant prior to setting up a SMSF.</w:t>
            </w:r>
          </w:p>
          <w:p w14:paraId="4F656B24" w14:textId="5477F76A" w:rsidR="00A8727D" w:rsidRPr="00D769BE" w:rsidRDefault="00A8727D" w:rsidP="00003CBD">
            <w:pPr>
              <w:spacing w:before="120"/>
              <w:jc w:val="left"/>
              <w:rPr>
                <w:sz w:val="18"/>
                <w:szCs w:val="18"/>
              </w:rPr>
            </w:pPr>
          </w:p>
        </w:tc>
      </w:tr>
    </w:tbl>
    <w:p w14:paraId="47009A8B" w14:textId="77777777" w:rsidR="006D5865" w:rsidRPr="005F763D" w:rsidRDefault="006D5865" w:rsidP="008C7CE9">
      <w:pPr>
        <w:jc w:val="left"/>
      </w:pPr>
    </w:p>
    <w:p w14:paraId="324848F4" w14:textId="77777777" w:rsidR="00C2375F" w:rsidRPr="005F763D" w:rsidRDefault="00C2375F" w:rsidP="008C7CE9">
      <w:pPr>
        <w:jc w:val="left"/>
      </w:pPr>
    </w:p>
    <w:p w14:paraId="2A74064D" w14:textId="77777777" w:rsidR="00C2375F" w:rsidRPr="005F763D" w:rsidRDefault="00C2375F" w:rsidP="008C7CE9">
      <w:pPr>
        <w:jc w:val="left"/>
      </w:pPr>
    </w:p>
    <w:p w14:paraId="68B74408" w14:textId="77777777" w:rsidR="00C2375F" w:rsidRPr="005F763D" w:rsidRDefault="00C2375F" w:rsidP="008C7CE9">
      <w:pPr>
        <w:jc w:val="left"/>
      </w:pPr>
    </w:p>
    <w:p w14:paraId="59B9C3BE" w14:textId="77777777" w:rsidR="00C2375F" w:rsidRPr="005F763D" w:rsidRDefault="00C2375F" w:rsidP="008C7CE9">
      <w:pPr>
        <w:jc w:val="left"/>
        <w:rPr>
          <w:color w:val="002060"/>
          <w:sz w:val="24"/>
        </w:rPr>
      </w:pPr>
      <w:bookmarkStart w:id="50" w:name="_Toc376868652"/>
      <w:bookmarkEnd w:id="48"/>
      <w:r w:rsidRPr="005F763D">
        <w:rPr>
          <w:color w:val="002060"/>
          <w:sz w:val="24"/>
        </w:rPr>
        <w:t>SMSF Administration Service</w:t>
      </w:r>
    </w:p>
    <w:p w14:paraId="46972BE3" w14:textId="2739981A" w:rsidR="00C2375F" w:rsidRDefault="00C2375F" w:rsidP="008C7CE9">
      <w:pPr>
        <w:jc w:val="left"/>
      </w:pPr>
    </w:p>
    <w:tbl>
      <w:tblPr>
        <w:tblStyle w:val="TableGrid"/>
        <w:tblW w:w="0" w:type="auto"/>
        <w:tblInd w:w="76" w:type="dxa"/>
        <w:tblLook w:val="04A0" w:firstRow="1" w:lastRow="0" w:firstColumn="1" w:lastColumn="0" w:noHBand="0" w:noVBand="1"/>
      </w:tblPr>
      <w:tblGrid>
        <w:gridCol w:w="2754"/>
        <w:gridCol w:w="6798"/>
      </w:tblGrid>
      <w:tr w:rsidR="0039260B" w:rsidRPr="00E51BEA" w14:paraId="7A4DE243" w14:textId="77777777" w:rsidTr="0039260B">
        <w:tc>
          <w:tcPr>
            <w:tcW w:w="2754" w:type="dxa"/>
          </w:tcPr>
          <w:p w14:paraId="69556F18" w14:textId="77777777" w:rsidR="0039260B" w:rsidRPr="00AA2CC6" w:rsidRDefault="0039260B" w:rsidP="00145CF0">
            <w:pPr>
              <w:pStyle w:val="TableHeader2"/>
              <w:rPr>
                <w:szCs w:val="20"/>
              </w:rPr>
            </w:pPr>
            <w:r w:rsidRPr="00AA2CC6">
              <w:rPr>
                <w:rFonts w:ascii="Calibri Light" w:hAnsi="Calibri Light"/>
                <w:color w:val="000000" w:themeColor="text1"/>
              </w:rPr>
              <w:t>Recommendation #&lt;Number&gt;</w:t>
            </w:r>
          </w:p>
        </w:tc>
        <w:tc>
          <w:tcPr>
            <w:tcW w:w="6798" w:type="dxa"/>
          </w:tcPr>
          <w:p w14:paraId="0D93CDE1" w14:textId="77777777" w:rsidR="0039260B" w:rsidRPr="00E51BEA" w:rsidRDefault="0039260B" w:rsidP="00145CF0">
            <w:pPr>
              <w:pStyle w:val="TableHeader2"/>
              <w:rPr>
                <w:rFonts w:ascii="Calibri Light" w:hAnsi="Calibri Light"/>
              </w:rPr>
            </w:pPr>
          </w:p>
        </w:tc>
      </w:tr>
      <w:tr w:rsidR="00852A7E" w:rsidRPr="001A22F0" w14:paraId="5F1CDB41" w14:textId="77777777" w:rsidTr="0039260B">
        <w:tc>
          <w:tcPr>
            <w:tcW w:w="2754" w:type="dxa"/>
          </w:tcPr>
          <w:p w14:paraId="3EB9D482" w14:textId="120D1E92" w:rsidR="00852A7E" w:rsidRPr="00EA0A06" w:rsidRDefault="00852A7E" w:rsidP="00E164DA">
            <w:pPr>
              <w:pStyle w:val="Instructions"/>
            </w:pPr>
          </w:p>
        </w:tc>
        <w:tc>
          <w:tcPr>
            <w:tcW w:w="6798" w:type="dxa"/>
            <w:shd w:val="clear" w:color="auto" w:fill="auto"/>
          </w:tcPr>
          <w:p w14:paraId="6FF954ED" w14:textId="40FF3E92" w:rsidR="00FF6BED" w:rsidRDefault="00240623" w:rsidP="0039260B">
            <w:pPr>
              <w:jc w:val="left"/>
              <w:rPr>
                <w:color w:val="auto"/>
              </w:rPr>
            </w:pPr>
            <w:r>
              <w:t>E</w:t>
            </w:r>
            <w:r w:rsidR="00FF6BED" w:rsidRPr="005F763D">
              <w:t xml:space="preserve">ngage </w:t>
            </w:r>
            <w:r w:rsidR="00FF6BED" w:rsidRPr="005F763D">
              <w:rPr>
                <w:color w:val="FF0000"/>
              </w:rPr>
              <w:t>[Name of SMSF Administrator]</w:t>
            </w:r>
            <w:r w:rsidR="00FF6BED" w:rsidRPr="005F763D">
              <w:t xml:space="preserve"> to administer your SMSF</w:t>
            </w:r>
            <w:r w:rsidR="00FF6BED" w:rsidRPr="006E7746">
              <w:rPr>
                <w:color w:val="auto"/>
              </w:rPr>
              <w:t xml:space="preserve"> </w:t>
            </w:r>
          </w:p>
          <w:p w14:paraId="5908E471" w14:textId="77777777" w:rsidR="00FF6BED" w:rsidRDefault="00FF6BED" w:rsidP="0039260B">
            <w:pPr>
              <w:jc w:val="left"/>
              <w:rPr>
                <w:color w:val="auto"/>
              </w:rPr>
            </w:pPr>
          </w:p>
          <w:p w14:paraId="59254420" w14:textId="4B3C07ED" w:rsidR="0039260B" w:rsidRPr="006E7746" w:rsidRDefault="00A35012" w:rsidP="0039260B">
            <w:pPr>
              <w:jc w:val="left"/>
              <w:rPr>
                <w:color w:val="auto"/>
              </w:rPr>
            </w:pPr>
            <w:r w:rsidRPr="006E7746">
              <w:rPr>
                <w:color w:val="auto"/>
              </w:rPr>
              <w:t>Typically,</w:t>
            </w:r>
            <w:r w:rsidR="0039260B" w:rsidRPr="006E7746">
              <w:rPr>
                <w:color w:val="auto"/>
              </w:rPr>
              <w:t xml:space="preserve"> a SMSF Administrator can assist the Trustees of your SMSF with the following:</w:t>
            </w:r>
          </w:p>
          <w:p w14:paraId="3F6D9882" w14:textId="77777777" w:rsidR="0039260B" w:rsidRPr="00812F09" w:rsidRDefault="0039260B" w:rsidP="003812CB">
            <w:pPr>
              <w:pStyle w:val="ListParagraph"/>
              <w:numPr>
                <w:ilvl w:val="0"/>
                <w:numId w:val="61"/>
              </w:numPr>
              <w:jc w:val="left"/>
            </w:pPr>
            <w:r w:rsidRPr="00812F09">
              <w:t>Preparation of Product Disclosure Documents to be distributed to each potential member.</w:t>
            </w:r>
          </w:p>
          <w:p w14:paraId="6A807CCE" w14:textId="77777777" w:rsidR="0039260B" w:rsidRPr="00812F09" w:rsidRDefault="0039260B" w:rsidP="003812CB">
            <w:pPr>
              <w:pStyle w:val="ListParagraph"/>
              <w:numPr>
                <w:ilvl w:val="0"/>
                <w:numId w:val="61"/>
              </w:numPr>
              <w:jc w:val="left"/>
            </w:pPr>
            <w:r w:rsidRPr="00812F09">
              <w:t>Completion of establishment minutes and member application documents.</w:t>
            </w:r>
          </w:p>
          <w:p w14:paraId="5E40D2E9" w14:textId="77777777" w:rsidR="0039260B" w:rsidRPr="00812F09" w:rsidRDefault="0039260B" w:rsidP="003812CB">
            <w:pPr>
              <w:pStyle w:val="ListParagraph"/>
              <w:numPr>
                <w:ilvl w:val="0"/>
                <w:numId w:val="61"/>
              </w:numPr>
              <w:jc w:val="left"/>
            </w:pPr>
            <w:r w:rsidRPr="00812F09">
              <w:t>Handle rollovers from current funds to your own fund and establishment of administration records of such transactions.</w:t>
            </w:r>
          </w:p>
          <w:p w14:paraId="77E819F2" w14:textId="77777777" w:rsidR="0039260B" w:rsidRPr="00812F09" w:rsidRDefault="0039260B" w:rsidP="003812CB">
            <w:pPr>
              <w:pStyle w:val="ListParagraph"/>
              <w:numPr>
                <w:ilvl w:val="0"/>
                <w:numId w:val="61"/>
              </w:numPr>
              <w:jc w:val="left"/>
            </w:pPr>
            <w:r w:rsidRPr="00812F09">
              <w:t>Preparation of annual member statements.</w:t>
            </w:r>
          </w:p>
          <w:p w14:paraId="1E3848EF" w14:textId="77777777" w:rsidR="0039260B" w:rsidRPr="00812F09" w:rsidRDefault="0039260B" w:rsidP="003812CB">
            <w:pPr>
              <w:pStyle w:val="ListParagraph"/>
              <w:numPr>
                <w:ilvl w:val="0"/>
                <w:numId w:val="61"/>
              </w:numPr>
              <w:jc w:val="left"/>
            </w:pPr>
            <w:r w:rsidRPr="00812F09">
              <w:t>Preparation of trustee minutes.</w:t>
            </w:r>
          </w:p>
          <w:p w14:paraId="7052C194" w14:textId="77777777" w:rsidR="0039260B" w:rsidRPr="00812F09" w:rsidRDefault="0039260B" w:rsidP="003812CB">
            <w:pPr>
              <w:pStyle w:val="ListParagraph"/>
              <w:numPr>
                <w:ilvl w:val="0"/>
                <w:numId w:val="61"/>
              </w:numPr>
              <w:jc w:val="left"/>
            </w:pPr>
            <w:r w:rsidRPr="00812F09">
              <w:t>Keeping members advised of movements of assets outside of investment strategy.</w:t>
            </w:r>
          </w:p>
          <w:p w14:paraId="31D932EB" w14:textId="77777777" w:rsidR="0039260B" w:rsidRPr="00812F09" w:rsidRDefault="0039260B" w:rsidP="003812CB">
            <w:pPr>
              <w:pStyle w:val="ListParagraph"/>
              <w:numPr>
                <w:ilvl w:val="0"/>
                <w:numId w:val="61"/>
              </w:numPr>
              <w:jc w:val="left"/>
            </w:pPr>
            <w:r w:rsidRPr="00812F09">
              <w:t>Maintenance of member records including balances, contributions, draw downs and tax components.  Please note that some records are required to be kept for up to 10 years.</w:t>
            </w:r>
          </w:p>
          <w:p w14:paraId="7483276D" w14:textId="77777777" w:rsidR="0039260B" w:rsidRPr="00812F09" w:rsidRDefault="0039260B" w:rsidP="003812CB">
            <w:pPr>
              <w:pStyle w:val="ListParagraph"/>
              <w:numPr>
                <w:ilvl w:val="0"/>
                <w:numId w:val="61"/>
              </w:numPr>
              <w:jc w:val="left"/>
            </w:pPr>
            <w:r w:rsidRPr="00812F09">
              <w:t>Preparation and lodgement of GST and BAS returns where applicable.</w:t>
            </w:r>
          </w:p>
          <w:p w14:paraId="668C7A6E" w14:textId="77777777" w:rsidR="0039260B" w:rsidRPr="00812F09" w:rsidRDefault="0039260B" w:rsidP="003812CB">
            <w:pPr>
              <w:pStyle w:val="ListParagraph"/>
              <w:numPr>
                <w:ilvl w:val="0"/>
                <w:numId w:val="61"/>
              </w:numPr>
              <w:jc w:val="left"/>
            </w:pPr>
            <w:r w:rsidRPr="00812F09">
              <w:t>Preparation of rollover and payment documentation.</w:t>
            </w:r>
          </w:p>
          <w:p w14:paraId="3641B54A" w14:textId="77777777" w:rsidR="0039260B" w:rsidRPr="00812F09" w:rsidRDefault="0039260B" w:rsidP="003812CB">
            <w:pPr>
              <w:pStyle w:val="ListParagraph"/>
              <w:numPr>
                <w:ilvl w:val="0"/>
                <w:numId w:val="61"/>
              </w:numPr>
              <w:jc w:val="left"/>
            </w:pPr>
            <w:r w:rsidRPr="00812F09">
              <w:t>Monitoring the level of contributions received against relevant caps.</w:t>
            </w:r>
          </w:p>
          <w:p w14:paraId="7A1A5431" w14:textId="77777777" w:rsidR="00852A7E" w:rsidRPr="001A22F0" w:rsidRDefault="00852A7E" w:rsidP="003A09CD">
            <w:pPr>
              <w:jc w:val="left"/>
            </w:pPr>
          </w:p>
        </w:tc>
      </w:tr>
    </w:tbl>
    <w:p w14:paraId="72951612" w14:textId="77777777" w:rsidR="00852A7E" w:rsidRPr="005F763D" w:rsidRDefault="00852A7E" w:rsidP="008C7CE9">
      <w:pPr>
        <w:jc w:val="left"/>
      </w:pPr>
    </w:p>
    <w:p w14:paraId="0ABCBF72" w14:textId="77777777" w:rsidR="00C2375F" w:rsidRPr="005F763D" w:rsidRDefault="00C2375F" w:rsidP="008C7CE9">
      <w:pPr>
        <w:jc w:val="left"/>
      </w:pPr>
    </w:p>
    <w:p w14:paraId="59757E69" w14:textId="77777777" w:rsidR="00C2375F" w:rsidRPr="005F763D" w:rsidRDefault="00C2375F" w:rsidP="008C7CE9">
      <w:pPr>
        <w:jc w:val="left"/>
      </w:pPr>
    </w:p>
    <w:p w14:paraId="0B7F64C1" w14:textId="44C6F336" w:rsidR="00C2375F" w:rsidRDefault="00C2375F" w:rsidP="008C7CE9">
      <w:pPr>
        <w:jc w:val="left"/>
        <w:rPr>
          <w:color w:val="002060"/>
          <w:sz w:val="24"/>
        </w:rPr>
      </w:pPr>
      <w:bookmarkStart w:id="51" w:name="_Toc376868653"/>
      <w:bookmarkEnd w:id="50"/>
      <w:r w:rsidRPr="005F763D">
        <w:rPr>
          <w:color w:val="002060"/>
          <w:sz w:val="24"/>
        </w:rPr>
        <w:t>Rollover Existing Superannuation to SMSF</w:t>
      </w:r>
    </w:p>
    <w:p w14:paraId="1F6D39F5" w14:textId="7A0369B4" w:rsidR="00A8727D" w:rsidRDefault="00A8727D" w:rsidP="008C7CE9">
      <w:pPr>
        <w:jc w:val="left"/>
        <w:rPr>
          <w:color w:val="002060"/>
          <w:sz w:val="24"/>
        </w:rPr>
      </w:pPr>
    </w:p>
    <w:tbl>
      <w:tblPr>
        <w:tblW w:w="0" w:type="auto"/>
        <w:tblInd w:w="76" w:type="dxa"/>
        <w:tblLook w:val="04A0" w:firstRow="1" w:lastRow="0" w:firstColumn="1" w:lastColumn="0" w:noHBand="0" w:noVBand="1"/>
      </w:tblPr>
      <w:tblGrid>
        <w:gridCol w:w="2754"/>
        <w:gridCol w:w="6798"/>
      </w:tblGrid>
      <w:tr w:rsidR="00A8727D" w:rsidRPr="00E51BEA" w14:paraId="175F6046"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54EF827"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192CA16" w14:textId="77777777" w:rsidR="00A8727D" w:rsidRPr="00E51BEA" w:rsidRDefault="00A8727D" w:rsidP="00D2574D">
            <w:pPr>
              <w:pStyle w:val="TableHeader2"/>
              <w:rPr>
                <w:rFonts w:ascii="Calibri Light" w:hAnsi="Calibri Light"/>
              </w:rPr>
            </w:pPr>
          </w:p>
        </w:tc>
      </w:tr>
      <w:tr w:rsidR="00A8727D" w:rsidRPr="0088114A" w14:paraId="1052DFB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0FD0C56" w14:textId="77777777" w:rsidR="00A8727D" w:rsidRPr="00E87AAA" w:rsidRDefault="00A8727D" w:rsidP="00E164DA">
            <w:pPr>
              <w:pStyle w:val="Instructions"/>
            </w:pPr>
            <w:r w:rsidRPr="00E87AAA">
              <w:t>Title</w:t>
            </w:r>
          </w:p>
        </w:tc>
        <w:tc>
          <w:tcPr>
            <w:tcW w:w="6798" w:type="dxa"/>
            <w:shd w:val="clear" w:color="auto" w:fill="auto"/>
          </w:tcPr>
          <w:p w14:paraId="46CF0DD8" w14:textId="0968E3A3" w:rsidR="00A8727D" w:rsidRPr="0088114A" w:rsidRDefault="007A34C5" w:rsidP="00D2574D">
            <w:pPr>
              <w:spacing w:before="120"/>
            </w:pPr>
            <w:r>
              <w:t>Rollover Existing Superannuation to SMSF</w:t>
            </w:r>
          </w:p>
        </w:tc>
      </w:tr>
      <w:tr w:rsidR="00A8727D" w:rsidRPr="0088114A" w14:paraId="05610A7F"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65CB3C3" w14:textId="77777777" w:rsidR="00A8727D" w:rsidRPr="00E87AAA" w:rsidRDefault="00A8727D" w:rsidP="00E164DA">
            <w:pPr>
              <w:pStyle w:val="Instructions"/>
            </w:pPr>
            <w:r w:rsidRPr="00E87AAA">
              <w:t>Explanation</w:t>
            </w:r>
          </w:p>
        </w:tc>
        <w:tc>
          <w:tcPr>
            <w:tcW w:w="6798" w:type="dxa"/>
            <w:shd w:val="clear" w:color="auto" w:fill="auto"/>
          </w:tcPr>
          <w:p w14:paraId="3D692299" w14:textId="66C555CA" w:rsidR="00A8727D" w:rsidRPr="0088114A" w:rsidRDefault="007A34C5" w:rsidP="00D2574D">
            <w:pPr>
              <w:spacing w:before="120"/>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xml:space="preserve">, </w:t>
            </w:r>
            <w:r w:rsidRPr="00D769BE">
              <w:t>roll over</w:t>
            </w:r>
            <w:r w:rsidRPr="005F763D">
              <w:t xml:space="preserve"> </w:t>
            </w:r>
            <w:r w:rsidRPr="005F763D">
              <w:rPr>
                <w:color w:val="FF0000"/>
              </w:rPr>
              <w:t>[$__</w:t>
            </w:r>
            <w:proofErr w:type="gramStart"/>
            <w:r w:rsidRPr="005F763D">
              <w:rPr>
                <w:color w:val="FF0000"/>
              </w:rPr>
              <w:t>_,_</w:t>
            </w:r>
            <w:proofErr w:type="gramEnd"/>
            <w:r w:rsidRPr="005F763D">
              <w:rPr>
                <w:color w:val="FF0000"/>
              </w:rPr>
              <w:t>__]</w:t>
            </w:r>
            <w:r w:rsidRPr="000D0191">
              <w:rPr>
                <w:color w:val="7030A0"/>
              </w:rPr>
              <w:t xml:space="preserve"> </w:t>
            </w:r>
            <w:r w:rsidRPr="003812CB">
              <w:t>of your existing superannuation</w:t>
            </w:r>
            <w:r w:rsidRPr="005F763D">
              <w:t xml:space="preserve"> </w:t>
            </w:r>
            <w:r w:rsidRPr="007A34C5">
              <w:rPr>
                <w:color w:val="7030A0"/>
                <w:highlight w:val="yellow"/>
              </w:rPr>
              <w:t>[fund</w:t>
            </w:r>
            <w:r>
              <w:t xml:space="preserve"> </w:t>
            </w:r>
            <w:r w:rsidRPr="007A34C5">
              <w:rPr>
                <w:color w:val="7030A0"/>
                <w:highlight w:val="yellow"/>
              </w:rPr>
              <w:t>name]</w:t>
            </w:r>
            <w:r>
              <w:t xml:space="preserve"> </w:t>
            </w:r>
            <w:r w:rsidRPr="003812CB">
              <w:t>to your SMSF</w:t>
            </w:r>
            <w:r w:rsidR="00DF410E">
              <w:t xml:space="preserve"> </w:t>
            </w:r>
            <w:r w:rsidR="00DF410E" w:rsidRPr="00E11BDB">
              <w:rPr>
                <w:color w:val="7030A0"/>
                <w:highlight w:val="yellow"/>
              </w:rPr>
              <w:t>[fund name]</w:t>
            </w:r>
            <w:r w:rsidR="00D769BE" w:rsidRPr="002C0D98">
              <w:rPr>
                <w:color w:val="auto"/>
              </w:rPr>
              <w:t>.</w:t>
            </w:r>
          </w:p>
        </w:tc>
      </w:tr>
      <w:tr w:rsidR="00A8727D" w:rsidRPr="00E87AAA" w14:paraId="7DFB64B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DC657A" w14:textId="77777777" w:rsidR="00A8727D" w:rsidRPr="00E87AAA" w:rsidRDefault="00A8727D" w:rsidP="00E164DA">
            <w:pPr>
              <w:pStyle w:val="Instructions"/>
            </w:pPr>
            <w:r w:rsidRPr="00E87AAA">
              <w:t>In your Best Interest</w:t>
            </w:r>
          </w:p>
        </w:tc>
        <w:tc>
          <w:tcPr>
            <w:tcW w:w="6798" w:type="dxa"/>
            <w:shd w:val="clear" w:color="auto" w:fill="auto"/>
          </w:tcPr>
          <w:p w14:paraId="002DF422" w14:textId="77777777" w:rsidR="00A8727D" w:rsidRPr="00E87AAA" w:rsidRDefault="00A8727D" w:rsidP="00D2574D">
            <w:pPr>
              <w:spacing w:before="120"/>
              <w:jc w:val="left"/>
              <w:rPr>
                <w:sz w:val="18"/>
                <w:szCs w:val="18"/>
                <w:highlight w:val="yellow"/>
              </w:rPr>
            </w:pPr>
          </w:p>
        </w:tc>
      </w:tr>
      <w:tr w:rsidR="00A8727D" w:rsidRPr="00E87AAA" w14:paraId="713993E6"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0547CD5" w14:textId="77777777" w:rsidR="00A8727D" w:rsidRPr="00E87AAA" w:rsidRDefault="00A8727D" w:rsidP="00E164DA">
            <w:pPr>
              <w:pStyle w:val="Instructions"/>
            </w:pPr>
            <w:r>
              <w:t>Further Detail</w:t>
            </w:r>
          </w:p>
        </w:tc>
        <w:tc>
          <w:tcPr>
            <w:tcW w:w="6798" w:type="dxa"/>
            <w:shd w:val="clear" w:color="auto" w:fill="auto"/>
          </w:tcPr>
          <w:p w14:paraId="5146780B" w14:textId="614E34E8" w:rsidR="009357A8" w:rsidRPr="00046D3D" w:rsidRDefault="009357A8">
            <w:pPr>
              <w:pStyle w:val="InterPracBullet"/>
              <w:numPr>
                <w:ilvl w:val="0"/>
                <w:numId w:val="132"/>
              </w:numPr>
              <w:rPr>
                <w:lang w:val="en-AU"/>
              </w:rPr>
            </w:pPr>
            <w:r w:rsidRPr="00195C96">
              <w:t>At present you have a number of existing superannuation accounts, which can be both administratively cumbersome and expensive.  Consolidating these accounts into a single fund, will simplify the administration of your superannuation assets and may reduce any unnecessary costs.</w:t>
            </w:r>
          </w:p>
          <w:p w14:paraId="5F0B0B73" w14:textId="7E0994FF" w:rsidR="00777933" w:rsidRPr="00E11BDB" w:rsidRDefault="00777933">
            <w:pPr>
              <w:pStyle w:val="InterPracBullet"/>
              <w:numPr>
                <w:ilvl w:val="0"/>
                <w:numId w:val="132"/>
              </w:numPr>
            </w:pPr>
            <w:r w:rsidRPr="00E11BDB">
              <w:t xml:space="preserve">Your SMSF can provide a wider choice of greater investment opportunities, including exposure to direct shares, managed funds and boutique funds, </w:t>
            </w:r>
            <w:r w:rsidRPr="00E11BDB">
              <w:lastRenderedPageBreak/>
              <w:t>allowing you to target a portfolio that is tailored to your specific goals and your investor profile.</w:t>
            </w:r>
          </w:p>
          <w:p w14:paraId="45C31930" w14:textId="0958AA15" w:rsidR="00777933" w:rsidRPr="00E11BDB" w:rsidRDefault="00777933">
            <w:pPr>
              <w:pStyle w:val="InterPracBullet"/>
              <w:numPr>
                <w:ilvl w:val="0"/>
                <w:numId w:val="132"/>
              </w:numPr>
            </w:pPr>
            <w:r w:rsidRPr="00E11BDB">
              <w:t>Your SMSF can also provide you with more control and flexibility with your superannuation assets.</w:t>
            </w:r>
          </w:p>
          <w:p w14:paraId="68AA1B2E" w14:textId="6C140D62" w:rsidR="00777933" w:rsidRPr="00E11BDB" w:rsidRDefault="00777933">
            <w:pPr>
              <w:pStyle w:val="InterPracBullet"/>
              <w:numPr>
                <w:ilvl w:val="0"/>
                <w:numId w:val="132"/>
              </w:numPr>
            </w:pPr>
            <w:r w:rsidRPr="00E11BDB">
              <w:t>Through your SMSF, you can also have a greater ability to control the tax consequences of your underlying investment portfolio, both through the use of Imputation Credits and by being able to determine when the underlying assets are bought and sold.</w:t>
            </w:r>
          </w:p>
          <w:p w14:paraId="5D5048C1" w14:textId="77777777" w:rsidR="003812CB" w:rsidRPr="00E11BDB" w:rsidRDefault="003812CB">
            <w:pPr>
              <w:pStyle w:val="InterPracBullet"/>
            </w:pPr>
          </w:p>
          <w:p w14:paraId="372BA71F" w14:textId="6B0D29DB" w:rsidR="00A67DB2" w:rsidRPr="00E11BDB" w:rsidRDefault="00777933" w:rsidP="00A67DB2">
            <w:pPr>
              <w:pStyle w:val="NormalBoldItalic"/>
              <w:jc w:val="left"/>
            </w:pPr>
            <w:r w:rsidRPr="00E11BDB">
              <w:t>Based on the level of funds that you have invested in superannuation, your SMSF can provide cost savings over the longer-term, as the costs of operating your SMSF are largely fixed, whereas the costs associated with your existing superannuation products are calculated as a percentage of your account balance.</w:t>
            </w:r>
          </w:p>
          <w:p w14:paraId="25DB09FB" w14:textId="77777777" w:rsidR="003F1426" w:rsidRDefault="003F1426" w:rsidP="00A67DB2">
            <w:pPr>
              <w:pStyle w:val="NormalBoldItalic"/>
              <w:jc w:val="left"/>
            </w:pPr>
          </w:p>
          <w:p w14:paraId="4A1A8E25" w14:textId="43B5F959" w:rsidR="00A67DB2" w:rsidRPr="005F763D" w:rsidRDefault="00A67DB2" w:rsidP="00A67DB2">
            <w:pPr>
              <w:pStyle w:val="NormalBoldItalic"/>
              <w:jc w:val="left"/>
            </w:pPr>
            <w:r w:rsidRPr="005F763D">
              <w:t>Please refer to the Replacement of Product Information section of this advice, for further information.</w:t>
            </w:r>
          </w:p>
          <w:p w14:paraId="0F33CC7E" w14:textId="77777777" w:rsidR="00A8727D" w:rsidRDefault="00A8727D" w:rsidP="00D2574D">
            <w:pPr>
              <w:spacing w:before="120"/>
              <w:jc w:val="left"/>
              <w:rPr>
                <w:sz w:val="18"/>
                <w:szCs w:val="18"/>
                <w:highlight w:val="yellow"/>
              </w:rPr>
            </w:pPr>
          </w:p>
          <w:p w14:paraId="5679BC66" w14:textId="77777777" w:rsidR="00D76604" w:rsidRPr="00D76604" w:rsidRDefault="00D76604" w:rsidP="00D76604">
            <w:pPr>
              <w:jc w:val="left"/>
              <w:rPr>
                <w:color w:val="auto"/>
              </w:rPr>
            </w:pPr>
            <w:r w:rsidRPr="00D76604">
              <w:rPr>
                <w:color w:val="auto"/>
              </w:rPr>
              <w:t>In rolling over your existing superannuation, there are a number of considerations and implications you need to be aware of, including:</w:t>
            </w:r>
          </w:p>
          <w:p w14:paraId="173D7890" w14:textId="1B66E87C" w:rsidR="00D76604" w:rsidRPr="0044064D" w:rsidRDefault="00D76604" w:rsidP="003812CB">
            <w:pPr>
              <w:pStyle w:val="ListParagraph"/>
              <w:numPr>
                <w:ilvl w:val="0"/>
                <w:numId w:val="62"/>
              </w:numPr>
              <w:jc w:val="left"/>
            </w:pPr>
            <w:commentRangeStart w:id="52"/>
            <w:r w:rsidRPr="0044064D">
              <w:t>Upfront</w:t>
            </w:r>
            <w:r w:rsidR="00E57C9B" w:rsidRPr="0044064D">
              <w:t xml:space="preserve"> versus</w:t>
            </w:r>
            <w:r w:rsidRPr="0044064D">
              <w:t xml:space="preserve"> ongoing and exit fees;</w:t>
            </w:r>
          </w:p>
          <w:p w14:paraId="2C46E82F" w14:textId="77777777" w:rsidR="00D76604" w:rsidRPr="005F763D" w:rsidRDefault="00D76604" w:rsidP="003812CB">
            <w:pPr>
              <w:pStyle w:val="ListParagraph"/>
              <w:numPr>
                <w:ilvl w:val="0"/>
                <w:numId w:val="62"/>
              </w:numPr>
              <w:jc w:val="left"/>
            </w:pPr>
            <w:r w:rsidRPr="005F763D">
              <w:t>Buy/Sell costs;</w:t>
            </w:r>
          </w:p>
          <w:p w14:paraId="37460B92" w14:textId="77777777" w:rsidR="00D76604" w:rsidRPr="005F763D" w:rsidRDefault="00D76604" w:rsidP="003812CB">
            <w:pPr>
              <w:pStyle w:val="ListParagraph"/>
              <w:numPr>
                <w:ilvl w:val="0"/>
                <w:numId w:val="62"/>
              </w:numPr>
              <w:jc w:val="left"/>
            </w:pPr>
            <w:r w:rsidRPr="005F763D">
              <w:t>Time out of the market; and</w:t>
            </w:r>
          </w:p>
          <w:p w14:paraId="1536B83C" w14:textId="77777777" w:rsidR="00D76604" w:rsidRPr="005F763D" w:rsidRDefault="00D76604" w:rsidP="003812CB">
            <w:pPr>
              <w:pStyle w:val="ListParagraph"/>
              <w:numPr>
                <w:ilvl w:val="0"/>
                <w:numId w:val="62"/>
              </w:numPr>
              <w:jc w:val="left"/>
            </w:pPr>
            <w:r w:rsidRPr="005F763D">
              <w:t>Loss of insurance, bonuses and auto acceptance.</w:t>
            </w:r>
            <w:commentRangeEnd w:id="52"/>
            <w:r w:rsidR="00891346">
              <w:rPr>
                <w:rStyle w:val="CommentReference"/>
                <w:color w:val="auto"/>
                <w:lang w:eastAsia="ja-JP"/>
              </w:rPr>
              <w:commentReference w:id="52"/>
            </w:r>
          </w:p>
          <w:p w14:paraId="3445B4E5" w14:textId="33138721" w:rsidR="00D76604" w:rsidRPr="00E87AAA" w:rsidRDefault="00D76604" w:rsidP="00D2574D">
            <w:pPr>
              <w:spacing w:before="120"/>
              <w:jc w:val="left"/>
              <w:rPr>
                <w:sz w:val="18"/>
                <w:szCs w:val="18"/>
                <w:highlight w:val="yellow"/>
              </w:rPr>
            </w:pPr>
          </w:p>
        </w:tc>
      </w:tr>
    </w:tbl>
    <w:p w14:paraId="526D880E" w14:textId="4C4E45C7" w:rsidR="00C2375F" w:rsidRDefault="00C2375F" w:rsidP="008C7CE9">
      <w:pPr>
        <w:jc w:val="left"/>
        <w:rPr>
          <w:color w:val="002060"/>
          <w:sz w:val="24"/>
        </w:rPr>
      </w:pPr>
    </w:p>
    <w:p w14:paraId="71D7D076" w14:textId="77777777" w:rsidR="00DB5506" w:rsidRPr="005F763D" w:rsidRDefault="00DB5506" w:rsidP="008C7CE9">
      <w:pPr>
        <w:jc w:val="left"/>
      </w:pPr>
    </w:p>
    <w:p w14:paraId="4F0955FB" w14:textId="77777777" w:rsidR="00C2375F" w:rsidRPr="005F763D" w:rsidRDefault="00C2375F" w:rsidP="008C7CE9">
      <w:pPr>
        <w:jc w:val="left"/>
        <w:rPr>
          <w:color w:val="002060"/>
          <w:sz w:val="24"/>
        </w:rPr>
      </w:pPr>
      <w:bookmarkStart w:id="53" w:name="_Toc376868654"/>
      <w:bookmarkEnd w:id="51"/>
      <w:r w:rsidRPr="005F763D">
        <w:rPr>
          <w:color w:val="002060"/>
          <w:sz w:val="24"/>
        </w:rPr>
        <w:t>In-Specie Transfer to SMSF</w:t>
      </w:r>
    </w:p>
    <w:p w14:paraId="3434504E" w14:textId="7AE9CAE5"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145CF0" w:rsidRPr="00E51BEA" w14:paraId="0A1D3932" w14:textId="77777777" w:rsidTr="00145CF0">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20ADAC8" w14:textId="77777777" w:rsidR="00145CF0" w:rsidRPr="00AA2CC6" w:rsidRDefault="00145CF0" w:rsidP="00145CF0">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578107C" w14:textId="77777777" w:rsidR="00145CF0" w:rsidRPr="00E51BEA" w:rsidRDefault="00145CF0" w:rsidP="00145CF0">
            <w:pPr>
              <w:pStyle w:val="TableHeader2"/>
              <w:rPr>
                <w:rFonts w:ascii="Calibri Light" w:hAnsi="Calibri Light"/>
              </w:rPr>
            </w:pPr>
          </w:p>
        </w:tc>
      </w:tr>
      <w:tr w:rsidR="00145CF0" w:rsidRPr="0088114A" w14:paraId="6051FE9F"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27E5F8" w14:textId="77777777" w:rsidR="00145CF0" w:rsidRPr="00E87AAA" w:rsidRDefault="00145CF0" w:rsidP="00E164DA">
            <w:pPr>
              <w:pStyle w:val="Instructions"/>
            </w:pPr>
            <w:r w:rsidRPr="00E87AAA">
              <w:t>Title</w:t>
            </w:r>
          </w:p>
        </w:tc>
        <w:tc>
          <w:tcPr>
            <w:tcW w:w="6798" w:type="dxa"/>
            <w:shd w:val="clear" w:color="auto" w:fill="auto"/>
          </w:tcPr>
          <w:p w14:paraId="7BAE1469" w14:textId="23C5DF42" w:rsidR="00145CF0" w:rsidRPr="0088114A" w:rsidRDefault="002B28C3" w:rsidP="00145CF0">
            <w:pPr>
              <w:spacing w:before="120"/>
            </w:pPr>
            <w:r>
              <w:t>In-Specie Transfer to SMSF</w:t>
            </w:r>
          </w:p>
        </w:tc>
      </w:tr>
      <w:tr w:rsidR="00145CF0" w:rsidRPr="0088114A" w14:paraId="718C90AC"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A20AFA" w14:textId="77777777" w:rsidR="00145CF0" w:rsidRPr="00E87AAA" w:rsidRDefault="00145CF0" w:rsidP="00E164DA">
            <w:pPr>
              <w:pStyle w:val="Instructions"/>
            </w:pPr>
            <w:r w:rsidRPr="00E87AAA">
              <w:t>Explanation</w:t>
            </w:r>
          </w:p>
        </w:tc>
        <w:tc>
          <w:tcPr>
            <w:tcW w:w="6798" w:type="dxa"/>
            <w:shd w:val="clear" w:color="auto" w:fill="auto"/>
          </w:tcPr>
          <w:p w14:paraId="50C8747F" w14:textId="3F72D12F" w:rsidR="000D500A" w:rsidRDefault="000D500A" w:rsidP="000D500A">
            <w:pPr>
              <w:jc w:val="left"/>
              <w:rPr>
                <w:color w:val="7030A0"/>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recommended that you make a contribution of $</w:t>
            </w:r>
            <w:r w:rsidRPr="005F763D">
              <w:rPr>
                <w:color w:val="FF0000"/>
              </w:rPr>
              <w:t>[__</w:t>
            </w:r>
            <w:proofErr w:type="gramStart"/>
            <w:r w:rsidRPr="005F763D">
              <w:rPr>
                <w:color w:val="FF0000"/>
              </w:rPr>
              <w:t>_,_</w:t>
            </w:r>
            <w:proofErr w:type="gramEnd"/>
            <w:r w:rsidRPr="005F763D">
              <w:rPr>
                <w:color w:val="FF0000"/>
              </w:rPr>
              <w:t>__]</w:t>
            </w:r>
            <w:r w:rsidRPr="005F763D">
              <w:t xml:space="preserve"> by transferring </w:t>
            </w:r>
            <w:r w:rsidRPr="000D0191">
              <w:rPr>
                <w:color w:val="7030A0"/>
                <w:highlight w:val="yellow"/>
              </w:rPr>
              <w:t>[asset]</w:t>
            </w:r>
            <w:r w:rsidRPr="005F763D">
              <w:t xml:space="preserve"> into your SMSF as an in-specie contribution.</w:t>
            </w:r>
          </w:p>
          <w:p w14:paraId="3315D385" w14:textId="44C6FBC5" w:rsidR="000D500A" w:rsidRPr="000D0191" w:rsidRDefault="000D500A" w:rsidP="000D500A">
            <w:pPr>
              <w:jc w:val="left"/>
              <w:rPr>
                <w:color w:val="7030A0"/>
                <w:highlight w:val="yellow"/>
              </w:rPr>
            </w:pPr>
            <w:r w:rsidRPr="000D0191">
              <w:rPr>
                <w:color w:val="7030A0"/>
                <w:highlight w:val="yellow"/>
              </w:rPr>
              <w:t xml:space="preserve">The contribution </w:t>
            </w:r>
            <w:r>
              <w:rPr>
                <w:color w:val="7030A0"/>
                <w:highlight w:val="yellow"/>
              </w:rPr>
              <w:t>to</w:t>
            </w:r>
            <w:r w:rsidRPr="000D0191">
              <w:rPr>
                <w:color w:val="7030A0"/>
                <w:highlight w:val="yellow"/>
              </w:rPr>
              <w:t xml:space="preserve"> be classified as a non-concessional contribution.</w:t>
            </w:r>
          </w:p>
          <w:p w14:paraId="67606723" w14:textId="77777777" w:rsidR="000D500A" w:rsidRPr="006A5D85" w:rsidRDefault="000D500A" w:rsidP="0044064D">
            <w:pPr>
              <w:pStyle w:val="NormalRed"/>
            </w:pPr>
            <w:r w:rsidRPr="0044064D">
              <w:t>OR</w:t>
            </w:r>
          </w:p>
          <w:p w14:paraId="7861910A" w14:textId="26852B03" w:rsidR="000D500A" w:rsidRPr="000D0191" w:rsidRDefault="000D500A" w:rsidP="000D500A">
            <w:pPr>
              <w:jc w:val="left"/>
              <w:rPr>
                <w:color w:val="7030A0"/>
                <w:highlight w:val="yellow"/>
              </w:rPr>
            </w:pPr>
            <w:r w:rsidRPr="000D0191">
              <w:rPr>
                <w:color w:val="7030A0"/>
                <w:highlight w:val="yellow"/>
              </w:rPr>
              <w:t xml:space="preserve">The contribution </w:t>
            </w:r>
            <w:r>
              <w:rPr>
                <w:color w:val="7030A0"/>
                <w:highlight w:val="yellow"/>
              </w:rPr>
              <w:t xml:space="preserve">to </w:t>
            </w:r>
            <w:r w:rsidRPr="000D0191">
              <w:rPr>
                <w:color w:val="7030A0"/>
                <w:highlight w:val="yellow"/>
              </w:rPr>
              <w:t xml:space="preserve">be </w:t>
            </w:r>
            <w:r w:rsidR="00ED7CBC">
              <w:rPr>
                <w:color w:val="7030A0"/>
                <w:highlight w:val="yellow"/>
              </w:rPr>
              <w:t xml:space="preserve">classified as </w:t>
            </w:r>
            <w:r w:rsidRPr="000D0191">
              <w:rPr>
                <w:color w:val="7030A0"/>
                <w:highlight w:val="yellow"/>
              </w:rPr>
              <w:t>a concessional contribution.</w:t>
            </w:r>
          </w:p>
          <w:p w14:paraId="520618FA" w14:textId="77777777" w:rsidR="000D500A" w:rsidRPr="0044064D" w:rsidRDefault="000D500A" w:rsidP="0044064D">
            <w:pPr>
              <w:pStyle w:val="NormalRed"/>
            </w:pPr>
            <w:r w:rsidRPr="0044064D">
              <w:t>OR</w:t>
            </w:r>
          </w:p>
          <w:p w14:paraId="4EF921D6" w14:textId="77777777" w:rsidR="000D500A" w:rsidRPr="005F763D" w:rsidRDefault="000D500A" w:rsidP="000D500A">
            <w:pPr>
              <w:jc w:val="left"/>
            </w:pPr>
            <w:r w:rsidRPr="000D0191">
              <w:rPr>
                <w:color w:val="7030A0"/>
                <w:highlight w:val="yellow"/>
              </w:rPr>
              <w:t>You can claim a personal tax deduction for $</w:t>
            </w:r>
            <w:r w:rsidRPr="0030411A">
              <w:rPr>
                <w:color w:val="FF0000"/>
              </w:rPr>
              <w:t>[__</w:t>
            </w:r>
            <w:proofErr w:type="gramStart"/>
            <w:r w:rsidRPr="0030411A">
              <w:rPr>
                <w:color w:val="FF0000"/>
              </w:rPr>
              <w:t>_,_</w:t>
            </w:r>
            <w:proofErr w:type="gramEnd"/>
            <w:r w:rsidRPr="0030411A">
              <w:rPr>
                <w:color w:val="FF0000"/>
              </w:rPr>
              <w:t>__]</w:t>
            </w:r>
            <w:r w:rsidRPr="000D0191">
              <w:rPr>
                <w:highlight w:val="yellow"/>
              </w:rPr>
              <w:t xml:space="preserve"> </w:t>
            </w:r>
            <w:r w:rsidRPr="000D0191">
              <w:rPr>
                <w:color w:val="7030A0"/>
                <w:highlight w:val="yellow"/>
              </w:rPr>
              <w:t>of the amount contributed and the balance of $</w:t>
            </w:r>
            <w:r w:rsidRPr="0030411A">
              <w:rPr>
                <w:color w:val="FF0000"/>
              </w:rPr>
              <w:t>[___,___]</w:t>
            </w:r>
            <w:r w:rsidRPr="000D0191">
              <w:rPr>
                <w:highlight w:val="yellow"/>
              </w:rPr>
              <w:t xml:space="preserve"> </w:t>
            </w:r>
            <w:r w:rsidRPr="000D0191">
              <w:rPr>
                <w:color w:val="7030A0"/>
                <w:highlight w:val="yellow"/>
              </w:rPr>
              <w:t>will be a non-concessional contribution.</w:t>
            </w:r>
          </w:p>
          <w:p w14:paraId="178C0445" w14:textId="77777777" w:rsidR="00145CF0" w:rsidRPr="0088114A" w:rsidRDefault="00145CF0" w:rsidP="000D500A">
            <w:pPr>
              <w:jc w:val="left"/>
              <w:rPr>
                <w:sz w:val="18"/>
                <w:szCs w:val="18"/>
                <w:highlight w:val="yellow"/>
              </w:rPr>
            </w:pPr>
          </w:p>
        </w:tc>
      </w:tr>
      <w:tr w:rsidR="00145CF0" w:rsidRPr="00E87AAA" w14:paraId="3F7D1D63"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970CDF" w14:textId="77777777" w:rsidR="00145CF0" w:rsidRPr="00E87AAA" w:rsidRDefault="00145CF0" w:rsidP="00E164DA">
            <w:pPr>
              <w:pStyle w:val="Instructions"/>
            </w:pPr>
            <w:r w:rsidRPr="00E87AAA">
              <w:t>In your Best Interest</w:t>
            </w:r>
          </w:p>
        </w:tc>
        <w:tc>
          <w:tcPr>
            <w:tcW w:w="6798" w:type="dxa"/>
            <w:shd w:val="clear" w:color="auto" w:fill="auto"/>
          </w:tcPr>
          <w:p w14:paraId="15D5A08E" w14:textId="77777777" w:rsidR="00145CF0" w:rsidRPr="00E87AAA" w:rsidRDefault="00145CF0" w:rsidP="00145CF0">
            <w:pPr>
              <w:spacing w:before="120"/>
              <w:jc w:val="left"/>
              <w:rPr>
                <w:sz w:val="18"/>
                <w:szCs w:val="18"/>
                <w:highlight w:val="yellow"/>
              </w:rPr>
            </w:pPr>
          </w:p>
        </w:tc>
      </w:tr>
      <w:tr w:rsidR="00145CF0" w:rsidRPr="003B1476" w14:paraId="4530F933"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DDD227A" w14:textId="77777777" w:rsidR="00145CF0" w:rsidRPr="003B1476" w:rsidRDefault="00145CF0" w:rsidP="00E164DA">
            <w:pPr>
              <w:pStyle w:val="Instructions"/>
            </w:pPr>
            <w:r w:rsidRPr="003B1476">
              <w:t>Further Detail</w:t>
            </w:r>
          </w:p>
        </w:tc>
        <w:tc>
          <w:tcPr>
            <w:tcW w:w="6798" w:type="dxa"/>
            <w:shd w:val="clear" w:color="auto" w:fill="auto"/>
          </w:tcPr>
          <w:p w14:paraId="084D00A0" w14:textId="77777777" w:rsidR="000D500A" w:rsidRPr="003B1476" w:rsidRDefault="000D500A" w:rsidP="000D500A">
            <w:pPr>
              <w:jc w:val="left"/>
            </w:pPr>
            <w:r w:rsidRPr="003B1476">
              <w:t>An in-specie contribution occurs where an asset is transferred to a superannuation fund by the member (or on behalf of the member). The amount of the contribution is equal to the market value of the asset transferred to the fund</w:t>
            </w:r>
          </w:p>
          <w:p w14:paraId="3BCC3D4D" w14:textId="77777777" w:rsidR="000D500A" w:rsidRPr="003B1476" w:rsidRDefault="000D500A" w:rsidP="000D500A">
            <w:pPr>
              <w:jc w:val="left"/>
            </w:pPr>
            <w:r w:rsidRPr="003B1476">
              <w:t>A superannuation fund can acquire the following assets from a member/related party:</w:t>
            </w:r>
          </w:p>
          <w:p w14:paraId="07C57648" w14:textId="77777777" w:rsidR="000D500A" w:rsidRPr="003B1476" w:rsidRDefault="000D500A">
            <w:pPr>
              <w:pStyle w:val="InterPracBullet"/>
            </w:pPr>
            <w:r w:rsidRPr="003B1476">
              <w:t>Listed securities (shares, units, fixed interest bonds and debentures, rights and options, or any other security listed in Australia or by an approved overseas stock exchange.</w:t>
            </w:r>
          </w:p>
          <w:p w14:paraId="3D575471" w14:textId="77777777" w:rsidR="000D500A" w:rsidRPr="003B1476" w:rsidRDefault="000D500A">
            <w:pPr>
              <w:pStyle w:val="InterPracBullet"/>
            </w:pPr>
            <w:r w:rsidRPr="003B1476">
              <w:t>Units in widely held managed funds.</w:t>
            </w:r>
          </w:p>
          <w:p w14:paraId="5A4F4AEE" w14:textId="77777777" w:rsidR="000D500A" w:rsidRPr="003B1476" w:rsidRDefault="000D500A">
            <w:pPr>
              <w:pStyle w:val="InterPracBullet"/>
            </w:pPr>
            <w:r w:rsidRPr="003B1476">
              <w:t>Business real property (but only where the superannuation fund is a self-managed superannuation fund or an APRA small fund).</w:t>
            </w:r>
          </w:p>
          <w:p w14:paraId="339F6DC3" w14:textId="77777777" w:rsidR="00145CF0" w:rsidRPr="006A4FA3" w:rsidRDefault="00D67507" w:rsidP="00145CF0">
            <w:pPr>
              <w:spacing w:before="120"/>
              <w:jc w:val="left"/>
            </w:pPr>
            <w:r w:rsidRPr="006A4FA3">
              <w:t>Typically, making an in-specie contribution to superannuation meets your needs/objectives for the following reasons:</w:t>
            </w:r>
          </w:p>
          <w:p w14:paraId="08BC00BF" w14:textId="77777777" w:rsidR="00D67507" w:rsidRPr="006A4FA3" w:rsidRDefault="00D67507">
            <w:pPr>
              <w:pStyle w:val="InterPracBullet"/>
              <w:numPr>
                <w:ilvl w:val="0"/>
                <w:numId w:val="116"/>
              </w:numPr>
            </w:pPr>
            <w:r w:rsidRPr="006A4FA3">
              <w:lastRenderedPageBreak/>
              <w:t>Increasing your superannuation savings helps you save for retirement.</w:t>
            </w:r>
          </w:p>
          <w:p w14:paraId="2F754AFF" w14:textId="77777777" w:rsidR="00D67507" w:rsidRPr="006A4FA3" w:rsidRDefault="00D67507">
            <w:pPr>
              <w:pStyle w:val="InterPracBullet"/>
              <w:numPr>
                <w:ilvl w:val="0"/>
                <w:numId w:val="116"/>
              </w:numPr>
            </w:pPr>
            <w:r w:rsidRPr="006A4FA3">
              <w:t>Contributing existing assets instead of cash minimises the impact on your personal cashflow.  The ongoing costs associated with these assets will be paid out of your Fund, rather than being paid by you.</w:t>
            </w:r>
          </w:p>
          <w:p w14:paraId="167B074E" w14:textId="77777777" w:rsidR="006D75E2" w:rsidRPr="006A4FA3" w:rsidRDefault="006D75E2">
            <w:pPr>
              <w:pStyle w:val="InterPracBullet"/>
              <w:numPr>
                <w:ilvl w:val="0"/>
                <w:numId w:val="116"/>
              </w:numPr>
            </w:pPr>
            <w:r w:rsidRPr="006A4FA3">
              <w:t>You can claim a 100% personal tax deduction for the Concessional Contributions to you make to superannuation.</w:t>
            </w:r>
          </w:p>
          <w:p w14:paraId="5E00C559" w14:textId="77777777" w:rsidR="006D75E2" w:rsidRPr="006A4FA3" w:rsidRDefault="006D75E2">
            <w:pPr>
              <w:pStyle w:val="InterPracBullet"/>
              <w:numPr>
                <w:ilvl w:val="0"/>
                <w:numId w:val="116"/>
              </w:numPr>
            </w:pPr>
            <w:r w:rsidRPr="006A4FA3">
              <w:t>Contributions made with after tax dollars will form part of the tax-free component of your super, and will be tax-free upon withdrawal.</w:t>
            </w:r>
          </w:p>
          <w:p w14:paraId="3D75DE4C" w14:textId="77777777" w:rsidR="003B1476" w:rsidRPr="006A4FA3" w:rsidRDefault="006D75E2">
            <w:pPr>
              <w:pStyle w:val="InterPracBullet"/>
              <w:numPr>
                <w:ilvl w:val="0"/>
                <w:numId w:val="116"/>
              </w:numPr>
            </w:pPr>
            <w:r w:rsidRPr="006A4FA3">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w:t>
            </w:r>
            <w:r w:rsidRPr="006A4FA3">
              <w:rPr>
                <w:lang w:val="en-AU"/>
              </w:rPr>
              <w:t>.</w:t>
            </w:r>
            <w:r w:rsidR="003B1476" w:rsidRPr="006A4FA3">
              <w:t xml:space="preserve"> </w:t>
            </w:r>
          </w:p>
          <w:p w14:paraId="35F4169D" w14:textId="4B209EB8" w:rsidR="003B1476" w:rsidRPr="006A4FA3" w:rsidRDefault="003B1476">
            <w:pPr>
              <w:pStyle w:val="InterPracBullet"/>
              <w:numPr>
                <w:ilvl w:val="0"/>
                <w:numId w:val="116"/>
              </w:numPr>
            </w:pPr>
            <w:r w:rsidRPr="006A4FA3">
              <w:t>The Fund will be entitled to a refund of excess franking credits (if any), which can also improve the tax effectiveness of the investments in your Fund.</w:t>
            </w:r>
          </w:p>
          <w:p w14:paraId="7014677D" w14:textId="77777777" w:rsidR="003B1476" w:rsidRPr="006A4FA3" w:rsidRDefault="003B1476">
            <w:pPr>
              <w:pStyle w:val="InterPracBullet"/>
              <w:numPr>
                <w:ilvl w:val="0"/>
                <w:numId w:val="116"/>
              </w:numPr>
            </w:pPr>
            <w:r w:rsidRPr="006A4FA3">
              <w:t>Any capital gains arising from the sale of an asset that has been held for at least 12 months will be concessionally taxed. I n this case, only two thirds of the gain is taxable at 15%.  This effectively reduces the capital gains tax rate to 10%.</w:t>
            </w:r>
          </w:p>
          <w:p w14:paraId="59D31A2C" w14:textId="77777777" w:rsidR="003B1476" w:rsidRPr="006A4FA3" w:rsidRDefault="003B1476">
            <w:pPr>
              <w:pStyle w:val="InterPracBullet"/>
              <w:numPr>
                <w:ilvl w:val="0"/>
                <w:numId w:val="116"/>
              </w:numPr>
            </w:pPr>
            <w:r w:rsidRPr="006A4FA3">
              <w:t>These concessional tax rates will help your overall superannuation savings grow faster.</w:t>
            </w:r>
          </w:p>
          <w:p w14:paraId="129FFC41" w14:textId="47E91620" w:rsidR="003B1476" w:rsidRPr="006A4FA3" w:rsidRDefault="003B1476">
            <w:pPr>
              <w:pStyle w:val="InterPracBullet"/>
              <w:numPr>
                <w:ilvl w:val="0"/>
                <w:numId w:val="116"/>
              </w:numPr>
            </w:pPr>
            <w:r w:rsidRPr="006A4FA3">
              <w:t>If these assets are then used to support a</w:t>
            </w:r>
            <w:r w:rsidRPr="006A4FA3">
              <w:rPr>
                <w:lang w:val="en-AU"/>
              </w:rPr>
              <w:t>n</w:t>
            </w:r>
            <w:r w:rsidRPr="006A4FA3">
              <w:t xml:space="preserve"> </w:t>
            </w:r>
            <w:r w:rsidRPr="006A4FA3">
              <w:rPr>
                <w:lang w:val="en-AU"/>
              </w:rPr>
              <w:t>account based</w:t>
            </w:r>
            <w:r w:rsidRPr="006A4FA3">
              <w:t>super pension, a subsequent disposal would not result in any capital gains tax.</w:t>
            </w:r>
          </w:p>
          <w:p w14:paraId="2084A97B" w14:textId="77777777" w:rsidR="003B1476" w:rsidRDefault="003B1476" w:rsidP="003B1476">
            <w:pPr>
              <w:jc w:val="left"/>
            </w:pPr>
          </w:p>
          <w:p w14:paraId="45F37453" w14:textId="2DA4A618" w:rsidR="003B1476" w:rsidRPr="0030411A" w:rsidRDefault="003B1476" w:rsidP="003B1476">
            <w:pPr>
              <w:jc w:val="left"/>
            </w:pPr>
            <w:r w:rsidRPr="0030411A">
              <w:t>Before proceeding you should note the following:</w:t>
            </w:r>
          </w:p>
          <w:p w14:paraId="27C26E4B" w14:textId="77777777" w:rsidR="003B1476" w:rsidRPr="00E11BDB" w:rsidRDefault="003B1476">
            <w:pPr>
              <w:pStyle w:val="InterPracBullet"/>
              <w:numPr>
                <w:ilvl w:val="0"/>
                <w:numId w:val="117"/>
              </w:numPr>
            </w:pPr>
            <w:r w:rsidRPr="00E11BDB">
              <w:t>Funds invested within the superannuation environment are subject to preservation rules are not generally accessible until you satisfy a condition of release such as retirement or reaching age 65.</w:t>
            </w:r>
          </w:p>
          <w:p w14:paraId="690DFA6D" w14:textId="77777777" w:rsidR="003B1476" w:rsidRPr="0083725D" w:rsidRDefault="003B1476">
            <w:pPr>
              <w:pStyle w:val="InterPracBullet"/>
              <w:numPr>
                <w:ilvl w:val="0"/>
                <w:numId w:val="117"/>
              </w:numPr>
            </w:pPr>
            <w:r w:rsidRPr="00E11BDB">
              <w:t>The transfer constitutes a CGT event and therefore any capital gains will be crystallised.  We estimate that CGT of approximately</w:t>
            </w:r>
            <w:r w:rsidRPr="0083725D">
              <w:t xml:space="preserve"> $</w:t>
            </w:r>
            <w:r w:rsidRPr="009603C6">
              <w:rPr>
                <w:color w:val="FF0000"/>
              </w:rPr>
              <w:t>[___,___]</w:t>
            </w:r>
            <w:r w:rsidRPr="009603C6">
              <w:t xml:space="preserve"> </w:t>
            </w:r>
            <w:r w:rsidRPr="00E11BDB">
              <w:t>and stamp duty of approximately</w:t>
            </w:r>
            <w:r w:rsidRPr="0083725D">
              <w:t xml:space="preserve"> $</w:t>
            </w:r>
            <w:r w:rsidRPr="009603C6">
              <w:rPr>
                <w:color w:val="FF0000"/>
              </w:rPr>
              <w:t>[___,___]</w:t>
            </w:r>
            <w:r w:rsidRPr="009603C6">
              <w:t xml:space="preserve"> </w:t>
            </w:r>
            <w:r w:rsidRPr="00E11BDB">
              <w:t>would be payable on the transfer.  However, please note that we are not tax advisers and you will therefore need to consult your accountant to determine the CGT and stamp duty that will be incurred prior to proceeding with the recommended strategy.</w:t>
            </w:r>
          </w:p>
          <w:p w14:paraId="584D16DD" w14:textId="77777777" w:rsidR="003B1476" w:rsidRPr="00E11BDB" w:rsidRDefault="003B1476">
            <w:pPr>
              <w:pStyle w:val="InterPracBullet"/>
              <w:numPr>
                <w:ilvl w:val="0"/>
                <w:numId w:val="117"/>
              </w:numPr>
            </w:pPr>
            <w:r w:rsidRPr="00E11BDB">
              <w:t>You will no longer be the owner of the asset(s) after transferring them into your SMSF.  The trustees of your SMSF will make any future decisions associated with the holding of asset(s).</w:t>
            </w:r>
          </w:p>
          <w:p w14:paraId="20731260" w14:textId="77777777" w:rsidR="003B1476" w:rsidRPr="00E11BDB" w:rsidRDefault="003B1476">
            <w:pPr>
              <w:pStyle w:val="InterPracBullet"/>
              <w:numPr>
                <w:ilvl w:val="0"/>
                <w:numId w:val="117"/>
              </w:numPr>
            </w:pPr>
            <w:r w:rsidRPr="00E11BDB">
              <w:t>All transaction between you and your SMSF must be conducted on an arm’s length basis.  This means that you must ensure that the transfer is consistent with market value of the asset(s).</w:t>
            </w:r>
          </w:p>
          <w:p w14:paraId="7994AA8A" w14:textId="77777777" w:rsidR="003B1476" w:rsidRPr="00E11BDB" w:rsidRDefault="003B1476">
            <w:pPr>
              <w:pStyle w:val="InterPracBullet"/>
              <w:numPr>
                <w:ilvl w:val="0"/>
                <w:numId w:val="117"/>
              </w:numPr>
            </w:pPr>
            <w:r w:rsidRPr="00E11BDB">
              <w:t>You should also review the SMSF’s Trust Deed to ensure in-specie contributions can be accepted.</w:t>
            </w:r>
          </w:p>
          <w:p w14:paraId="6F1DA145" w14:textId="77777777" w:rsidR="003B1476" w:rsidRPr="00E11BDB" w:rsidRDefault="003B1476">
            <w:pPr>
              <w:pStyle w:val="InterPracBullet"/>
              <w:numPr>
                <w:ilvl w:val="0"/>
                <w:numId w:val="117"/>
              </w:numPr>
            </w:pPr>
            <w:r w:rsidRPr="00E11BDB">
              <w:t>Making concessional contributions to super will incur 15% contributions tax on the contribution.</w:t>
            </w:r>
          </w:p>
          <w:p w14:paraId="6056311E" w14:textId="77777777" w:rsidR="003B1476" w:rsidRPr="00E11BDB" w:rsidRDefault="003B1476">
            <w:pPr>
              <w:pStyle w:val="InterPracBullet"/>
              <w:numPr>
                <w:ilvl w:val="0"/>
                <w:numId w:val="117"/>
              </w:numPr>
            </w:pPr>
            <w:r w:rsidRPr="00E11BDB">
              <w:t>As your total income is expected to exceed $250,000, your concessional contributions (up to your concessional contributions cap) will incur an additional 15% contributions tax.</w:t>
            </w:r>
          </w:p>
          <w:p w14:paraId="60D058DC" w14:textId="77777777" w:rsidR="003B1476" w:rsidRPr="00E11BDB" w:rsidRDefault="003B1476">
            <w:pPr>
              <w:pStyle w:val="InterPracBullet"/>
              <w:numPr>
                <w:ilvl w:val="0"/>
                <w:numId w:val="117"/>
              </w:numPr>
            </w:pPr>
            <w:r w:rsidRPr="00E11BDB">
              <w:t>Concessional contributions are limited to $25,000 per annum.  Excess concessional arising from contributions made on or after 1 July 2013 can be refunded.  These amounts will be added to your assessable income and taxed at your marginal tax rate (less 15%) plus penalties.</w:t>
            </w:r>
          </w:p>
          <w:p w14:paraId="33EDD72D" w14:textId="77777777" w:rsidR="003B1476" w:rsidRPr="00E11BDB" w:rsidRDefault="003B1476">
            <w:pPr>
              <w:pStyle w:val="InterPracBullet"/>
              <w:numPr>
                <w:ilvl w:val="0"/>
                <w:numId w:val="117"/>
              </w:numPr>
            </w:pPr>
            <w:r w:rsidRPr="00E11BDB">
              <w:lastRenderedPageBreak/>
              <w:t xml:space="preserve">In order to claim a tax deduction for this contribution, you will need to complete a ‘Section 290’ </w:t>
            </w:r>
            <w:commentRangeStart w:id="54"/>
            <w:r w:rsidRPr="00E11BDB">
              <w:t>notice</w:t>
            </w:r>
            <w:commentRangeEnd w:id="54"/>
            <w:r w:rsidR="000225EF" w:rsidRPr="0083725D">
              <w:rPr>
                <w:rStyle w:val="CommentReference"/>
                <w:rFonts w:eastAsia="MS Mincho"/>
                <w:lang w:val="en-AU" w:eastAsia="ja-JP"/>
              </w:rPr>
              <w:commentReference w:id="54"/>
            </w:r>
            <w:r w:rsidRPr="00E11BDB">
              <w:t>.  This needs to be completed within a specified timeframe and you should work with your tax adviser to ensure these requirements are met.  If you do not fulfil these requirements, you will not be able to claim the tax deduction.</w:t>
            </w:r>
          </w:p>
          <w:p w14:paraId="11AB8F18" w14:textId="5977F39E" w:rsidR="00362E0E" w:rsidRPr="00E11BDB" w:rsidRDefault="00362E0E">
            <w:pPr>
              <w:pStyle w:val="InterPracBullet"/>
              <w:numPr>
                <w:ilvl w:val="0"/>
                <w:numId w:val="117"/>
              </w:numPr>
            </w:pPr>
            <w:r w:rsidRPr="00E11BDB">
              <w:t xml:space="preserve">Legislation limits non-concessional contributions to $100,000 per financial year or, if eligible, to a maximum of $300,000 over a period of three financial years.  Amounts contributed in excess of the limit will be subject to </w:t>
            </w:r>
            <w:r w:rsidR="00B4624D">
              <w:rPr>
                <w:lang w:val="en-AU"/>
              </w:rPr>
              <w:t>penalties.</w:t>
            </w:r>
          </w:p>
          <w:p w14:paraId="7D9D3FDE" w14:textId="77777777" w:rsidR="00362E0E" w:rsidRPr="00E11BDB" w:rsidRDefault="00362E0E">
            <w:pPr>
              <w:pStyle w:val="InterPracBullet"/>
            </w:pPr>
            <w:r w:rsidRPr="00E11BDB">
              <w:t>Non-concessional contributions cannot be claimed as tax deductions.</w:t>
            </w:r>
          </w:p>
          <w:p w14:paraId="67806F0B" w14:textId="4BE8C58D" w:rsidR="00D67507" w:rsidRPr="003B1476" w:rsidRDefault="00D67507">
            <w:pPr>
              <w:pStyle w:val="InterPracBullet"/>
            </w:pPr>
          </w:p>
        </w:tc>
      </w:tr>
    </w:tbl>
    <w:p w14:paraId="7619A1A2" w14:textId="77777777" w:rsidR="00145CF0" w:rsidRPr="005F763D" w:rsidRDefault="00145CF0" w:rsidP="008C7CE9">
      <w:pPr>
        <w:jc w:val="left"/>
      </w:pPr>
    </w:p>
    <w:p w14:paraId="64D55D05" w14:textId="54979568" w:rsidR="007B12BE" w:rsidRDefault="007B12BE" w:rsidP="008C7CE9">
      <w:pPr>
        <w:jc w:val="left"/>
      </w:pPr>
    </w:p>
    <w:p w14:paraId="137830BC" w14:textId="77777777" w:rsidR="00865266" w:rsidRPr="005F763D" w:rsidRDefault="00865266" w:rsidP="008C7CE9">
      <w:pPr>
        <w:jc w:val="left"/>
      </w:pPr>
    </w:p>
    <w:p w14:paraId="685E7FA7" w14:textId="77777777" w:rsidR="00C2375F" w:rsidRPr="005F763D" w:rsidRDefault="00C2375F" w:rsidP="008C7CE9">
      <w:pPr>
        <w:jc w:val="left"/>
        <w:rPr>
          <w:color w:val="002060"/>
          <w:sz w:val="24"/>
        </w:rPr>
      </w:pPr>
      <w:bookmarkStart w:id="55" w:name="_Toc376868655"/>
      <w:bookmarkEnd w:id="53"/>
      <w:r w:rsidRPr="005F763D">
        <w:rPr>
          <w:color w:val="002060"/>
          <w:sz w:val="24"/>
        </w:rPr>
        <w:t>Personal Concessional Contributions to SMSF</w:t>
      </w:r>
    </w:p>
    <w:p w14:paraId="0C5406A8" w14:textId="7B647701"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16217F02"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E265124"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F038C13" w14:textId="77777777" w:rsidR="00A8727D" w:rsidRPr="00E51BEA" w:rsidRDefault="00A8727D" w:rsidP="00D2574D">
            <w:pPr>
              <w:pStyle w:val="TableHeader2"/>
              <w:rPr>
                <w:rFonts w:ascii="Calibri Light" w:hAnsi="Calibri Light"/>
              </w:rPr>
            </w:pPr>
          </w:p>
        </w:tc>
      </w:tr>
      <w:tr w:rsidR="00A8727D" w:rsidRPr="0088114A" w14:paraId="5659AABB"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123BDB" w14:textId="77777777" w:rsidR="00A8727D" w:rsidRPr="00E87AAA" w:rsidRDefault="00A8727D" w:rsidP="00E164DA">
            <w:pPr>
              <w:pStyle w:val="Instructions"/>
            </w:pPr>
            <w:r w:rsidRPr="00E87AAA">
              <w:t>Title</w:t>
            </w:r>
          </w:p>
        </w:tc>
        <w:tc>
          <w:tcPr>
            <w:tcW w:w="6798" w:type="dxa"/>
            <w:shd w:val="clear" w:color="auto" w:fill="auto"/>
          </w:tcPr>
          <w:p w14:paraId="3C8F0904" w14:textId="606C3112" w:rsidR="00A8727D" w:rsidRPr="0088114A" w:rsidRDefault="00CE024C" w:rsidP="00D2574D">
            <w:pPr>
              <w:spacing w:before="120"/>
            </w:pPr>
            <w:r>
              <w:t>Personal Concessional Contributions to SMSF</w:t>
            </w:r>
          </w:p>
        </w:tc>
      </w:tr>
      <w:tr w:rsidR="00A8727D" w:rsidRPr="0088114A" w14:paraId="32C4B85E"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8F79E53" w14:textId="77777777" w:rsidR="00A8727D" w:rsidRPr="00E87AAA" w:rsidRDefault="00A8727D" w:rsidP="00E164DA">
            <w:pPr>
              <w:pStyle w:val="Instructions"/>
            </w:pPr>
            <w:r w:rsidRPr="00E87AAA">
              <w:t>Explanation</w:t>
            </w:r>
          </w:p>
        </w:tc>
        <w:tc>
          <w:tcPr>
            <w:tcW w:w="6798" w:type="dxa"/>
            <w:shd w:val="clear" w:color="auto" w:fill="auto"/>
          </w:tcPr>
          <w:p w14:paraId="5E81C08D" w14:textId="2DEDD663" w:rsidR="00A8727D" w:rsidRPr="0088114A" w:rsidRDefault="00CE024C" w:rsidP="00CE024C">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Concessional Contribution of $</w:t>
            </w:r>
            <w:r w:rsidRPr="005F763D">
              <w:rPr>
                <w:color w:val="FF0000"/>
              </w:rPr>
              <w:t>[__</w:t>
            </w:r>
            <w:proofErr w:type="gramStart"/>
            <w:r w:rsidRPr="005F763D">
              <w:rPr>
                <w:color w:val="FF0000"/>
              </w:rPr>
              <w:t>_,_</w:t>
            </w:r>
            <w:proofErr w:type="gramEnd"/>
            <w:r w:rsidRPr="005F763D">
              <w:rPr>
                <w:color w:val="FF0000"/>
              </w:rPr>
              <w:t>__]</w:t>
            </w:r>
            <w:r w:rsidRPr="005F763D">
              <w:t xml:space="preserve"> this financial year into your SMSF.  This contribution will be sourced from </w:t>
            </w:r>
            <w:r w:rsidRPr="000D0191">
              <w:rPr>
                <w:color w:val="7030A0"/>
                <w:highlight w:val="yellow"/>
              </w:rPr>
              <w:t xml:space="preserve">[source </w:t>
            </w:r>
            <w:proofErr w:type="spellStart"/>
            <w:r w:rsidR="00A35012" w:rsidRPr="000D0191">
              <w:rPr>
                <w:color w:val="7030A0"/>
                <w:highlight w:val="yellow"/>
              </w:rPr>
              <w:t>eg.</w:t>
            </w:r>
            <w:proofErr w:type="spellEnd"/>
            <w:r w:rsidR="00A35012" w:rsidRPr="000D0191">
              <w:rPr>
                <w:color w:val="7030A0"/>
                <w:highlight w:val="yellow"/>
              </w:rPr>
              <w:t xml:space="preserve"> your</w:t>
            </w:r>
            <w:r w:rsidRPr="000D0191">
              <w:rPr>
                <w:color w:val="7030A0"/>
                <w:highlight w:val="yellow"/>
              </w:rPr>
              <w:t xml:space="preserve"> cash reserves]</w:t>
            </w:r>
            <w:r w:rsidRPr="005F763D">
              <w:t>.</w:t>
            </w:r>
          </w:p>
        </w:tc>
      </w:tr>
      <w:tr w:rsidR="00A8727D" w:rsidRPr="00E87AAA" w14:paraId="7D9E1B9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FE1AB24" w14:textId="77777777" w:rsidR="00A8727D" w:rsidRPr="00E87AAA" w:rsidRDefault="00A8727D" w:rsidP="00E164DA">
            <w:pPr>
              <w:pStyle w:val="Instructions"/>
            </w:pPr>
            <w:r w:rsidRPr="00E87AAA">
              <w:t>In your Best Interest</w:t>
            </w:r>
          </w:p>
        </w:tc>
        <w:tc>
          <w:tcPr>
            <w:tcW w:w="6798" w:type="dxa"/>
            <w:shd w:val="clear" w:color="auto" w:fill="auto"/>
          </w:tcPr>
          <w:p w14:paraId="4F6F585F" w14:textId="77777777" w:rsidR="00A8727D" w:rsidRPr="00E87AAA" w:rsidRDefault="00A8727D" w:rsidP="00D2574D">
            <w:pPr>
              <w:spacing w:before="120"/>
              <w:jc w:val="left"/>
              <w:rPr>
                <w:sz w:val="18"/>
                <w:szCs w:val="18"/>
                <w:highlight w:val="yellow"/>
              </w:rPr>
            </w:pPr>
          </w:p>
        </w:tc>
      </w:tr>
      <w:tr w:rsidR="00A8727D" w:rsidRPr="00E87AAA" w14:paraId="196E271F"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5962D7A" w14:textId="77777777" w:rsidR="00A8727D" w:rsidRPr="00E87AAA" w:rsidRDefault="00A8727D" w:rsidP="00E164DA">
            <w:pPr>
              <w:pStyle w:val="Instructions"/>
            </w:pPr>
            <w:r>
              <w:t>Further Detail</w:t>
            </w:r>
          </w:p>
        </w:tc>
        <w:tc>
          <w:tcPr>
            <w:tcW w:w="6798" w:type="dxa"/>
            <w:shd w:val="clear" w:color="auto" w:fill="auto"/>
          </w:tcPr>
          <w:p w14:paraId="4C2DCF1D" w14:textId="77777777" w:rsidR="00464A02" w:rsidRPr="005F763D" w:rsidRDefault="00464A02" w:rsidP="00464A02">
            <w:pPr>
              <w:jc w:val="left"/>
            </w:pPr>
            <w:r w:rsidRPr="005F763D">
              <w:t>Please note that Concessional Contributions incur contributions tax of 15%.  Therefore, your net contribution to superannuation will be $</w:t>
            </w:r>
            <w:r w:rsidRPr="005F763D">
              <w:rPr>
                <w:color w:val="FF0000"/>
              </w:rPr>
              <w:t>[__</w:t>
            </w:r>
            <w:proofErr w:type="gramStart"/>
            <w:r w:rsidRPr="005F763D">
              <w:rPr>
                <w:color w:val="FF0000"/>
              </w:rPr>
              <w:t>_,_</w:t>
            </w:r>
            <w:proofErr w:type="gramEnd"/>
            <w:r w:rsidRPr="005F763D">
              <w:rPr>
                <w:color w:val="FF0000"/>
              </w:rPr>
              <w:t>__]</w:t>
            </w:r>
            <w:r w:rsidRPr="005F763D">
              <w:t xml:space="preserve"> .</w:t>
            </w:r>
            <w:r>
              <w:t xml:space="preserve"> High income earners may attract a contributions tax rate of 30%.</w:t>
            </w:r>
          </w:p>
          <w:p w14:paraId="12CB33E3" w14:textId="77777777" w:rsidR="00B62432" w:rsidRDefault="00B62432" w:rsidP="00464A02">
            <w:pPr>
              <w:jc w:val="left"/>
            </w:pPr>
          </w:p>
          <w:p w14:paraId="6E513189" w14:textId="47152F7A" w:rsidR="00464A02" w:rsidRPr="005F763D" w:rsidRDefault="00B62432" w:rsidP="00464A02">
            <w:pPr>
              <w:jc w:val="left"/>
            </w:pPr>
            <w:r w:rsidRPr="002C0C50">
              <w:t>Typically</w:t>
            </w:r>
            <w:r w:rsidR="00464A02" w:rsidRPr="002C0C50">
              <w:t xml:space="preserve"> making a concessional contribution to superannuation meets your needs/objectives for the following reasons:</w:t>
            </w:r>
          </w:p>
          <w:p w14:paraId="3BE63D72" w14:textId="77777777" w:rsidR="00464A02" w:rsidRPr="005F763D" w:rsidRDefault="00464A02" w:rsidP="003812CB">
            <w:pPr>
              <w:pStyle w:val="ListParagraph"/>
              <w:numPr>
                <w:ilvl w:val="0"/>
                <w:numId w:val="63"/>
              </w:numPr>
              <w:jc w:val="left"/>
            </w:pPr>
            <w:r w:rsidRPr="005F763D">
              <w:t>Increasing your superannuation savings helps you save for retirement.</w:t>
            </w:r>
          </w:p>
          <w:p w14:paraId="0AD00ED1" w14:textId="77777777" w:rsidR="00464A02" w:rsidRPr="005F763D" w:rsidRDefault="00464A02" w:rsidP="003812CB">
            <w:pPr>
              <w:pStyle w:val="ListParagraph"/>
              <w:numPr>
                <w:ilvl w:val="0"/>
                <w:numId w:val="63"/>
              </w:numPr>
              <w:jc w:val="left"/>
            </w:pPr>
            <w:r w:rsidRPr="000D0191">
              <w:t>Y</w:t>
            </w:r>
            <w:r w:rsidRPr="005F763D">
              <w:t xml:space="preserve">ou can claim </w:t>
            </w:r>
            <w:r w:rsidRPr="000D0191">
              <w:t xml:space="preserve">a 100% personal tax deduction for the </w:t>
            </w:r>
            <w:r w:rsidRPr="005F763D">
              <w:t>Concessional Contributions to you make to superannuation</w:t>
            </w:r>
            <w:r w:rsidRPr="000D0191">
              <w:t>.</w:t>
            </w:r>
          </w:p>
          <w:p w14:paraId="6AD51794" w14:textId="77777777" w:rsidR="00464A02" w:rsidRPr="005F763D" w:rsidRDefault="00464A02" w:rsidP="003812CB">
            <w:pPr>
              <w:pStyle w:val="ListParagraph"/>
              <w:numPr>
                <w:ilvl w:val="0"/>
                <w:numId w:val="63"/>
              </w:numPr>
              <w:jc w:val="left"/>
            </w:pPr>
            <w:r w:rsidRPr="000D0191">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In addition:</w:t>
            </w:r>
          </w:p>
          <w:p w14:paraId="0BF676B0" w14:textId="77777777" w:rsidR="00464A02" w:rsidRPr="005F763D" w:rsidRDefault="00464A02" w:rsidP="003812CB">
            <w:pPr>
              <w:pStyle w:val="ListParagraph"/>
              <w:numPr>
                <w:ilvl w:val="0"/>
                <w:numId w:val="63"/>
              </w:numPr>
              <w:jc w:val="left"/>
            </w:pPr>
            <w:r w:rsidRPr="000D0191">
              <w:t>The Fund will be entitled to a refund of excess franking credits (if any), which can also improve the tax effectiveness of the investments in your Fund.</w:t>
            </w:r>
          </w:p>
          <w:p w14:paraId="09340366" w14:textId="77777777" w:rsidR="00464A02" w:rsidRPr="005F763D" w:rsidRDefault="00464A02" w:rsidP="003812CB">
            <w:pPr>
              <w:pStyle w:val="ListParagraph"/>
              <w:numPr>
                <w:ilvl w:val="0"/>
                <w:numId w:val="63"/>
              </w:numPr>
              <w:jc w:val="left"/>
            </w:pPr>
            <w:r w:rsidRPr="000D0191">
              <w:t xml:space="preserve">Any capital gains arising from the sale of an asset that has been held for at least 12 months will be concessionally taxed. In this case, only two thirds of the gain </w:t>
            </w:r>
            <w:proofErr w:type="gramStart"/>
            <w:r w:rsidRPr="000D0191">
              <w:t>is</w:t>
            </w:r>
            <w:proofErr w:type="gramEnd"/>
            <w:r w:rsidRPr="000D0191">
              <w:t xml:space="preserve"> taxable at 15%.  This effectively reduces the capital gains tax rate to 10%.</w:t>
            </w:r>
          </w:p>
          <w:p w14:paraId="2B732225" w14:textId="77777777" w:rsidR="00464A02" w:rsidRPr="005F763D" w:rsidRDefault="00464A02" w:rsidP="003812CB">
            <w:pPr>
              <w:pStyle w:val="ListParagraph"/>
              <w:numPr>
                <w:ilvl w:val="0"/>
                <w:numId w:val="63"/>
              </w:numPr>
              <w:jc w:val="left"/>
            </w:pPr>
            <w:r w:rsidRPr="005F763D">
              <w:t xml:space="preserve">The concessional tax rate </w:t>
            </w:r>
            <w:r>
              <w:t xml:space="preserve">treatment </w:t>
            </w:r>
            <w:r w:rsidRPr="005F763D">
              <w:t>help</w:t>
            </w:r>
            <w:r>
              <w:t>s</w:t>
            </w:r>
            <w:r w:rsidRPr="005F763D">
              <w:t xml:space="preserve"> </w:t>
            </w:r>
            <w:r w:rsidRPr="000D0191">
              <w:t>your overall superannuation savings grow faster.</w:t>
            </w:r>
          </w:p>
          <w:p w14:paraId="14037013" w14:textId="77777777" w:rsidR="00BC0E32" w:rsidRDefault="00BC0E32" w:rsidP="00BC0E32">
            <w:pPr>
              <w:jc w:val="left"/>
            </w:pPr>
          </w:p>
          <w:p w14:paraId="676D3D55" w14:textId="1FCCEF42" w:rsidR="00BC0E32" w:rsidRPr="005F763D" w:rsidRDefault="00BC0E32" w:rsidP="00BC0E32">
            <w:pPr>
              <w:jc w:val="left"/>
            </w:pPr>
            <w:r w:rsidRPr="005F763D">
              <w:t>Before proceeding you should note the following:</w:t>
            </w:r>
          </w:p>
          <w:p w14:paraId="64D6C81C" w14:textId="7893BF3C" w:rsidR="00BC0E32" w:rsidRPr="005F763D" w:rsidRDefault="00BC0E32">
            <w:pPr>
              <w:pStyle w:val="InterPracBullet"/>
              <w:numPr>
                <w:ilvl w:val="0"/>
                <w:numId w:val="20"/>
              </w:numPr>
            </w:pPr>
            <w:r w:rsidRPr="005F763D">
              <w:t xml:space="preserve">Funds invested within the superannuation environment are subject to preservation rules </w:t>
            </w:r>
            <w:r w:rsidR="00E441F8">
              <w:rPr>
                <w:lang w:val="en-AU"/>
              </w:rPr>
              <w:t xml:space="preserve">and </w:t>
            </w:r>
            <w:r w:rsidRPr="005F763D">
              <w:t>are not generally accessible until you satisfy a condition of release such as retirement or reaching age 65.</w:t>
            </w:r>
          </w:p>
          <w:p w14:paraId="1EC7B909" w14:textId="7BF338ED" w:rsidR="00BC0E32" w:rsidRDefault="00BC0E32">
            <w:pPr>
              <w:pStyle w:val="InterPracBullet"/>
              <w:numPr>
                <w:ilvl w:val="0"/>
                <w:numId w:val="20"/>
              </w:numPr>
            </w:pPr>
            <w:r w:rsidRPr="005F763D">
              <w:t>Making concessional contributions to super will incur 15% contributions tax on the contribution.</w:t>
            </w:r>
          </w:p>
          <w:p w14:paraId="3CDBD87B" w14:textId="77777777" w:rsidR="00BC0E32" w:rsidRPr="005F763D" w:rsidRDefault="00BC0E32">
            <w:pPr>
              <w:pStyle w:val="InterPracBullet"/>
            </w:pPr>
          </w:p>
          <w:p w14:paraId="0E7604F2" w14:textId="77777777" w:rsidR="00BC0E32" w:rsidRPr="005F763D" w:rsidRDefault="00BC0E32" w:rsidP="0044064D">
            <w:pPr>
              <w:pStyle w:val="NormalRed"/>
            </w:pPr>
            <w:r w:rsidRPr="000D0191">
              <w:rPr>
                <w:highlight w:val="yellow"/>
              </w:rPr>
              <w:t>Include if Earning Over $250,</w:t>
            </w:r>
            <w:commentRangeStart w:id="56"/>
            <w:r w:rsidRPr="000D0191">
              <w:rPr>
                <w:highlight w:val="yellow"/>
              </w:rPr>
              <w:t>000</w:t>
            </w:r>
            <w:commentRangeEnd w:id="56"/>
            <w:r w:rsidR="00E441F8">
              <w:rPr>
                <w:rStyle w:val="CommentReference"/>
                <w:rFonts w:eastAsia="MS Mincho"/>
                <w:b w:val="0"/>
                <w:lang w:eastAsia="ja-JP"/>
              </w:rPr>
              <w:commentReference w:id="56"/>
            </w:r>
          </w:p>
          <w:p w14:paraId="60A8731B" w14:textId="77777777" w:rsidR="00BC0E32" w:rsidRPr="005F763D" w:rsidRDefault="00BC0E32">
            <w:pPr>
              <w:pStyle w:val="InterPracBullet"/>
            </w:pPr>
            <w:r w:rsidRPr="005F763D">
              <w:t>As your total income is expected to exceed $</w:t>
            </w:r>
            <w:r>
              <w:rPr>
                <w:lang w:val="en-AU"/>
              </w:rPr>
              <w:t>25</w:t>
            </w:r>
            <w:r w:rsidRPr="005F763D">
              <w:t>0,000, your concessional contributions (up to your concessional contributions cap) will incur an additional 15% contributions tax.</w:t>
            </w:r>
          </w:p>
          <w:p w14:paraId="3954BFAE" w14:textId="730BA8E5" w:rsidR="00BC0E32" w:rsidRPr="005F763D" w:rsidRDefault="00BC0E32">
            <w:pPr>
              <w:pStyle w:val="InterPracBullet"/>
            </w:pPr>
            <w:r>
              <w:rPr>
                <w:lang w:val="en-AU"/>
              </w:rPr>
              <w:lastRenderedPageBreak/>
              <w:t>C</w:t>
            </w:r>
            <w:proofErr w:type="spellStart"/>
            <w:r w:rsidRPr="005F763D">
              <w:t>oncessional</w:t>
            </w:r>
            <w:proofErr w:type="spellEnd"/>
            <w:r w:rsidRPr="005F763D">
              <w:t xml:space="preserve"> contributions are limited to $</w:t>
            </w:r>
            <w:r>
              <w:rPr>
                <w:lang w:val="en-AU"/>
              </w:rPr>
              <w:t>25</w:t>
            </w:r>
            <w:r w:rsidRPr="005F763D">
              <w:t>,000 per annum.  Excess concessional</w:t>
            </w:r>
            <w:r w:rsidR="00C31117">
              <w:rPr>
                <w:lang w:val="en-AU"/>
              </w:rPr>
              <w:t xml:space="preserve"> contribution </w:t>
            </w:r>
            <w:r w:rsidRPr="005F763D">
              <w:t xml:space="preserve"> can be refunded.  These amounts will be added to your assessable income and taxed at your marginal tax rate (less 15%</w:t>
            </w:r>
            <w:r>
              <w:rPr>
                <w:lang w:val="en-AU"/>
              </w:rPr>
              <w:t>)</w:t>
            </w:r>
            <w:r w:rsidRPr="005F763D">
              <w:t xml:space="preserve"> plus penalties.</w:t>
            </w:r>
          </w:p>
          <w:p w14:paraId="034A4D22" w14:textId="77777777" w:rsidR="00BC0E32" w:rsidRPr="005F763D" w:rsidRDefault="00BC0E32">
            <w:pPr>
              <w:pStyle w:val="InterPracBullet"/>
            </w:pPr>
            <w:r w:rsidRPr="005F763D">
              <w:t xml:space="preserve">In order to claim a tax deduction for this contribution, you will need to complete a ‘Section 290’ </w:t>
            </w:r>
            <w:commentRangeStart w:id="57"/>
            <w:r w:rsidRPr="005F763D">
              <w:t>notice</w:t>
            </w:r>
            <w:commentRangeEnd w:id="57"/>
            <w:r w:rsidR="00C31117">
              <w:rPr>
                <w:rStyle w:val="CommentReference"/>
                <w:rFonts w:eastAsia="MS Mincho"/>
                <w:lang w:val="en-AU" w:eastAsia="ja-JP"/>
              </w:rPr>
              <w:commentReference w:id="57"/>
            </w:r>
            <w:r w:rsidRPr="005F763D">
              <w:t>.  This needs to be completed within a specified timeframe and you should work with your tax adviser to ensure these requirements are met.  If you do not fulfil these requirements, you will not be able to claim the tax deduction.</w:t>
            </w:r>
          </w:p>
          <w:p w14:paraId="5D5B7A42" w14:textId="77777777" w:rsidR="00A8727D" w:rsidRPr="00E87AAA" w:rsidRDefault="00A8727D" w:rsidP="00D2574D">
            <w:pPr>
              <w:spacing w:before="120"/>
              <w:jc w:val="left"/>
              <w:rPr>
                <w:sz w:val="18"/>
                <w:szCs w:val="18"/>
                <w:highlight w:val="yellow"/>
              </w:rPr>
            </w:pPr>
          </w:p>
        </w:tc>
      </w:tr>
    </w:tbl>
    <w:p w14:paraId="5836514E" w14:textId="77777777" w:rsidR="00A8727D" w:rsidRPr="005F763D" w:rsidRDefault="00A8727D" w:rsidP="008C7CE9">
      <w:pPr>
        <w:jc w:val="left"/>
      </w:pPr>
    </w:p>
    <w:p w14:paraId="3D3A05A8" w14:textId="77777777" w:rsidR="00C2375F" w:rsidRPr="005F763D" w:rsidRDefault="00C2375F" w:rsidP="008C7CE9">
      <w:pPr>
        <w:jc w:val="left"/>
      </w:pPr>
    </w:p>
    <w:p w14:paraId="3ED9A66D" w14:textId="77777777" w:rsidR="00C2375F" w:rsidRPr="005F763D" w:rsidRDefault="00C2375F" w:rsidP="008C7CE9">
      <w:pPr>
        <w:jc w:val="left"/>
      </w:pPr>
    </w:p>
    <w:p w14:paraId="14A2DE68" w14:textId="77777777" w:rsidR="00C2375F" w:rsidRPr="005F763D" w:rsidRDefault="00C2375F" w:rsidP="008C7CE9">
      <w:pPr>
        <w:jc w:val="left"/>
      </w:pPr>
    </w:p>
    <w:p w14:paraId="25E71C40" w14:textId="77777777" w:rsidR="00A54DD5" w:rsidRDefault="00A54DD5" w:rsidP="0044064D">
      <w:pPr>
        <w:pStyle w:val="NormalRed"/>
        <w:sectPr w:rsidR="00A54DD5" w:rsidSect="008C0AC7">
          <w:type w:val="continuous"/>
          <w:pgSz w:w="11906" w:h="16838" w:code="9"/>
          <w:pgMar w:top="1134" w:right="566" w:bottom="426" w:left="709" w:header="567" w:footer="95" w:gutter="0"/>
          <w:cols w:space="708"/>
          <w:docGrid w:linePitch="360"/>
        </w:sectPr>
      </w:pPr>
    </w:p>
    <w:p w14:paraId="60097FDB" w14:textId="21431771" w:rsidR="00693CE6" w:rsidRDefault="00693CE6" w:rsidP="0044064D">
      <w:pPr>
        <w:pStyle w:val="NormalRed"/>
      </w:pPr>
    </w:p>
    <w:p w14:paraId="57CCA9DA" w14:textId="77777777" w:rsidR="00C2375F" w:rsidRPr="005F763D" w:rsidRDefault="00C2375F" w:rsidP="008C7CE9">
      <w:pPr>
        <w:jc w:val="left"/>
      </w:pPr>
    </w:p>
    <w:p w14:paraId="619D03BC" w14:textId="77777777" w:rsidR="00C2375F" w:rsidRPr="005F763D" w:rsidRDefault="00C2375F" w:rsidP="008C7CE9">
      <w:pPr>
        <w:jc w:val="left"/>
        <w:rPr>
          <w:color w:val="002060"/>
          <w:sz w:val="24"/>
        </w:rPr>
      </w:pPr>
      <w:bookmarkStart w:id="58" w:name="_Toc376868657"/>
      <w:bookmarkEnd w:id="55"/>
      <w:r w:rsidRPr="005F763D">
        <w:rPr>
          <w:color w:val="002060"/>
          <w:sz w:val="24"/>
        </w:rPr>
        <w:t>Personal Non-Concessional Contributions to SMSF</w:t>
      </w:r>
    </w:p>
    <w:p w14:paraId="5FA52095" w14:textId="6A0CD9ED"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09593470"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0BE75FC"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5C107E8" w14:textId="77777777" w:rsidR="00A8727D" w:rsidRPr="00E51BEA" w:rsidRDefault="00A8727D" w:rsidP="00D2574D">
            <w:pPr>
              <w:pStyle w:val="TableHeader2"/>
              <w:rPr>
                <w:rFonts w:ascii="Calibri Light" w:hAnsi="Calibri Light"/>
              </w:rPr>
            </w:pPr>
          </w:p>
        </w:tc>
      </w:tr>
      <w:tr w:rsidR="00A8727D" w:rsidRPr="0088114A" w14:paraId="5428639B"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E3D688E" w14:textId="77777777" w:rsidR="00A8727D" w:rsidRPr="00E87AAA" w:rsidRDefault="00A8727D" w:rsidP="00E164DA">
            <w:pPr>
              <w:pStyle w:val="Instructions"/>
            </w:pPr>
            <w:r w:rsidRPr="00E87AAA">
              <w:t>Title</w:t>
            </w:r>
          </w:p>
        </w:tc>
        <w:tc>
          <w:tcPr>
            <w:tcW w:w="6798" w:type="dxa"/>
            <w:shd w:val="clear" w:color="auto" w:fill="auto"/>
          </w:tcPr>
          <w:p w14:paraId="54E0EE72" w14:textId="03C86ACB" w:rsidR="00A8727D" w:rsidRPr="0088114A" w:rsidRDefault="00E54722" w:rsidP="00D2574D">
            <w:pPr>
              <w:spacing w:before="120"/>
            </w:pPr>
            <w:r>
              <w:t>Personal Non-Concessional Contributions to SMSF</w:t>
            </w:r>
          </w:p>
        </w:tc>
      </w:tr>
      <w:tr w:rsidR="00A8727D" w:rsidRPr="0088114A" w14:paraId="42161969"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C820322" w14:textId="77777777" w:rsidR="00A8727D" w:rsidRPr="00E87AAA" w:rsidRDefault="00A8727D" w:rsidP="00E164DA">
            <w:pPr>
              <w:pStyle w:val="Instructions"/>
            </w:pPr>
            <w:r w:rsidRPr="00E87AAA">
              <w:t>Explanation</w:t>
            </w:r>
          </w:p>
        </w:tc>
        <w:tc>
          <w:tcPr>
            <w:tcW w:w="6798" w:type="dxa"/>
            <w:shd w:val="clear" w:color="auto" w:fill="auto"/>
          </w:tcPr>
          <w:p w14:paraId="12BEF051" w14:textId="47ACB91B" w:rsidR="00A8727D" w:rsidRPr="0088114A" w:rsidRDefault="00040911" w:rsidP="00553B0D">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Non-Concessional Contribution (after-tax contribution) of $</w:t>
            </w:r>
            <w:r w:rsidRPr="005F763D">
              <w:rPr>
                <w:color w:val="FF0000"/>
              </w:rPr>
              <w:t>[__</w:t>
            </w:r>
            <w:proofErr w:type="gramStart"/>
            <w:r w:rsidRPr="005F763D">
              <w:rPr>
                <w:color w:val="FF0000"/>
              </w:rPr>
              <w:t>_,_</w:t>
            </w:r>
            <w:proofErr w:type="gramEnd"/>
            <w:r w:rsidRPr="005F763D">
              <w:rPr>
                <w:color w:val="FF0000"/>
              </w:rPr>
              <w:t>__]</w:t>
            </w:r>
            <w:r w:rsidRPr="005F763D">
              <w:t xml:space="preserve"> this financial year into your SMSF.  This contribution will be sourced from </w:t>
            </w:r>
            <w:r w:rsidRPr="002A5787">
              <w:rPr>
                <w:color w:val="7030A0"/>
                <w:highlight w:val="yellow"/>
              </w:rPr>
              <w:t xml:space="preserve">[source </w:t>
            </w:r>
            <w:proofErr w:type="spellStart"/>
            <w:r w:rsidR="00A35012" w:rsidRPr="002A5787">
              <w:rPr>
                <w:color w:val="7030A0"/>
                <w:highlight w:val="yellow"/>
              </w:rPr>
              <w:t>eg.</w:t>
            </w:r>
            <w:proofErr w:type="spellEnd"/>
            <w:r w:rsidR="00A35012" w:rsidRPr="002A5787">
              <w:rPr>
                <w:color w:val="7030A0"/>
                <w:highlight w:val="yellow"/>
              </w:rPr>
              <w:t xml:space="preserve"> your</w:t>
            </w:r>
            <w:r w:rsidRPr="002A5787">
              <w:rPr>
                <w:color w:val="7030A0"/>
                <w:highlight w:val="yellow"/>
              </w:rPr>
              <w:t xml:space="preserve"> cash reserves</w:t>
            </w:r>
            <w:proofErr w:type="gramStart"/>
            <w:r w:rsidRPr="002A5787">
              <w:rPr>
                <w:color w:val="7030A0"/>
                <w:highlight w:val="yellow"/>
              </w:rPr>
              <w:t>]</w:t>
            </w:r>
            <w:r w:rsidRPr="005F763D" w:rsidDel="00A54DD5">
              <w:rPr>
                <w:color w:val="FF0000"/>
              </w:rPr>
              <w:t xml:space="preserve"> </w:t>
            </w:r>
            <w:r w:rsidRPr="005F763D">
              <w:t>.</w:t>
            </w:r>
            <w:proofErr w:type="gramEnd"/>
          </w:p>
        </w:tc>
      </w:tr>
      <w:tr w:rsidR="00A8727D" w:rsidRPr="00E87AAA" w14:paraId="0906383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4D99DA5" w14:textId="77777777" w:rsidR="00A8727D" w:rsidRPr="00E87AAA" w:rsidRDefault="00A8727D" w:rsidP="00E164DA">
            <w:pPr>
              <w:pStyle w:val="Instructions"/>
            </w:pPr>
            <w:r w:rsidRPr="00E87AAA">
              <w:t>In your Best Interest</w:t>
            </w:r>
          </w:p>
        </w:tc>
        <w:tc>
          <w:tcPr>
            <w:tcW w:w="6798" w:type="dxa"/>
            <w:shd w:val="clear" w:color="auto" w:fill="auto"/>
          </w:tcPr>
          <w:p w14:paraId="0B81AE3E" w14:textId="77777777" w:rsidR="00A8727D" w:rsidRPr="00E87AAA" w:rsidRDefault="00A8727D" w:rsidP="00D2574D">
            <w:pPr>
              <w:spacing w:before="120"/>
              <w:jc w:val="left"/>
              <w:rPr>
                <w:sz w:val="18"/>
                <w:szCs w:val="18"/>
                <w:highlight w:val="yellow"/>
              </w:rPr>
            </w:pPr>
          </w:p>
        </w:tc>
      </w:tr>
      <w:tr w:rsidR="00A8727D" w:rsidRPr="00E87AAA" w14:paraId="709DCAF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EA6AE6E" w14:textId="77777777" w:rsidR="00A8727D" w:rsidRPr="00E87AAA" w:rsidRDefault="00A8727D" w:rsidP="00E164DA">
            <w:pPr>
              <w:pStyle w:val="Instructions"/>
            </w:pPr>
            <w:r>
              <w:t>Further Detail</w:t>
            </w:r>
          </w:p>
        </w:tc>
        <w:tc>
          <w:tcPr>
            <w:tcW w:w="6798" w:type="dxa"/>
            <w:shd w:val="clear" w:color="auto" w:fill="auto"/>
          </w:tcPr>
          <w:p w14:paraId="24F5F599" w14:textId="1B6A18F4" w:rsidR="00553B0D" w:rsidRPr="005F763D" w:rsidRDefault="00553B0D" w:rsidP="00553B0D">
            <w:pPr>
              <w:jc w:val="left"/>
            </w:pPr>
            <w:r w:rsidRPr="002C0C50">
              <w:t>Typically making a non-concessional contribution to superannuation meets your needs/objectives for the following reasons:</w:t>
            </w:r>
          </w:p>
          <w:p w14:paraId="0ADBBDDC" w14:textId="77777777" w:rsidR="00553B0D" w:rsidRPr="005F763D" w:rsidRDefault="00553B0D" w:rsidP="003812CB">
            <w:pPr>
              <w:pStyle w:val="ListParagraph"/>
              <w:numPr>
                <w:ilvl w:val="0"/>
                <w:numId w:val="64"/>
              </w:numPr>
              <w:jc w:val="left"/>
            </w:pPr>
            <w:r w:rsidRPr="005F763D">
              <w:t>Increasing your superannuation savings helps you save for retirement.</w:t>
            </w:r>
          </w:p>
          <w:p w14:paraId="2B0F5B25" w14:textId="77777777" w:rsidR="00553B0D" w:rsidRPr="005F763D" w:rsidRDefault="00553B0D" w:rsidP="003812CB">
            <w:pPr>
              <w:pStyle w:val="ListParagraph"/>
              <w:numPr>
                <w:ilvl w:val="0"/>
                <w:numId w:val="64"/>
              </w:numPr>
              <w:jc w:val="left"/>
            </w:pPr>
            <w:r w:rsidRPr="005F763D">
              <w:t>Contributions made with after tax dollars will form part of the tax-free component of your super, and will be tax-free upon withdrawal.</w:t>
            </w:r>
          </w:p>
          <w:p w14:paraId="2389B566" w14:textId="77777777" w:rsidR="00BC07A6" w:rsidRDefault="00553B0D" w:rsidP="003812CB">
            <w:pPr>
              <w:pStyle w:val="ListParagraph"/>
              <w:numPr>
                <w:ilvl w:val="0"/>
                <w:numId w:val="64"/>
              </w:numPr>
              <w:jc w:val="left"/>
            </w:pPr>
            <w:r w:rsidRPr="000D0191">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07285317" w14:textId="20136801" w:rsidR="00553B0D" w:rsidRPr="005F763D" w:rsidRDefault="00553B0D" w:rsidP="00E11BDB">
            <w:pPr>
              <w:pStyle w:val="ListParagraph"/>
              <w:jc w:val="left"/>
            </w:pPr>
            <w:r w:rsidRPr="000D0191">
              <w:t>In addition:</w:t>
            </w:r>
          </w:p>
          <w:p w14:paraId="3108591F" w14:textId="77777777" w:rsidR="00553B0D" w:rsidRPr="005F763D" w:rsidRDefault="00553B0D" w:rsidP="003812CB">
            <w:pPr>
              <w:pStyle w:val="ListParagraph"/>
              <w:numPr>
                <w:ilvl w:val="0"/>
                <w:numId w:val="64"/>
              </w:numPr>
              <w:jc w:val="left"/>
            </w:pPr>
            <w:r w:rsidRPr="000D0191">
              <w:t>The Fund will be entitled to a refund of excess franking credits (if any), which can also improve the tax effectiveness of the investments in your Fund.</w:t>
            </w:r>
          </w:p>
          <w:p w14:paraId="284FC3D8" w14:textId="215B6097" w:rsidR="00553B0D" w:rsidRPr="005F763D" w:rsidRDefault="00553B0D" w:rsidP="003812CB">
            <w:pPr>
              <w:pStyle w:val="ListParagraph"/>
              <w:numPr>
                <w:ilvl w:val="0"/>
                <w:numId w:val="64"/>
              </w:numPr>
              <w:jc w:val="left"/>
            </w:pPr>
            <w:r w:rsidRPr="000D0191">
              <w:t xml:space="preserve">Any capital gains arising from the sale of an asset that has been held for at least 12 months will be concessionally taxed. In this case, only two thirds of the gain </w:t>
            </w:r>
            <w:proofErr w:type="gramStart"/>
            <w:r w:rsidRPr="000D0191">
              <w:t>is</w:t>
            </w:r>
            <w:proofErr w:type="gramEnd"/>
            <w:r w:rsidRPr="000D0191">
              <w:t xml:space="preserve"> taxable at 15%.  This effectively reduces the capital gains tax rate to 10%.</w:t>
            </w:r>
          </w:p>
          <w:p w14:paraId="1718F72F" w14:textId="77777777" w:rsidR="00553B0D" w:rsidRPr="005F763D" w:rsidRDefault="00553B0D" w:rsidP="003812CB">
            <w:pPr>
              <w:pStyle w:val="ListParagraph"/>
              <w:numPr>
                <w:ilvl w:val="0"/>
                <w:numId w:val="64"/>
              </w:numPr>
              <w:jc w:val="left"/>
            </w:pPr>
            <w:r w:rsidRPr="000D0191">
              <w:t>These concessional tax rates will help your overall superannuation savings grow faster.</w:t>
            </w:r>
          </w:p>
          <w:p w14:paraId="77D7787B" w14:textId="77777777" w:rsidR="000F3CAC" w:rsidRDefault="000F3CAC" w:rsidP="00DB6BBF">
            <w:pPr>
              <w:jc w:val="left"/>
            </w:pPr>
          </w:p>
          <w:p w14:paraId="75AC5841" w14:textId="64CF17F8" w:rsidR="00DB6BBF" w:rsidRPr="005F763D" w:rsidRDefault="00DB6BBF" w:rsidP="00DB6BBF">
            <w:pPr>
              <w:jc w:val="left"/>
            </w:pPr>
            <w:r w:rsidRPr="005F763D">
              <w:t>Before proceeding you should note the following:</w:t>
            </w:r>
          </w:p>
          <w:p w14:paraId="6FC2AE78" w14:textId="77777777" w:rsidR="00DB6BBF" w:rsidRPr="005F763D" w:rsidRDefault="00DB6BBF">
            <w:pPr>
              <w:pStyle w:val="InterPracBullet"/>
              <w:numPr>
                <w:ilvl w:val="0"/>
                <w:numId w:val="21"/>
              </w:numPr>
            </w:pPr>
            <w:r w:rsidRPr="005F763D">
              <w:t>Funds invested within the superannuation environment are subject to preservation rules are not generally accessible until you satisfy a condition of release such as retirement or reaching age 65.</w:t>
            </w:r>
          </w:p>
          <w:p w14:paraId="1AAC3159" w14:textId="203B2165" w:rsidR="00DB6BBF" w:rsidRPr="005F763D" w:rsidRDefault="00DB6BBF">
            <w:pPr>
              <w:pStyle w:val="InterPracBullet"/>
              <w:numPr>
                <w:ilvl w:val="0"/>
                <w:numId w:val="21"/>
              </w:numPr>
            </w:pPr>
            <w:r w:rsidRPr="005F763D">
              <w:t>Legislation limits non-concessional contributions to $1</w:t>
            </w:r>
            <w:r>
              <w:rPr>
                <w:lang w:val="en-AU"/>
              </w:rPr>
              <w:t>0</w:t>
            </w:r>
            <w:r w:rsidRPr="005F763D">
              <w:t xml:space="preserve">0,000 </w:t>
            </w:r>
            <w:commentRangeStart w:id="59"/>
            <w:r w:rsidRPr="005F763D">
              <w:t>per</w:t>
            </w:r>
            <w:commentRangeEnd w:id="59"/>
            <w:r w:rsidR="00BC07A6">
              <w:rPr>
                <w:rStyle w:val="CommentReference"/>
                <w:rFonts w:eastAsia="MS Mincho"/>
                <w:lang w:val="en-AU" w:eastAsia="ja-JP"/>
              </w:rPr>
              <w:commentReference w:id="59"/>
            </w:r>
            <w:r w:rsidRPr="005F763D">
              <w:t xml:space="preserve"> financial year or, if eligible, at a maximum of $</w:t>
            </w:r>
            <w:r>
              <w:rPr>
                <w:lang w:val="en-AU"/>
              </w:rPr>
              <w:t>30</w:t>
            </w:r>
            <w:r w:rsidRPr="005F763D">
              <w:t xml:space="preserve">0,000 over a period of three financial years.  Amounts contributed in excess of the limit will be subject to </w:t>
            </w:r>
            <w:r w:rsidR="00C3210B">
              <w:rPr>
                <w:lang w:val="en-AU"/>
              </w:rPr>
              <w:t>penalties.</w:t>
            </w:r>
          </w:p>
          <w:p w14:paraId="5AEDF1A1" w14:textId="77777777" w:rsidR="00DB6BBF" w:rsidRPr="005F763D" w:rsidRDefault="00DB6BBF">
            <w:pPr>
              <w:pStyle w:val="InterPracBullet"/>
              <w:numPr>
                <w:ilvl w:val="0"/>
                <w:numId w:val="21"/>
              </w:numPr>
            </w:pPr>
            <w:r w:rsidRPr="005F763D">
              <w:t>Non-concessional contributions cannot be claimed as tax deductions.</w:t>
            </w:r>
          </w:p>
          <w:p w14:paraId="6B7E8AC0" w14:textId="77777777" w:rsidR="00A8727D" w:rsidRPr="00E87AAA" w:rsidRDefault="00A8727D" w:rsidP="00D2574D">
            <w:pPr>
              <w:spacing w:before="120"/>
              <w:jc w:val="left"/>
              <w:rPr>
                <w:sz w:val="18"/>
                <w:szCs w:val="18"/>
                <w:highlight w:val="yellow"/>
              </w:rPr>
            </w:pPr>
          </w:p>
        </w:tc>
      </w:tr>
    </w:tbl>
    <w:p w14:paraId="0A1144D9" w14:textId="5AF75B81" w:rsidR="00A8727D" w:rsidRDefault="00A8727D" w:rsidP="008C7CE9">
      <w:pPr>
        <w:jc w:val="left"/>
      </w:pPr>
    </w:p>
    <w:p w14:paraId="5E7E469F" w14:textId="12E46CFB" w:rsidR="00A8727D" w:rsidRDefault="00A8727D" w:rsidP="008C7CE9">
      <w:pPr>
        <w:jc w:val="left"/>
      </w:pPr>
    </w:p>
    <w:p w14:paraId="603591E7" w14:textId="60AC131E" w:rsidR="00A8727D" w:rsidRDefault="00A8727D" w:rsidP="008C7CE9">
      <w:pPr>
        <w:jc w:val="left"/>
      </w:pPr>
    </w:p>
    <w:p w14:paraId="44DB29DA" w14:textId="77777777" w:rsidR="00170F3C" w:rsidRPr="005F763D" w:rsidRDefault="00170F3C" w:rsidP="008C7CE9">
      <w:pPr>
        <w:jc w:val="left"/>
      </w:pPr>
    </w:p>
    <w:p w14:paraId="11BF4B54" w14:textId="77777777" w:rsidR="00C2375F" w:rsidRPr="005F763D" w:rsidRDefault="00C2375F" w:rsidP="008C7CE9">
      <w:pPr>
        <w:jc w:val="left"/>
      </w:pPr>
    </w:p>
    <w:p w14:paraId="776CB861" w14:textId="77777777" w:rsidR="00C2375F" w:rsidRPr="005F763D" w:rsidRDefault="00C2375F" w:rsidP="008C7CE9">
      <w:pPr>
        <w:jc w:val="left"/>
      </w:pPr>
    </w:p>
    <w:p w14:paraId="46361298" w14:textId="77777777" w:rsidR="00C2375F" w:rsidRPr="005F763D" w:rsidRDefault="00C2375F" w:rsidP="008C7CE9">
      <w:pPr>
        <w:jc w:val="left"/>
      </w:pPr>
    </w:p>
    <w:p w14:paraId="23742777" w14:textId="177CE394" w:rsidR="00C2375F" w:rsidRPr="005F763D" w:rsidRDefault="00C2375F" w:rsidP="008C7CE9">
      <w:pPr>
        <w:jc w:val="left"/>
        <w:rPr>
          <w:color w:val="002060"/>
          <w:sz w:val="24"/>
        </w:rPr>
      </w:pPr>
      <w:bookmarkStart w:id="60" w:name="_Toc376868656"/>
      <w:r w:rsidRPr="005F763D">
        <w:rPr>
          <w:color w:val="002060"/>
          <w:sz w:val="24"/>
        </w:rPr>
        <w:t>Personal Non-Concessional Contributions to SMSF&amp; Government Co-Contribution</w:t>
      </w:r>
      <w:bookmarkEnd w:id="60"/>
    </w:p>
    <w:p w14:paraId="3A1AB654" w14:textId="5950330D"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2D7D0200"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11FC725"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B27B5FA" w14:textId="77777777" w:rsidR="00A8727D" w:rsidRPr="00E51BEA" w:rsidRDefault="00A8727D" w:rsidP="00D2574D">
            <w:pPr>
              <w:pStyle w:val="TableHeader2"/>
              <w:rPr>
                <w:rFonts w:ascii="Calibri Light" w:hAnsi="Calibri Light"/>
              </w:rPr>
            </w:pPr>
          </w:p>
        </w:tc>
      </w:tr>
      <w:tr w:rsidR="00A8727D" w:rsidRPr="0088114A" w14:paraId="38682186"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FC28D19" w14:textId="77777777" w:rsidR="00A8727D" w:rsidRPr="00E87AAA" w:rsidRDefault="00A8727D" w:rsidP="00E164DA">
            <w:pPr>
              <w:pStyle w:val="Instructions"/>
            </w:pPr>
            <w:r w:rsidRPr="00E87AAA">
              <w:t>Title</w:t>
            </w:r>
          </w:p>
        </w:tc>
        <w:tc>
          <w:tcPr>
            <w:tcW w:w="6798" w:type="dxa"/>
            <w:shd w:val="clear" w:color="auto" w:fill="auto"/>
          </w:tcPr>
          <w:p w14:paraId="55ABBC6A" w14:textId="6A6D9DA3" w:rsidR="00A8727D" w:rsidRPr="0088114A" w:rsidRDefault="00021FD9" w:rsidP="00D2574D">
            <w:pPr>
              <w:spacing w:before="120"/>
            </w:pPr>
            <w:r>
              <w:t>Personal Non-Concessional Contributions and Government Co-Contribution</w:t>
            </w:r>
            <w:r w:rsidR="0012121F">
              <w:t xml:space="preserve"> to SMSF</w:t>
            </w:r>
          </w:p>
        </w:tc>
      </w:tr>
      <w:tr w:rsidR="00A8727D" w:rsidRPr="0088114A" w14:paraId="183F3178"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DAE48E" w14:textId="77777777" w:rsidR="00A8727D" w:rsidRPr="00E87AAA" w:rsidRDefault="00A8727D" w:rsidP="00E164DA">
            <w:pPr>
              <w:pStyle w:val="Instructions"/>
            </w:pPr>
            <w:r w:rsidRPr="00E87AAA">
              <w:t>Explanation</w:t>
            </w:r>
          </w:p>
        </w:tc>
        <w:tc>
          <w:tcPr>
            <w:tcW w:w="6798" w:type="dxa"/>
            <w:shd w:val="clear" w:color="auto" w:fill="auto"/>
          </w:tcPr>
          <w:p w14:paraId="217ECB05" w14:textId="2D336DF9" w:rsidR="00A8727D" w:rsidRPr="0088114A" w:rsidRDefault="00021FD9" w:rsidP="00C8243A">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Non-</w:t>
            </w:r>
            <w:r w:rsidRPr="005F763D">
              <w:rPr>
                <w:color w:val="auto"/>
              </w:rPr>
              <w:t xml:space="preserve">Concessional (After-Tax) Contribution </w:t>
            </w:r>
            <w:r w:rsidRPr="005F763D">
              <w:t>of $</w:t>
            </w:r>
            <w:r w:rsidR="00C37DD7">
              <w:t>[</w:t>
            </w:r>
            <w:proofErr w:type="gramStart"/>
            <w:r w:rsidR="00C37DD7">
              <w:t>_,_</w:t>
            </w:r>
            <w:proofErr w:type="gramEnd"/>
            <w:r w:rsidR="00C37DD7">
              <w:t>]</w:t>
            </w:r>
            <w:r w:rsidRPr="005F763D">
              <w:t xml:space="preserve"> per annum into your </w:t>
            </w:r>
            <w:r w:rsidR="0012121F" w:rsidRPr="0012121F">
              <w:rPr>
                <w:color w:val="7030A0"/>
                <w:highlight w:val="yellow"/>
              </w:rPr>
              <w:t>[</w:t>
            </w:r>
            <w:r w:rsidRPr="0012121F">
              <w:rPr>
                <w:color w:val="7030A0"/>
                <w:highlight w:val="yellow"/>
              </w:rPr>
              <w:t xml:space="preserve">SMSF </w:t>
            </w:r>
            <w:r w:rsidR="0012121F" w:rsidRPr="0012121F">
              <w:rPr>
                <w:color w:val="7030A0"/>
                <w:highlight w:val="yellow"/>
              </w:rPr>
              <w:t>Name]</w:t>
            </w:r>
            <w:r w:rsidR="0012121F" w:rsidRPr="0012121F">
              <w:rPr>
                <w:color w:val="7030A0"/>
              </w:rPr>
              <w:t xml:space="preserve"> </w:t>
            </w:r>
            <w:r w:rsidRPr="005F763D">
              <w:t>in order to qualify for the Government Co-</w:t>
            </w:r>
            <w:commentRangeStart w:id="61"/>
            <w:r w:rsidRPr="005F763D">
              <w:t>contribution</w:t>
            </w:r>
            <w:commentRangeEnd w:id="61"/>
            <w:r w:rsidR="00D3300F">
              <w:rPr>
                <w:rStyle w:val="CommentReference"/>
                <w:color w:val="auto"/>
                <w:lang w:eastAsia="ja-JP"/>
              </w:rPr>
              <w:commentReference w:id="61"/>
            </w:r>
            <w:r w:rsidRPr="005F763D">
              <w:t>.</w:t>
            </w:r>
          </w:p>
        </w:tc>
      </w:tr>
      <w:tr w:rsidR="00A8727D" w:rsidRPr="00E87AAA" w14:paraId="023D5CD7"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599A57" w14:textId="77777777" w:rsidR="00A8727D" w:rsidRPr="00E87AAA" w:rsidRDefault="00A8727D" w:rsidP="00E164DA">
            <w:pPr>
              <w:pStyle w:val="Instructions"/>
            </w:pPr>
            <w:r w:rsidRPr="00E87AAA">
              <w:t>In your Best Interest</w:t>
            </w:r>
          </w:p>
        </w:tc>
        <w:tc>
          <w:tcPr>
            <w:tcW w:w="6798" w:type="dxa"/>
            <w:shd w:val="clear" w:color="auto" w:fill="auto"/>
          </w:tcPr>
          <w:p w14:paraId="4782DBF7" w14:textId="77777777" w:rsidR="00A8727D" w:rsidRPr="00E87AAA" w:rsidRDefault="00A8727D" w:rsidP="00D2574D">
            <w:pPr>
              <w:spacing w:before="120"/>
              <w:jc w:val="left"/>
              <w:rPr>
                <w:sz w:val="18"/>
                <w:szCs w:val="18"/>
                <w:highlight w:val="yellow"/>
              </w:rPr>
            </w:pPr>
          </w:p>
        </w:tc>
      </w:tr>
      <w:tr w:rsidR="00A8727D" w:rsidRPr="00E87AAA" w14:paraId="7DEEB6D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71F49E0" w14:textId="77777777" w:rsidR="00A8727D" w:rsidRPr="00E87AAA" w:rsidRDefault="00A8727D" w:rsidP="00E164DA">
            <w:pPr>
              <w:pStyle w:val="Instructions"/>
            </w:pPr>
            <w:r>
              <w:t>Further Detail</w:t>
            </w:r>
          </w:p>
        </w:tc>
        <w:tc>
          <w:tcPr>
            <w:tcW w:w="6798" w:type="dxa"/>
            <w:shd w:val="clear" w:color="auto" w:fill="auto"/>
          </w:tcPr>
          <w:p w14:paraId="6C76A9C6" w14:textId="43CF8B9B" w:rsidR="0004186D" w:rsidRPr="005F763D" w:rsidRDefault="0004186D" w:rsidP="0004186D">
            <w:pPr>
              <w:jc w:val="left"/>
            </w:pPr>
            <w:r w:rsidRPr="002C0C50">
              <w:t>Typically</w:t>
            </w:r>
            <w:r w:rsidR="00A35012">
              <w:t>,</w:t>
            </w:r>
            <w:r w:rsidRPr="002C0C50">
              <w:t xml:space="preserve"> making a non-concessional contribution to superannuation meets your needs/objectives for the following reasons:</w:t>
            </w:r>
          </w:p>
          <w:p w14:paraId="1F5C0FEF" w14:textId="77777777" w:rsidR="0004186D" w:rsidRPr="005F763D" w:rsidRDefault="0004186D" w:rsidP="003812CB">
            <w:pPr>
              <w:pStyle w:val="ListParagraph"/>
              <w:numPr>
                <w:ilvl w:val="0"/>
                <w:numId w:val="65"/>
              </w:numPr>
              <w:jc w:val="left"/>
            </w:pPr>
            <w:r w:rsidRPr="005F763D">
              <w:t>Based on your assessable income of $</w:t>
            </w:r>
            <w:r w:rsidRPr="000D0191">
              <w:rPr>
                <w:color w:val="FF0000"/>
              </w:rPr>
              <w:t>[__</w:t>
            </w:r>
            <w:proofErr w:type="gramStart"/>
            <w:r w:rsidRPr="000D0191">
              <w:rPr>
                <w:color w:val="FF0000"/>
              </w:rPr>
              <w:t>_,_</w:t>
            </w:r>
            <w:proofErr w:type="gramEnd"/>
            <w:r w:rsidRPr="000D0191">
              <w:rPr>
                <w:color w:val="FF0000"/>
              </w:rPr>
              <w:t>__]</w:t>
            </w:r>
            <w:r w:rsidRPr="005F763D">
              <w:t>, we estimate you will be eligible to a Co-contribution of $</w:t>
            </w:r>
            <w:r w:rsidRPr="000D0191">
              <w:rPr>
                <w:color w:val="FF0000"/>
              </w:rPr>
              <w:t>[___,___]</w:t>
            </w:r>
            <w:r w:rsidRPr="005F763D">
              <w:t>.</w:t>
            </w:r>
          </w:p>
          <w:p w14:paraId="29DC192B" w14:textId="77777777" w:rsidR="0004186D" w:rsidRPr="005F763D" w:rsidRDefault="0004186D" w:rsidP="003812CB">
            <w:pPr>
              <w:pStyle w:val="ListParagraph"/>
              <w:numPr>
                <w:ilvl w:val="0"/>
                <w:numId w:val="65"/>
              </w:numPr>
              <w:jc w:val="left"/>
            </w:pPr>
            <w:r w:rsidRPr="005F763D">
              <w:t>Increasing your superannuation savings helps you save for retirement.</w:t>
            </w:r>
          </w:p>
          <w:p w14:paraId="7BBE5C30" w14:textId="77777777" w:rsidR="0004186D" w:rsidRPr="005F763D" w:rsidRDefault="0004186D" w:rsidP="003812CB">
            <w:pPr>
              <w:pStyle w:val="ListParagraph"/>
              <w:numPr>
                <w:ilvl w:val="0"/>
                <w:numId w:val="65"/>
              </w:numPr>
              <w:jc w:val="left"/>
            </w:pPr>
            <w:r w:rsidRPr="005F763D">
              <w:t>Contributions made with after tax dollars will form part of the tax-free component of your super, and will be tax-free upon withdrawal.</w:t>
            </w:r>
          </w:p>
          <w:p w14:paraId="50E387E9" w14:textId="77777777" w:rsidR="0004186D" w:rsidRPr="005F763D" w:rsidRDefault="0004186D" w:rsidP="003812CB">
            <w:pPr>
              <w:pStyle w:val="ListParagraph"/>
              <w:numPr>
                <w:ilvl w:val="0"/>
                <w:numId w:val="65"/>
              </w:numPr>
              <w:jc w:val="left"/>
            </w:pPr>
            <w:r w:rsidRPr="000D0191">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In addition:</w:t>
            </w:r>
          </w:p>
          <w:p w14:paraId="43E1D3D4" w14:textId="77777777" w:rsidR="0004186D" w:rsidRPr="005F763D" w:rsidRDefault="0004186D" w:rsidP="003812CB">
            <w:pPr>
              <w:pStyle w:val="ListParagraph"/>
              <w:numPr>
                <w:ilvl w:val="0"/>
                <w:numId w:val="65"/>
              </w:numPr>
              <w:jc w:val="left"/>
            </w:pPr>
            <w:r w:rsidRPr="000D0191">
              <w:t>The Fund will be entitled to a refund of excess franking credits (if any), which can also improve the tax effectiveness of the investments in your Fund.</w:t>
            </w:r>
          </w:p>
          <w:p w14:paraId="49885238" w14:textId="77777777" w:rsidR="0004186D" w:rsidRPr="005F763D" w:rsidRDefault="0004186D" w:rsidP="003812CB">
            <w:pPr>
              <w:pStyle w:val="ListParagraph"/>
              <w:numPr>
                <w:ilvl w:val="0"/>
                <w:numId w:val="65"/>
              </w:numPr>
              <w:jc w:val="left"/>
            </w:pPr>
            <w:r w:rsidRPr="000D0191">
              <w:t xml:space="preserve">Any capital gains arising from the sale of an asset that has been held for at least 12 months will be concessionally taxed. In this case, only two thirds of the gain </w:t>
            </w:r>
            <w:proofErr w:type="gramStart"/>
            <w:r w:rsidRPr="000D0191">
              <w:t>is</w:t>
            </w:r>
            <w:proofErr w:type="gramEnd"/>
            <w:r w:rsidRPr="000D0191">
              <w:t xml:space="preserve"> taxable at 15%.  This effectively reduces the capital gains tax rate to 10%.</w:t>
            </w:r>
          </w:p>
          <w:p w14:paraId="0DC6FEE5" w14:textId="44FC8EDF" w:rsidR="0004186D" w:rsidRDefault="0004186D" w:rsidP="003812CB">
            <w:pPr>
              <w:pStyle w:val="ListParagraph"/>
              <w:numPr>
                <w:ilvl w:val="0"/>
                <w:numId w:val="65"/>
              </w:numPr>
              <w:jc w:val="left"/>
            </w:pPr>
            <w:r w:rsidRPr="000D0191">
              <w:t>These concessional tax rates will help your overall superannuation savings grow faster.</w:t>
            </w:r>
          </w:p>
          <w:p w14:paraId="2801CE0A" w14:textId="77777777" w:rsidR="0004186D" w:rsidRPr="005F763D" w:rsidRDefault="0004186D" w:rsidP="0004186D">
            <w:pPr>
              <w:pStyle w:val="ListParagraph"/>
              <w:ind w:left="360"/>
              <w:jc w:val="left"/>
            </w:pPr>
          </w:p>
          <w:p w14:paraId="4D3552DB" w14:textId="77777777" w:rsidR="0004186D" w:rsidRPr="005F763D" w:rsidRDefault="0004186D" w:rsidP="0004186D">
            <w:pPr>
              <w:jc w:val="left"/>
            </w:pPr>
            <w:r w:rsidRPr="005F763D">
              <w:t>Before proceeding you should note the following:</w:t>
            </w:r>
          </w:p>
          <w:p w14:paraId="11B86C69" w14:textId="77777777" w:rsidR="0004186D" w:rsidRPr="005F763D" w:rsidRDefault="0004186D">
            <w:pPr>
              <w:pStyle w:val="InterPracBullet"/>
              <w:numPr>
                <w:ilvl w:val="0"/>
                <w:numId w:val="22"/>
              </w:numPr>
            </w:pPr>
            <w:r w:rsidRPr="005F763D">
              <w:t>Funds invested within the superannuation environment are subject to preservation rules are not generally accessible until you satisfy a condition of release such as retirement or reaching age 65.</w:t>
            </w:r>
          </w:p>
          <w:p w14:paraId="6B23AB3E" w14:textId="77777777" w:rsidR="0004186D" w:rsidRPr="005F763D" w:rsidRDefault="0004186D">
            <w:pPr>
              <w:pStyle w:val="InterPracBullet"/>
              <w:numPr>
                <w:ilvl w:val="0"/>
                <w:numId w:val="22"/>
              </w:numPr>
            </w:pPr>
            <w:r w:rsidRPr="005F763D">
              <w:t>Legislation limits non-concessional contributions to $1</w:t>
            </w:r>
            <w:r>
              <w:rPr>
                <w:lang w:val="en-AU"/>
              </w:rPr>
              <w:t>0</w:t>
            </w:r>
            <w:r w:rsidRPr="005F763D">
              <w:t xml:space="preserve">0,000 per financial year or, if </w:t>
            </w:r>
            <w:commentRangeStart w:id="62"/>
            <w:r w:rsidRPr="005F763D">
              <w:t>eligible</w:t>
            </w:r>
            <w:commentRangeEnd w:id="62"/>
            <w:r w:rsidR="00EA2AB8">
              <w:rPr>
                <w:rStyle w:val="CommentReference"/>
                <w:rFonts w:eastAsia="MS Mincho"/>
                <w:lang w:val="en-AU" w:eastAsia="ja-JP"/>
              </w:rPr>
              <w:commentReference w:id="62"/>
            </w:r>
            <w:r w:rsidRPr="005F763D">
              <w:t>, at a maximum of $</w:t>
            </w:r>
            <w:r>
              <w:rPr>
                <w:lang w:val="en-AU"/>
              </w:rPr>
              <w:t>30</w:t>
            </w:r>
            <w:r w:rsidRPr="005F763D">
              <w:t xml:space="preserve">0,000 over a period of three financial years.  Amounts contributed in excess of the limit will be subject to tax at </w:t>
            </w:r>
            <w:r>
              <w:rPr>
                <w:lang w:val="en-AU"/>
              </w:rPr>
              <w:t xml:space="preserve">the top marginal rate </w:t>
            </w:r>
            <w:r w:rsidRPr="005F763D">
              <w:t>4</w:t>
            </w:r>
            <w:r>
              <w:rPr>
                <w:lang w:val="en-AU"/>
              </w:rPr>
              <w:t>5</w:t>
            </w:r>
            <w:r w:rsidRPr="005F763D">
              <w:t>%.</w:t>
            </w:r>
          </w:p>
          <w:p w14:paraId="526D6514" w14:textId="77777777" w:rsidR="0004186D" w:rsidRPr="005F763D" w:rsidRDefault="0004186D">
            <w:pPr>
              <w:pStyle w:val="InterPracBullet"/>
              <w:numPr>
                <w:ilvl w:val="0"/>
                <w:numId w:val="22"/>
              </w:numPr>
            </w:pPr>
            <w:r w:rsidRPr="005F763D">
              <w:t>Non-concessional contributions cannot be claimed as tax deductions.</w:t>
            </w:r>
          </w:p>
          <w:p w14:paraId="5661B878" w14:textId="77777777" w:rsidR="00A8727D" w:rsidRPr="00E87AAA" w:rsidRDefault="00A8727D" w:rsidP="00D2574D">
            <w:pPr>
              <w:spacing w:before="120"/>
              <w:jc w:val="left"/>
              <w:rPr>
                <w:sz w:val="18"/>
                <w:szCs w:val="18"/>
                <w:highlight w:val="yellow"/>
              </w:rPr>
            </w:pPr>
          </w:p>
        </w:tc>
      </w:tr>
    </w:tbl>
    <w:p w14:paraId="74C3714E" w14:textId="77777777" w:rsidR="00A8727D" w:rsidRPr="005F763D" w:rsidRDefault="00A8727D" w:rsidP="008C7CE9">
      <w:pPr>
        <w:jc w:val="left"/>
      </w:pPr>
    </w:p>
    <w:p w14:paraId="5C23C129" w14:textId="77777777" w:rsidR="00C2375F" w:rsidRPr="005F763D" w:rsidRDefault="00C2375F" w:rsidP="008C7CE9">
      <w:pPr>
        <w:jc w:val="left"/>
      </w:pPr>
    </w:p>
    <w:p w14:paraId="3043766A" w14:textId="77777777" w:rsidR="00C2375F" w:rsidRPr="005F763D" w:rsidRDefault="00C2375F" w:rsidP="008C7CE9">
      <w:pPr>
        <w:jc w:val="left"/>
      </w:pPr>
    </w:p>
    <w:p w14:paraId="71D18E4D" w14:textId="77777777" w:rsidR="00D23CD8" w:rsidRPr="005F763D" w:rsidRDefault="00D23CD8" w:rsidP="008C7CE9">
      <w:pPr>
        <w:jc w:val="left"/>
      </w:pPr>
    </w:p>
    <w:p w14:paraId="0F4D0AD3" w14:textId="77777777" w:rsidR="00C2375F" w:rsidRPr="005F763D" w:rsidRDefault="00C2375F" w:rsidP="008C7CE9">
      <w:pPr>
        <w:jc w:val="left"/>
        <w:rPr>
          <w:color w:val="002060"/>
          <w:sz w:val="24"/>
        </w:rPr>
      </w:pPr>
      <w:bookmarkStart w:id="63" w:name="_Toc376868658"/>
      <w:bookmarkEnd w:id="58"/>
      <w:r w:rsidRPr="005F763D">
        <w:rPr>
          <w:color w:val="002060"/>
          <w:sz w:val="24"/>
        </w:rPr>
        <w:t>Salary Sacrifice Contributions to SMSF</w:t>
      </w:r>
    </w:p>
    <w:p w14:paraId="19A4F508" w14:textId="2515690F"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4424B" w:rsidRPr="00E51BEA" w14:paraId="5B26F544"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F56F0B7" w14:textId="77777777" w:rsidR="00A4424B" w:rsidRPr="00AA2CC6" w:rsidRDefault="00A4424B"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55D6636" w14:textId="77777777" w:rsidR="00A4424B" w:rsidRPr="00E51BEA" w:rsidRDefault="00A4424B" w:rsidP="00D2574D">
            <w:pPr>
              <w:pStyle w:val="TableHeader2"/>
              <w:rPr>
                <w:rFonts w:ascii="Calibri Light" w:hAnsi="Calibri Light"/>
              </w:rPr>
            </w:pPr>
          </w:p>
        </w:tc>
      </w:tr>
      <w:tr w:rsidR="00A4424B" w:rsidRPr="0088114A" w14:paraId="5E68054F"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9C0EC5" w14:textId="77777777" w:rsidR="00A4424B" w:rsidRPr="00E87AAA" w:rsidRDefault="00A4424B" w:rsidP="00E164DA">
            <w:pPr>
              <w:pStyle w:val="Instructions"/>
            </w:pPr>
            <w:r w:rsidRPr="00E87AAA">
              <w:t>Title</w:t>
            </w:r>
          </w:p>
        </w:tc>
        <w:tc>
          <w:tcPr>
            <w:tcW w:w="6798" w:type="dxa"/>
            <w:shd w:val="clear" w:color="auto" w:fill="auto"/>
          </w:tcPr>
          <w:p w14:paraId="7DEF3F9A" w14:textId="40F546E9" w:rsidR="00A4424B" w:rsidRPr="0088114A" w:rsidRDefault="00FE7F5F" w:rsidP="00D2574D">
            <w:pPr>
              <w:spacing w:before="120"/>
            </w:pPr>
            <w:r>
              <w:t>Salary Sacrifice Contributions to SMSF</w:t>
            </w:r>
          </w:p>
        </w:tc>
      </w:tr>
      <w:tr w:rsidR="00A4424B" w:rsidRPr="0088114A" w14:paraId="294FA8D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7A09192" w14:textId="77777777" w:rsidR="00A4424B" w:rsidRPr="00E87AAA" w:rsidRDefault="00A4424B" w:rsidP="00E164DA">
            <w:pPr>
              <w:pStyle w:val="Instructions"/>
            </w:pPr>
            <w:r w:rsidRPr="00E87AAA">
              <w:t>Explanation</w:t>
            </w:r>
          </w:p>
        </w:tc>
        <w:tc>
          <w:tcPr>
            <w:tcW w:w="6798" w:type="dxa"/>
            <w:shd w:val="clear" w:color="auto" w:fill="auto"/>
          </w:tcPr>
          <w:p w14:paraId="7B2A9D70" w14:textId="03F5DB5D" w:rsidR="00463ED7" w:rsidRDefault="00FE7F5F" w:rsidP="00FE7F5F">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w:t>
            </w:r>
            <w:r w:rsidR="00CA2802">
              <w:t xml:space="preserve"> </w:t>
            </w:r>
            <w:r w:rsidR="00BD550A" w:rsidRPr="0094041B">
              <w:rPr>
                <w:color w:val="7030A0"/>
                <w:highlight w:val="yellow"/>
              </w:rPr>
              <w:t>[</w:t>
            </w:r>
            <w:r w:rsidR="00CA2802" w:rsidRPr="00DA7CFD">
              <w:rPr>
                <w:color w:val="7030A0"/>
                <w:highlight w:val="yellow"/>
              </w:rPr>
              <w:t>each</w:t>
            </w:r>
            <w:r w:rsidR="00BD550A" w:rsidRPr="0094041B">
              <w:rPr>
                <w:color w:val="7030A0"/>
                <w:highlight w:val="yellow"/>
              </w:rPr>
              <w:t>]</w:t>
            </w:r>
            <w:r w:rsidRPr="0094041B">
              <w:rPr>
                <w:color w:val="7030A0"/>
                <w:highlight w:val="yellow"/>
              </w:rPr>
              <w:t xml:space="preserve"> </w:t>
            </w:r>
            <w:r w:rsidRPr="005F763D">
              <w:t>Salary Sacrifice $</w:t>
            </w:r>
            <w:r w:rsidRPr="005F763D">
              <w:rPr>
                <w:color w:val="FF0000"/>
              </w:rPr>
              <w:t>[__</w:t>
            </w:r>
            <w:proofErr w:type="gramStart"/>
            <w:r w:rsidRPr="005F763D">
              <w:rPr>
                <w:color w:val="FF0000"/>
              </w:rPr>
              <w:t>_,_</w:t>
            </w:r>
            <w:proofErr w:type="gramEnd"/>
            <w:r w:rsidRPr="005F763D">
              <w:rPr>
                <w:color w:val="FF0000"/>
              </w:rPr>
              <w:t>__]</w:t>
            </w:r>
            <w:r w:rsidRPr="005F763D">
              <w:t xml:space="preserve"> per annum into your </w:t>
            </w:r>
            <w:r w:rsidR="00D5531E" w:rsidRPr="00D5531E">
              <w:rPr>
                <w:color w:val="7030A0"/>
                <w:highlight w:val="yellow"/>
              </w:rPr>
              <w:t>[</w:t>
            </w:r>
            <w:r w:rsidRPr="00D5531E">
              <w:rPr>
                <w:color w:val="7030A0"/>
                <w:highlight w:val="yellow"/>
              </w:rPr>
              <w:t>SMSF</w:t>
            </w:r>
            <w:r w:rsidR="00D5531E" w:rsidRPr="00D5531E">
              <w:rPr>
                <w:color w:val="7030A0"/>
                <w:highlight w:val="yellow"/>
              </w:rPr>
              <w:t xml:space="preserve"> Name]</w:t>
            </w:r>
            <w:r w:rsidRPr="005F763D">
              <w:t xml:space="preserve">.  </w:t>
            </w:r>
          </w:p>
          <w:p w14:paraId="45FD8121" w14:textId="11004F40" w:rsidR="00A4424B" w:rsidRPr="0088114A" w:rsidRDefault="00FE7F5F" w:rsidP="00FE7F5F">
            <w:pPr>
              <w:jc w:val="left"/>
              <w:rPr>
                <w:sz w:val="18"/>
                <w:szCs w:val="18"/>
                <w:highlight w:val="yellow"/>
              </w:rPr>
            </w:pPr>
            <w:r w:rsidRPr="005F763D">
              <w:t xml:space="preserve">We recommend you continue these contributions until </w:t>
            </w:r>
            <w:r w:rsidR="000B433F" w:rsidRPr="00E11BDB">
              <w:rPr>
                <w:color w:val="7030A0"/>
                <w:highlight w:val="yellow"/>
              </w:rPr>
              <w:t xml:space="preserve">[period / </w:t>
            </w:r>
            <w:r w:rsidRPr="00E11BDB">
              <w:rPr>
                <w:color w:val="7030A0"/>
                <w:highlight w:val="yellow"/>
              </w:rPr>
              <w:t>retirement</w:t>
            </w:r>
            <w:r w:rsidR="000B433F" w:rsidRPr="00E11BDB">
              <w:rPr>
                <w:color w:val="7030A0"/>
                <w:highlight w:val="yellow"/>
              </w:rPr>
              <w:t>]</w:t>
            </w:r>
            <w:r w:rsidRPr="000B433F">
              <w:rPr>
                <w:color w:val="auto"/>
              </w:rPr>
              <w:t>.</w:t>
            </w:r>
          </w:p>
        </w:tc>
      </w:tr>
      <w:tr w:rsidR="00A4424B" w:rsidRPr="00E87AAA" w14:paraId="775D27D0"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00C9EAF" w14:textId="77777777" w:rsidR="00A4424B" w:rsidRPr="00E87AAA" w:rsidRDefault="00A4424B" w:rsidP="00E164DA">
            <w:pPr>
              <w:pStyle w:val="Instructions"/>
            </w:pPr>
            <w:r w:rsidRPr="00E87AAA">
              <w:t>In your Best Interest</w:t>
            </w:r>
          </w:p>
        </w:tc>
        <w:tc>
          <w:tcPr>
            <w:tcW w:w="6798" w:type="dxa"/>
            <w:shd w:val="clear" w:color="auto" w:fill="auto"/>
          </w:tcPr>
          <w:p w14:paraId="2F309F54" w14:textId="77777777" w:rsidR="00A4424B" w:rsidRPr="00E87AAA" w:rsidRDefault="00A4424B" w:rsidP="00D2574D">
            <w:pPr>
              <w:spacing w:before="120"/>
              <w:jc w:val="left"/>
              <w:rPr>
                <w:sz w:val="18"/>
                <w:szCs w:val="18"/>
                <w:highlight w:val="yellow"/>
              </w:rPr>
            </w:pPr>
          </w:p>
        </w:tc>
      </w:tr>
      <w:tr w:rsidR="00A4424B" w:rsidRPr="00E87AAA" w14:paraId="17371527"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CD4FA5" w14:textId="77777777" w:rsidR="00A4424B" w:rsidRPr="00E87AAA" w:rsidRDefault="00A4424B" w:rsidP="00E164DA">
            <w:pPr>
              <w:pStyle w:val="Instructions"/>
            </w:pPr>
            <w:r>
              <w:lastRenderedPageBreak/>
              <w:t>Further Detail</w:t>
            </w:r>
          </w:p>
        </w:tc>
        <w:tc>
          <w:tcPr>
            <w:tcW w:w="6798" w:type="dxa"/>
            <w:shd w:val="clear" w:color="auto" w:fill="auto"/>
          </w:tcPr>
          <w:p w14:paraId="64DF5F5D" w14:textId="5A2A176A" w:rsidR="00FE7F5F" w:rsidRDefault="00FE7F5F" w:rsidP="00FE7F5F">
            <w:pPr>
              <w:jc w:val="left"/>
            </w:pPr>
            <w:r w:rsidRPr="005F763D">
              <w:t>Please note that you Salary Sacrifice contributions incur contributions tax of 15%, which equates to $</w:t>
            </w:r>
            <w:r w:rsidRPr="005F763D">
              <w:rPr>
                <w:color w:val="FF0000"/>
              </w:rPr>
              <w:t>[__</w:t>
            </w:r>
            <w:proofErr w:type="gramStart"/>
            <w:r w:rsidRPr="005F763D">
              <w:rPr>
                <w:color w:val="FF0000"/>
              </w:rPr>
              <w:t>_,_</w:t>
            </w:r>
            <w:proofErr w:type="gramEnd"/>
            <w:r w:rsidRPr="005F763D">
              <w:rPr>
                <w:color w:val="FF0000"/>
              </w:rPr>
              <w:t>__]</w:t>
            </w:r>
            <w:r w:rsidRPr="005F763D">
              <w:t>. Therefore, after the deduction of contributions tax the net superannuation contribution will be $</w:t>
            </w:r>
            <w:r w:rsidRPr="005F763D">
              <w:rPr>
                <w:color w:val="FF0000"/>
              </w:rPr>
              <w:t>[__</w:t>
            </w:r>
            <w:proofErr w:type="gramStart"/>
            <w:r w:rsidRPr="005F763D">
              <w:rPr>
                <w:color w:val="FF0000"/>
              </w:rPr>
              <w:t>_,_</w:t>
            </w:r>
            <w:proofErr w:type="gramEnd"/>
            <w:r w:rsidRPr="005F763D">
              <w:rPr>
                <w:color w:val="FF0000"/>
              </w:rPr>
              <w:t>__]</w:t>
            </w:r>
            <w:r w:rsidRPr="005F763D">
              <w:t>.</w:t>
            </w:r>
          </w:p>
          <w:p w14:paraId="364A4CB0" w14:textId="77777777" w:rsidR="00FE7F5F" w:rsidRPr="005F763D" w:rsidRDefault="00FE7F5F" w:rsidP="00FE7F5F">
            <w:pPr>
              <w:jc w:val="left"/>
            </w:pPr>
          </w:p>
          <w:p w14:paraId="3631947C" w14:textId="6821AF08" w:rsidR="00FE7F5F" w:rsidRPr="005F763D" w:rsidRDefault="00F75516" w:rsidP="00FE7F5F">
            <w:pPr>
              <w:jc w:val="left"/>
            </w:pPr>
            <w:r w:rsidRPr="002C0C50">
              <w:t>Typically,</w:t>
            </w:r>
            <w:r w:rsidR="00FE7F5F" w:rsidRPr="002C0C50">
              <w:t xml:space="preserve"> the benefits of this recommendation are:</w:t>
            </w:r>
          </w:p>
          <w:p w14:paraId="271A1930" w14:textId="77777777" w:rsidR="00FE7F5F" w:rsidRPr="005F763D" w:rsidRDefault="00FE7F5F" w:rsidP="003812CB">
            <w:pPr>
              <w:pStyle w:val="ListParagraph"/>
              <w:numPr>
                <w:ilvl w:val="0"/>
                <w:numId w:val="66"/>
              </w:numPr>
              <w:jc w:val="left"/>
            </w:pPr>
            <w:r w:rsidRPr="005F763D">
              <w:t>You accelerate your accumulation of wealth within the superannuation environment for retirement planning purposes.</w:t>
            </w:r>
          </w:p>
          <w:p w14:paraId="0A49976B" w14:textId="77777777" w:rsidR="004F452D" w:rsidRDefault="00FE7F5F" w:rsidP="003812CB">
            <w:pPr>
              <w:pStyle w:val="ListParagraph"/>
              <w:numPr>
                <w:ilvl w:val="0"/>
                <w:numId w:val="66"/>
              </w:numPr>
              <w:jc w:val="left"/>
            </w:pPr>
            <w:r w:rsidRPr="000D0191">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2F450C7F" w14:textId="5365FA8B" w:rsidR="00FE7F5F" w:rsidRPr="005F763D" w:rsidRDefault="00FE7F5F" w:rsidP="00E11BDB">
            <w:pPr>
              <w:pStyle w:val="ListParagraph"/>
              <w:ind w:left="360"/>
              <w:jc w:val="left"/>
            </w:pPr>
            <w:r w:rsidRPr="000D0191">
              <w:t>In addition:</w:t>
            </w:r>
          </w:p>
          <w:p w14:paraId="06FD379C" w14:textId="77777777" w:rsidR="00FE7F5F" w:rsidRPr="005F763D" w:rsidRDefault="00FE7F5F" w:rsidP="003812CB">
            <w:pPr>
              <w:pStyle w:val="ListParagraph"/>
              <w:numPr>
                <w:ilvl w:val="0"/>
                <w:numId w:val="66"/>
              </w:numPr>
              <w:jc w:val="left"/>
            </w:pPr>
            <w:r w:rsidRPr="000D0191">
              <w:t>The Fund will be entitled to a refund of excess franking credits (if any), which can also improve the tax effectiveness of the investments in your Fund.</w:t>
            </w:r>
          </w:p>
          <w:p w14:paraId="3B4B1C7C" w14:textId="7D3640D2" w:rsidR="00FE7F5F" w:rsidRPr="005F763D" w:rsidRDefault="00FE7F5F" w:rsidP="003812CB">
            <w:pPr>
              <w:pStyle w:val="ListParagraph"/>
              <w:numPr>
                <w:ilvl w:val="0"/>
                <w:numId w:val="66"/>
              </w:numPr>
              <w:jc w:val="left"/>
            </w:pPr>
            <w:r w:rsidRPr="000D0191">
              <w:t xml:space="preserve">Any capital gains arising from the sale of an asset that has been held for at least 12 months will be concessionally taxed. In this case, only two thirds of the gain </w:t>
            </w:r>
            <w:proofErr w:type="gramStart"/>
            <w:r w:rsidRPr="000D0191">
              <w:t>is</w:t>
            </w:r>
            <w:proofErr w:type="gramEnd"/>
            <w:r w:rsidRPr="000D0191">
              <w:t xml:space="preserve"> taxable at 15%.  This effectively reduces the capital gains tax rate to 10%.</w:t>
            </w:r>
          </w:p>
          <w:p w14:paraId="4B909F75" w14:textId="77777777" w:rsidR="00FE7F5F" w:rsidRPr="005F763D" w:rsidRDefault="00FE7F5F" w:rsidP="003812CB">
            <w:pPr>
              <w:pStyle w:val="ListParagraph"/>
              <w:numPr>
                <w:ilvl w:val="0"/>
                <w:numId w:val="66"/>
              </w:numPr>
              <w:jc w:val="left"/>
            </w:pPr>
            <w:r w:rsidRPr="000D0191">
              <w:t>These concessional tax rates will help your overall superannuation savings grow faster.</w:t>
            </w:r>
          </w:p>
          <w:p w14:paraId="4B448147" w14:textId="77777777" w:rsidR="00E760F3" w:rsidRDefault="00E760F3" w:rsidP="00E760F3">
            <w:pPr>
              <w:jc w:val="left"/>
            </w:pPr>
          </w:p>
          <w:p w14:paraId="1A13CB9A" w14:textId="6E48D427" w:rsidR="00E760F3" w:rsidRPr="005F763D" w:rsidRDefault="00F75516" w:rsidP="00E760F3">
            <w:pPr>
              <w:jc w:val="left"/>
            </w:pPr>
            <w:r w:rsidRPr="002C0C50">
              <w:t>Typically,</w:t>
            </w:r>
            <w:r w:rsidR="00E760F3" w:rsidRPr="002C0C50">
              <w:t xml:space="preserve"> the risks associated with recommended strategy are:</w:t>
            </w:r>
          </w:p>
          <w:p w14:paraId="047689CC" w14:textId="77777777" w:rsidR="00E760F3" w:rsidRDefault="00E760F3" w:rsidP="003552C8">
            <w:pPr>
              <w:pStyle w:val="ListParagraph"/>
              <w:numPr>
                <w:ilvl w:val="0"/>
                <w:numId w:val="67"/>
              </w:numPr>
              <w:ind w:left="360"/>
              <w:jc w:val="left"/>
            </w:pPr>
            <w:r w:rsidRPr="005F763D">
              <w:t xml:space="preserve">Your future Superannuation Guarantee </w:t>
            </w:r>
            <w:r>
              <w:t>c</w:t>
            </w:r>
            <w:r w:rsidRPr="005F763D">
              <w:t>ontributions (SG) may decrease in line with your reduction in salary. You will need to consult your HR department in this regard.</w:t>
            </w:r>
          </w:p>
          <w:p w14:paraId="52910916" w14:textId="40188F56" w:rsidR="00E760F3" w:rsidRDefault="00E760F3" w:rsidP="003552C8">
            <w:pPr>
              <w:pStyle w:val="ListParagraph"/>
              <w:numPr>
                <w:ilvl w:val="0"/>
                <w:numId w:val="67"/>
              </w:numPr>
              <w:ind w:left="360"/>
              <w:jc w:val="left"/>
            </w:pPr>
            <w:r>
              <w:t xml:space="preserve">Like Superannuation Guarantee (SG), the law categorises salary sacrifice payments as ‘Employer’ contributions that are not mandatory but are requested by the employee in an agreement made in advance of the first payment. This helps to explain why salary sacrifice is more formally known </w:t>
            </w:r>
            <w:r w:rsidR="00F75516">
              <w:t>as Reportable</w:t>
            </w:r>
            <w:r>
              <w:t xml:space="preserve"> Employer Superannuation Contributions (RESC). </w:t>
            </w:r>
          </w:p>
          <w:p w14:paraId="211670C1" w14:textId="77777777" w:rsidR="00E760F3" w:rsidRPr="00B13888" w:rsidRDefault="00E760F3" w:rsidP="003552C8">
            <w:pPr>
              <w:pStyle w:val="ListParagraph"/>
              <w:ind w:left="360"/>
              <w:jc w:val="left"/>
            </w:pPr>
            <w:r>
              <w:t xml:space="preserve">It also helps to explain why RESC amounts can legally be substituted to reduce an employer’s mandatory minimum superannuation liability (SG). So, when a request to salary sacrifice is made, it should be made clear that the employee’s SG payments are not to be reduced as this will reduce the overall employee salary ‘package’ entitlement. </w:t>
            </w:r>
          </w:p>
          <w:p w14:paraId="74F054D5" w14:textId="77777777" w:rsidR="00E760F3" w:rsidRPr="005F763D" w:rsidRDefault="00E760F3" w:rsidP="003552C8">
            <w:pPr>
              <w:pStyle w:val="ListParagraph"/>
              <w:numPr>
                <w:ilvl w:val="0"/>
                <w:numId w:val="67"/>
              </w:numPr>
              <w:ind w:left="360"/>
              <w:jc w:val="left"/>
            </w:pPr>
            <w:r w:rsidRPr="000D0191">
              <w:t>Funds invested within the superannuation environment are subject to preservation rules are not generally accessible until you satisfy a condition of release such as retirement or reaching age 65.</w:t>
            </w:r>
          </w:p>
          <w:p w14:paraId="42F35C7A" w14:textId="77777777" w:rsidR="00E760F3" w:rsidRDefault="00E760F3" w:rsidP="003552C8">
            <w:pPr>
              <w:pStyle w:val="ListParagraph"/>
              <w:numPr>
                <w:ilvl w:val="0"/>
                <w:numId w:val="67"/>
              </w:numPr>
              <w:ind w:left="360"/>
              <w:jc w:val="left"/>
            </w:pPr>
            <w:r w:rsidRPr="000D0191">
              <w:t>C</w:t>
            </w:r>
            <w:r w:rsidRPr="005F763D">
              <w:t>oncessional contributions are limited to $</w:t>
            </w:r>
            <w:r w:rsidRPr="000D0191">
              <w:t>25</w:t>
            </w:r>
            <w:r w:rsidRPr="005F763D">
              <w:t xml:space="preserve">,000 per annum.  </w:t>
            </w:r>
          </w:p>
          <w:p w14:paraId="0D2F79C8" w14:textId="6FF05FED" w:rsidR="00E760F3" w:rsidRPr="005F763D" w:rsidRDefault="00E760F3" w:rsidP="003552C8">
            <w:pPr>
              <w:pStyle w:val="ListParagraph"/>
              <w:numPr>
                <w:ilvl w:val="0"/>
                <w:numId w:val="67"/>
              </w:numPr>
              <w:ind w:left="360"/>
              <w:jc w:val="left"/>
            </w:pPr>
            <w:r w:rsidRPr="005F763D">
              <w:t>Excess concessional contributions can be refunded.  These amounts will be added to your assessable income and taxed at your marginal tax rate (less 15%</w:t>
            </w:r>
            <w:r w:rsidRPr="000D0191">
              <w:t>)</w:t>
            </w:r>
            <w:r w:rsidRPr="005F763D">
              <w:t xml:space="preserve"> plus penalties.</w:t>
            </w:r>
          </w:p>
          <w:p w14:paraId="1E755B2A" w14:textId="77777777" w:rsidR="00A4424B" w:rsidRPr="00E87AAA" w:rsidRDefault="00A4424B" w:rsidP="00D2574D">
            <w:pPr>
              <w:spacing w:before="120"/>
              <w:jc w:val="left"/>
              <w:rPr>
                <w:sz w:val="18"/>
                <w:szCs w:val="18"/>
                <w:highlight w:val="yellow"/>
              </w:rPr>
            </w:pPr>
          </w:p>
        </w:tc>
      </w:tr>
    </w:tbl>
    <w:p w14:paraId="416C37EB" w14:textId="77777777" w:rsidR="00A4424B" w:rsidRPr="005F763D" w:rsidRDefault="00A4424B" w:rsidP="008C7CE9">
      <w:pPr>
        <w:jc w:val="left"/>
      </w:pPr>
    </w:p>
    <w:p w14:paraId="35808E79" w14:textId="77777777" w:rsidR="00C2375F" w:rsidRPr="005F763D" w:rsidRDefault="00C2375F" w:rsidP="008C7CE9">
      <w:pPr>
        <w:jc w:val="left"/>
      </w:pPr>
    </w:p>
    <w:p w14:paraId="6A62FD11" w14:textId="77777777" w:rsidR="00C2375F" w:rsidRPr="005F763D" w:rsidRDefault="00C2375F" w:rsidP="008C7CE9">
      <w:pPr>
        <w:jc w:val="left"/>
      </w:pPr>
    </w:p>
    <w:p w14:paraId="6924264B" w14:textId="77777777" w:rsidR="00C2375F" w:rsidRPr="005F763D" w:rsidRDefault="00C2375F" w:rsidP="008C7CE9">
      <w:pPr>
        <w:jc w:val="left"/>
      </w:pPr>
    </w:p>
    <w:p w14:paraId="5EE1F3A6" w14:textId="77777777" w:rsidR="00D23CD8" w:rsidRPr="005F763D" w:rsidRDefault="00D23CD8" w:rsidP="008C7CE9">
      <w:pPr>
        <w:jc w:val="left"/>
      </w:pPr>
    </w:p>
    <w:p w14:paraId="1D4D0C89" w14:textId="49D1862B" w:rsidR="00C2375F" w:rsidRPr="005F763D" w:rsidRDefault="00C2375F" w:rsidP="008C7CE9">
      <w:pPr>
        <w:jc w:val="left"/>
        <w:rPr>
          <w:color w:val="002060"/>
          <w:sz w:val="24"/>
        </w:rPr>
      </w:pPr>
      <w:bookmarkStart w:id="64" w:name="_Toc376868659"/>
      <w:bookmarkEnd w:id="63"/>
      <w:r w:rsidRPr="005F763D">
        <w:rPr>
          <w:color w:val="002060"/>
          <w:sz w:val="24"/>
        </w:rPr>
        <w:t>Split</w:t>
      </w:r>
      <w:r w:rsidR="00E04736">
        <w:rPr>
          <w:color w:val="002060"/>
          <w:sz w:val="24"/>
        </w:rPr>
        <w:t>ting</w:t>
      </w:r>
      <w:r w:rsidRPr="005F763D">
        <w:rPr>
          <w:color w:val="002060"/>
          <w:sz w:val="24"/>
        </w:rPr>
        <w:t xml:space="preserve"> Superannuation Contributions</w:t>
      </w:r>
    </w:p>
    <w:p w14:paraId="2FE6A675" w14:textId="5F710D0C"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2AF0E125"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B7A4C13"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DC5739B" w14:textId="77777777" w:rsidR="00A8727D" w:rsidRPr="00E51BEA" w:rsidRDefault="00A8727D" w:rsidP="00D2574D">
            <w:pPr>
              <w:pStyle w:val="TableHeader2"/>
              <w:rPr>
                <w:rFonts w:ascii="Calibri Light" w:hAnsi="Calibri Light"/>
              </w:rPr>
            </w:pPr>
          </w:p>
        </w:tc>
      </w:tr>
      <w:tr w:rsidR="00A8727D" w:rsidRPr="0088114A" w14:paraId="484243A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5FA0821" w14:textId="77777777" w:rsidR="00A8727D" w:rsidRPr="00E87AAA" w:rsidRDefault="00A8727D" w:rsidP="00E164DA">
            <w:pPr>
              <w:pStyle w:val="Instructions"/>
            </w:pPr>
            <w:r w:rsidRPr="00E87AAA">
              <w:t>Title</w:t>
            </w:r>
          </w:p>
        </w:tc>
        <w:tc>
          <w:tcPr>
            <w:tcW w:w="6798" w:type="dxa"/>
            <w:shd w:val="clear" w:color="auto" w:fill="auto"/>
          </w:tcPr>
          <w:p w14:paraId="1416C2F7" w14:textId="399D885B" w:rsidR="00A8727D" w:rsidRPr="0088114A" w:rsidRDefault="00E04736" w:rsidP="00D2574D">
            <w:pPr>
              <w:spacing w:before="120"/>
            </w:pPr>
            <w:r>
              <w:t>Splitting Superannuation Contributions</w:t>
            </w:r>
          </w:p>
        </w:tc>
      </w:tr>
      <w:tr w:rsidR="00A8727D" w:rsidRPr="0088114A" w14:paraId="2BEDAB8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129B01D" w14:textId="77777777" w:rsidR="00A8727D" w:rsidRPr="00E87AAA" w:rsidRDefault="00A8727D" w:rsidP="00E164DA">
            <w:pPr>
              <w:pStyle w:val="Instructions"/>
            </w:pPr>
            <w:r w:rsidRPr="00E87AAA">
              <w:t>Explanation</w:t>
            </w:r>
          </w:p>
        </w:tc>
        <w:tc>
          <w:tcPr>
            <w:tcW w:w="6798" w:type="dxa"/>
            <w:shd w:val="clear" w:color="auto" w:fill="auto"/>
          </w:tcPr>
          <w:p w14:paraId="374000E5" w14:textId="52C97578" w:rsidR="00A503D9" w:rsidRDefault="00A503D9" w:rsidP="00A503D9">
            <w:pPr>
              <w:jc w:val="left"/>
            </w:pPr>
            <w:r w:rsidRPr="005F763D">
              <w:rPr>
                <w:color w:val="FF0000"/>
              </w:rPr>
              <w:t>[Client]</w:t>
            </w:r>
            <w:r w:rsidRPr="000D0191">
              <w:rPr>
                <w:color w:val="000000" w:themeColor="text1"/>
              </w:rPr>
              <w:t>,</w:t>
            </w:r>
            <w:r>
              <w:rPr>
                <w:color w:val="FF0000"/>
              </w:rPr>
              <w:t xml:space="preserve"> </w:t>
            </w:r>
            <w:r w:rsidRPr="000D0191">
              <w:rPr>
                <w:color w:val="7030A0"/>
                <w:highlight w:val="yellow"/>
              </w:rPr>
              <w:t xml:space="preserve">[Salary </w:t>
            </w:r>
            <w:proofErr w:type="gramStart"/>
            <w:r w:rsidRPr="000D0191">
              <w:rPr>
                <w:color w:val="7030A0"/>
                <w:highlight w:val="yellow"/>
              </w:rPr>
              <w:t>Sacrifice][</w:t>
            </w:r>
            <w:proofErr w:type="gramEnd"/>
            <w:r w:rsidRPr="000D0191">
              <w:rPr>
                <w:color w:val="7030A0"/>
                <w:highlight w:val="yellow"/>
              </w:rPr>
              <w:t>make a concessional contribution]</w:t>
            </w:r>
            <w:r w:rsidRPr="000D0191">
              <w:rPr>
                <w:color w:val="7030A0"/>
              </w:rPr>
              <w:t xml:space="preserve"> </w:t>
            </w:r>
            <w:r w:rsidRPr="005F763D">
              <w:t>of $</w:t>
            </w:r>
            <w:r w:rsidRPr="005F763D">
              <w:rPr>
                <w:color w:val="FF0000"/>
              </w:rPr>
              <w:t>[___,___]</w:t>
            </w:r>
            <w:r w:rsidRPr="005F763D">
              <w:t xml:space="preserve"> to </w:t>
            </w:r>
            <w:r w:rsidRPr="005F763D">
              <w:rPr>
                <w:color w:val="FF0000"/>
              </w:rPr>
              <w:t>[</w:t>
            </w:r>
            <w:r>
              <w:rPr>
                <w:color w:val="FF0000"/>
              </w:rPr>
              <w:t xml:space="preserve">retail </w:t>
            </w:r>
            <w:r w:rsidRPr="005F763D">
              <w:rPr>
                <w:color w:val="FF0000"/>
              </w:rPr>
              <w:t>superannuation fund]</w:t>
            </w:r>
            <w:r w:rsidRPr="005F763D">
              <w:t xml:space="preserve"> </w:t>
            </w:r>
            <w:r w:rsidR="006C6C68" w:rsidRPr="00DA7CFD">
              <w:rPr>
                <w:color w:val="7030A0"/>
                <w:highlight w:val="yellow"/>
              </w:rPr>
              <w:t>OR</w:t>
            </w:r>
            <w:r w:rsidRPr="00E11BDB">
              <w:rPr>
                <w:highlight w:val="yellow"/>
              </w:rPr>
              <w:t xml:space="preserve"> </w:t>
            </w:r>
            <w:r w:rsidR="006C6C68" w:rsidRPr="00F569DC">
              <w:rPr>
                <w:color w:val="FF0000"/>
                <w:highlight w:val="yellow"/>
              </w:rPr>
              <w:t>[to</w:t>
            </w:r>
            <w:r w:rsidRPr="00F569DC">
              <w:rPr>
                <w:color w:val="FF0000"/>
                <w:highlight w:val="yellow"/>
              </w:rPr>
              <w:t xml:space="preserve"> your SMSF</w:t>
            </w:r>
            <w:r w:rsidR="006C6C68" w:rsidRPr="00F569DC">
              <w:rPr>
                <w:color w:val="FF0000"/>
                <w:highlight w:val="yellow"/>
              </w:rPr>
              <w:t xml:space="preserve"> &lt;Name&gt;]</w:t>
            </w:r>
            <w:r w:rsidRPr="00F569DC">
              <w:rPr>
                <w:highlight w:val="yellow"/>
              </w:rPr>
              <w:t>.</w:t>
            </w:r>
            <w:r w:rsidRPr="005F763D">
              <w:t xml:space="preserve">  </w:t>
            </w:r>
          </w:p>
          <w:p w14:paraId="526ED27A" w14:textId="77777777" w:rsidR="006C6C68" w:rsidRDefault="006C6C68" w:rsidP="00495B84">
            <w:pPr>
              <w:jc w:val="left"/>
            </w:pPr>
          </w:p>
          <w:p w14:paraId="27561198" w14:textId="50C1A2AF" w:rsidR="00A8727D" w:rsidRPr="0088114A" w:rsidRDefault="00F75516" w:rsidP="00495B84">
            <w:pPr>
              <w:jc w:val="left"/>
              <w:rPr>
                <w:sz w:val="18"/>
                <w:szCs w:val="18"/>
                <w:highlight w:val="yellow"/>
              </w:rPr>
            </w:pPr>
            <w:r>
              <w:rPr>
                <w:sz w:val="18"/>
                <w:szCs w:val="18"/>
              </w:rPr>
              <w:t>Apply</w:t>
            </w:r>
            <w:r w:rsidR="00CA2802">
              <w:rPr>
                <w:sz w:val="18"/>
                <w:szCs w:val="18"/>
              </w:rPr>
              <w:t xml:space="preserve"> to</w:t>
            </w:r>
            <w:r w:rsidR="00072109" w:rsidRPr="00F569DC">
              <w:rPr>
                <w:sz w:val="18"/>
                <w:szCs w:val="18"/>
              </w:rPr>
              <w:t xml:space="preserve"> the trustee </w:t>
            </w:r>
            <w:r w:rsidRPr="00F569DC">
              <w:rPr>
                <w:sz w:val="18"/>
                <w:szCs w:val="18"/>
              </w:rPr>
              <w:t>of &lt;</w:t>
            </w:r>
            <w:r w:rsidR="006727D2">
              <w:rPr>
                <w:color w:val="FF0000"/>
                <w:sz w:val="18"/>
                <w:szCs w:val="18"/>
              </w:rPr>
              <w:t xml:space="preserve">Client </w:t>
            </w:r>
            <w:r w:rsidR="00072109" w:rsidRPr="00F569DC">
              <w:rPr>
                <w:color w:val="FF0000"/>
                <w:sz w:val="18"/>
                <w:szCs w:val="18"/>
              </w:rPr>
              <w:t>Fund</w:t>
            </w:r>
            <w:r w:rsidR="00CA2802">
              <w:rPr>
                <w:color w:val="FF0000"/>
                <w:sz w:val="18"/>
                <w:szCs w:val="18"/>
              </w:rPr>
              <w:t>’s</w:t>
            </w:r>
            <w:r w:rsidR="00072109" w:rsidRPr="00F569DC">
              <w:rPr>
                <w:color w:val="FF0000"/>
                <w:sz w:val="18"/>
                <w:szCs w:val="18"/>
              </w:rPr>
              <w:t xml:space="preserve"> Name&gt;</w:t>
            </w:r>
            <w:r w:rsidR="00072109" w:rsidRPr="00F569DC">
              <w:rPr>
                <w:sz w:val="18"/>
                <w:szCs w:val="18"/>
              </w:rPr>
              <w:t xml:space="preserve"> to </w:t>
            </w:r>
            <w:r w:rsidR="00CA2802">
              <w:rPr>
                <w:sz w:val="18"/>
                <w:szCs w:val="18"/>
              </w:rPr>
              <w:t xml:space="preserve">split to </w:t>
            </w:r>
            <w:r w:rsidR="00CA2802" w:rsidRPr="00F569DC">
              <w:rPr>
                <w:color w:val="FF0000"/>
                <w:sz w:val="18"/>
                <w:szCs w:val="18"/>
              </w:rPr>
              <w:t>[Partner]</w:t>
            </w:r>
            <w:r w:rsidR="00CA2802">
              <w:rPr>
                <w:sz w:val="18"/>
                <w:szCs w:val="18"/>
              </w:rPr>
              <w:t>.</w:t>
            </w:r>
          </w:p>
        </w:tc>
      </w:tr>
      <w:tr w:rsidR="00A8727D" w:rsidRPr="00E87AAA" w14:paraId="14BE8C6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7D9C2BD" w14:textId="77777777" w:rsidR="00A8727D" w:rsidRPr="00E87AAA" w:rsidRDefault="00A8727D" w:rsidP="00E164DA">
            <w:pPr>
              <w:pStyle w:val="Instructions"/>
            </w:pPr>
            <w:r w:rsidRPr="00E87AAA">
              <w:t>In your Best Interest</w:t>
            </w:r>
          </w:p>
        </w:tc>
        <w:tc>
          <w:tcPr>
            <w:tcW w:w="6798" w:type="dxa"/>
            <w:shd w:val="clear" w:color="auto" w:fill="auto"/>
          </w:tcPr>
          <w:p w14:paraId="5810BA0E" w14:textId="77777777" w:rsidR="00A8727D" w:rsidRPr="00E87AAA" w:rsidRDefault="00A8727D" w:rsidP="00D2574D">
            <w:pPr>
              <w:spacing w:before="120"/>
              <w:jc w:val="left"/>
              <w:rPr>
                <w:sz w:val="18"/>
                <w:szCs w:val="18"/>
                <w:highlight w:val="yellow"/>
              </w:rPr>
            </w:pPr>
          </w:p>
        </w:tc>
      </w:tr>
      <w:tr w:rsidR="00A8727D" w:rsidRPr="00E87AAA" w14:paraId="0AE55096"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D1DBCD6" w14:textId="77777777" w:rsidR="00A8727D" w:rsidRPr="00E87AAA" w:rsidRDefault="00A8727D" w:rsidP="00E164DA">
            <w:pPr>
              <w:pStyle w:val="Instructions"/>
            </w:pPr>
            <w:r>
              <w:lastRenderedPageBreak/>
              <w:t>Further Detail</w:t>
            </w:r>
          </w:p>
        </w:tc>
        <w:tc>
          <w:tcPr>
            <w:tcW w:w="6798" w:type="dxa"/>
            <w:shd w:val="clear" w:color="auto" w:fill="auto"/>
          </w:tcPr>
          <w:p w14:paraId="1CB01271" w14:textId="02CA969C" w:rsidR="00DF11A7" w:rsidRDefault="00DF11A7" w:rsidP="00A741B5">
            <w:pPr>
              <w:jc w:val="left"/>
            </w:pPr>
            <w:r w:rsidRPr="005F763D">
              <w:t>The net amount contributed (and transferred) to your</w:t>
            </w:r>
            <w:r w:rsidR="00CA2802">
              <w:t xml:space="preserve"> partner’s superannuation account</w:t>
            </w:r>
            <w:r w:rsidRPr="005F763D">
              <w:t xml:space="preserve"> will be $</w:t>
            </w:r>
            <w:r w:rsidRPr="005F763D">
              <w:rPr>
                <w:color w:val="FF0000"/>
              </w:rPr>
              <w:t>[__</w:t>
            </w:r>
            <w:proofErr w:type="gramStart"/>
            <w:r w:rsidRPr="005F763D">
              <w:rPr>
                <w:color w:val="FF0000"/>
              </w:rPr>
              <w:t>_,_</w:t>
            </w:r>
            <w:proofErr w:type="gramEnd"/>
            <w:r w:rsidRPr="005F763D">
              <w:rPr>
                <w:color w:val="FF0000"/>
              </w:rPr>
              <w:t>__]</w:t>
            </w:r>
            <w:r w:rsidRPr="005F763D">
              <w:t xml:space="preserve"> after contributions tax of 15%.</w:t>
            </w:r>
          </w:p>
          <w:p w14:paraId="4E4AB3C3" w14:textId="77777777" w:rsidR="00DF11A7" w:rsidRDefault="00DF11A7" w:rsidP="00A741B5">
            <w:pPr>
              <w:jc w:val="left"/>
            </w:pPr>
          </w:p>
          <w:p w14:paraId="058DECD4" w14:textId="29C038AB" w:rsidR="00A741B5" w:rsidRPr="005F763D" w:rsidRDefault="00A741B5" w:rsidP="00A741B5">
            <w:pPr>
              <w:jc w:val="left"/>
            </w:pPr>
            <w:r w:rsidRPr="00925CBD">
              <w:t>Typically splitting your superannuation contributions meets your needs/objectives for the following reasons:</w:t>
            </w:r>
          </w:p>
          <w:p w14:paraId="30C324FC" w14:textId="77777777" w:rsidR="00A741B5" w:rsidRPr="005F763D" w:rsidRDefault="00A741B5" w:rsidP="003812CB">
            <w:pPr>
              <w:pStyle w:val="ListParagraph"/>
              <w:numPr>
                <w:ilvl w:val="0"/>
                <w:numId w:val="68"/>
              </w:numPr>
              <w:jc w:val="left"/>
            </w:pPr>
            <w:r w:rsidRPr="005F763D">
              <w:t>Increasing your superannuation savings helps you save for retirement.</w:t>
            </w:r>
          </w:p>
          <w:p w14:paraId="279A7046" w14:textId="15AC6E30" w:rsidR="00A54580" w:rsidRPr="005F763D" w:rsidRDefault="00A54580" w:rsidP="003812CB">
            <w:pPr>
              <w:pStyle w:val="ListParagraph"/>
              <w:numPr>
                <w:ilvl w:val="0"/>
                <w:numId w:val="68"/>
              </w:numPr>
              <w:jc w:val="left"/>
            </w:pPr>
            <w:r w:rsidRPr="005F763D">
              <w:t>By splitting your super contributions into [Spouse]'s super account, you may both be able to benefit from tax-free withdrawals of up to $</w:t>
            </w:r>
            <w:r w:rsidR="00F569DC">
              <w:t>205</w:t>
            </w:r>
            <w:r w:rsidRPr="005F763D">
              <w:t>,000 (where eligible) if you decide to withdraw a lump sum amount before age 60.</w:t>
            </w:r>
          </w:p>
          <w:p w14:paraId="6AD2053E" w14:textId="31587837" w:rsidR="00A54580" w:rsidRDefault="00A54580" w:rsidP="003812CB">
            <w:pPr>
              <w:pStyle w:val="ListParagraph"/>
              <w:numPr>
                <w:ilvl w:val="0"/>
                <w:numId w:val="68"/>
              </w:numPr>
              <w:jc w:val="left"/>
            </w:pPr>
            <w:r w:rsidRPr="005F763D">
              <w:t>Implementing a super splitting strategy can provide tax benefits when [Spouse] commences a retirement income stream.  Pension payments will be tax free from age 60.</w:t>
            </w:r>
          </w:p>
          <w:p w14:paraId="2A08B657" w14:textId="77777777" w:rsidR="00F13150" w:rsidRPr="005F763D" w:rsidRDefault="00F13150" w:rsidP="00F13150">
            <w:pPr>
              <w:pStyle w:val="ListParagraph"/>
              <w:ind w:left="360"/>
              <w:jc w:val="left"/>
            </w:pPr>
          </w:p>
          <w:p w14:paraId="5804ACD7" w14:textId="77777777" w:rsidR="00F13150" w:rsidRDefault="00F13150" w:rsidP="003812CB">
            <w:pPr>
              <w:pStyle w:val="ListParagraph"/>
              <w:numPr>
                <w:ilvl w:val="0"/>
                <w:numId w:val="68"/>
              </w:numPr>
              <w:jc w:val="left"/>
            </w:pPr>
            <w:r w:rsidRPr="005F763D">
              <w:t xml:space="preserve">Superannuation assets are only assessed for social security purposes once a person reaches Age Pension age.  By splitting your super benefits to your spouse, you will potentially reduce the amount of super benefits being assessed and thus increase Centrelink entitlements once you reach Age Pension age.  </w:t>
            </w:r>
          </w:p>
          <w:p w14:paraId="466795E3" w14:textId="77777777" w:rsidR="00F13150" w:rsidRPr="005F763D" w:rsidRDefault="00F13150" w:rsidP="003812CB">
            <w:pPr>
              <w:pStyle w:val="ListParagraph"/>
              <w:numPr>
                <w:ilvl w:val="0"/>
                <w:numId w:val="68"/>
              </w:numPr>
              <w:jc w:val="left"/>
            </w:pPr>
            <w:r w:rsidRPr="005F763D">
              <w:t>We estimate that your Centrelink entitlements would increase to $</w:t>
            </w:r>
            <w:r w:rsidRPr="000D0191">
              <w:rPr>
                <w:color w:val="FF0000"/>
              </w:rPr>
              <w:t>[__</w:t>
            </w:r>
            <w:proofErr w:type="gramStart"/>
            <w:r w:rsidRPr="000D0191">
              <w:rPr>
                <w:color w:val="FF0000"/>
              </w:rPr>
              <w:t>_,_</w:t>
            </w:r>
            <w:proofErr w:type="gramEnd"/>
            <w:r w:rsidRPr="000D0191">
              <w:rPr>
                <w:color w:val="FF0000"/>
              </w:rPr>
              <w:t>__]</w:t>
            </w:r>
            <w:r w:rsidRPr="005F763D">
              <w:t xml:space="preserve"> as a result of this recommendation.</w:t>
            </w:r>
          </w:p>
          <w:p w14:paraId="0EEE00E1" w14:textId="77777777" w:rsidR="00F13150" w:rsidRPr="005F763D" w:rsidRDefault="00F13150" w:rsidP="003812CB">
            <w:pPr>
              <w:pStyle w:val="ListParagraph"/>
              <w:numPr>
                <w:ilvl w:val="0"/>
                <w:numId w:val="68"/>
              </w:numPr>
              <w:jc w:val="left"/>
            </w:pPr>
            <w:r w:rsidRPr="000D0191">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In addition:</w:t>
            </w:r>
          </w:p>
          <w:p w14:paraId="5BA4824A" w14:textId="77777777" w:rsidR="00F13150" w:rsidRPr="005F763D" w:rsidRDefault="00F13150" w:rsidP="003812CB">
            <w:pPr>
              <w:pStyle w:val="ListParagraph"/>
              <w:numPr>
                <w:ilvl w:val="0"/>
                <w:numId w:val="68"/>
              </w:numPr>
              <w:jc w:val="left"/>
            </w:pPr>
            <w:r w:rsidRPr="000D0191">
              <w:t>The Fund will be entitled to a refund of excess franking credits (if any), which can also improve the tax effectiveness of the investments in your Fund.</w:t>
            </w:r>
          </w:p>
          <w:p w14:paraId="512746D2" w14:textId="77777777" w:rsidR="00F13150" w:rsidRPr="005F763D" w:rsidRDefault="00F13150" w:rsidP="003812CB">
            <w:pPr>
              <w:pStyle w:val="ListParagraph"/>
              <w:numPr>
                <w:ilvl w:val="0"/>
                <w:numId w:val="68"/>
              </w:numPr>
              <w:jc w:val="left"/>
            </w:pPr>
            <w:r w:rsidRPr="000D0191">
              <w:t xml:space="preserve">Any capital gains arising from the sale of an asset that has been held for at least 12 months will be concessionally taxed. In this case, only two thirds of the gain </w:t>
            </w:r>
            <w:proofErr w:type="gramStart"/>
            <w:r w:rsidRPr="000D0191">
              <w:t>is</w:t>
            </w:r>
            <w:proofErr w:type="gramEnd"/>
            <w:r w:rsidRPr="000D0191">
              <w:t xml:space="preserve"> taxable at 15%.  This effectively reduces the capital gains tax rate to 10%.</w:t>
            </w:r>
          </w:p>
          <w:p w14:paraId="6AD4BC61" w14:textId="77777777" w:rsidR="00F13150" w:rsidRPr="005F763D" w:rsidRDefault="00F13150" w:rsidP="003812CB">
            <w:pPr>
              <w:pStyle w:val="ListParagraph"/>
              <w:numPr>
                <w:ilvl w:val="0"/>
                <w:numId w:val="68"/>
              </w:numPr>
              <w:jc w:val="left"/>
            </w:pPr>
            <w:r w:rsidRPr="000D0191">
              <w:t>These concessional tax rates will help your overall superannuation savings grow faster.</w:t>
            </w:r>
          </w:p>
          <w:p w14:paraId="69EBAFCB" w14:textId="77777777" w:rsidR="00A8727D" w:rsidRDefault="00A8727D" w:rsidP="00D2574D">
            <w:pPr>
              <w:spacing w:before="120"/>
              <w:jc w:val="left"/>
              <w:rPr>
                <w:sz w:val="18"/>
                <w:szCs w:val="18"/>
                <w:highlight w:val="yellow"/>
              </w:rPr>
            </w:pPr>
          </w:p>
          <w:p w14:paraId="5B3ABABD" w14:textId="77777777" w:rsidR="00741B4D" w:rsidRPr="005F763D" w:rsidRDefault="00741B4D" w:rsidP="00741B4D">
            <w:pPr>
              <w:jc w:val="left"/>
            </w:pPr>
            <w:r w:rsidRPr="005F763D">
              <w:t>Before proceeding you should note the following:</w:t>
            </w:r>
          </w:p>
          <w:p w14:paraId="771AC77D" w14:textId="77777777" w:rsidR="00741B4D" w:rsidRPr="005F763D" w:rsidRDefault="00741B4D" w:rsidP="003812CB">
            <w:pPr>
              <w:pStyle w:val="ListParagraph"/>
              <w:numPr>
                <w:ilvl w:val="0"/>
                <w:numId w:val="68"/>
              </w:numPr>
              <w:jc w:val="left"/>
            </w:pPr>
            <w:r w:rsidRPr="000D0191">
              <w:t>Funds invested within the superannuation environment are subject to preservation rules are not generally accessible until you satisfy a condition of release such as retirement or reaching age 65.</w:t>
            </w:r>
          </w:p>
          <w:p w14:paraId="5963F6A7" w14:textId="77777777" w:rsidR="00741B4D" w:rsidRPr="005F763D" w:rsidRDefault="00741B4D" w:rsidP="003812CB">
            <w:pPr>
              <w:pStyle w:val="ListParagraph"/>
              <w:numPr>
                <w:ilvl w:val="0"/>
                <w:numId w:val="68"/>
              </w:numPr>
              <w:jc w:val="left"/>
            </w:pPr>
            <w:r w:rsidRPr="005F763D">
              <w:t>Superannuation contribution splitting can only be made to a spouse who is either under preservation age or between preservation age and 65 years of age and has not yet met a condition of release (for example, retirement).</w:t>
            </w:r>
          </w:p>
          <w:p w14:paraId="6AFA4267" w14:textId="77777777" w:rsidR="00741B4D" w:rsidRPr="005F763D" w:rsidRDefault="00741B4D" w:rsidP="003812CB">
            <w:pPr>
              <w:pStyle w:val="ListParagraph"/>
              <w:numPr>
                <w:ilvl w:val="0"/>
                <w:numId w:val="68"/>
              </w:numPr>
              <w:jc w:val="left"/>
            </w:pPr>
            <w:r w:rsidRPr="005F763D">
              <w:t xml:space="preserve">The maximum amount you can split with your spouse each financial year is the lesser of 85% of your taxed </w:t>
            </w:r>
            <w:proofErr w:type="spellStart"/>
            <w:r w:rsidRPr="005F763D">
              <w:t>splittable</w:t>
            </w:r>
            <w:proofErr w:type="spellEnd"/>
            <w:r w:rsidRPr="005F763D">
              <w:t xml:space="preserve"> contributions and your concessional contribution cap.</w:t>
            </w:r>
          </w:p>
          <w:p w14:paraId="1DD24C2D" w14:textId="17A66BA8" w:rsidR="00741B4D" w:rsidRPr="005F763D" w:rsidRDefault="00741B4D" w:rsidP="003812CB">
            <w:pPr>
              <w:pStyle w:val="ListParagraph"/>
              <w:numPr>
                <w:ilvl w:val="0"/>
                <w:numId w:val="68"/>
              </w:numPr>
              <w:jc w:val="left"/>
            </w:pPr>
            <w:r w:rsidRPr="005F763D">
              <w:t>An application to have your contributions split can be made either at the time that an account is being closed, or at the end of the relevant financial year.</w:t>
            </w:r>
            <w:r w:rsidR="0081436B">
              <w:t xml:space="preserve"> </w:t>
            </w:r>
            <w:r w:rsidR="0058598B">
              <w:t>Normally, the split of funds is implemented after the end of a financial year in which the contribution took place.</w:t>
            </w:r>
          </w:p>
          <w:p w14:paraId="28E24106" w14:textId="4E9CA17A" w:rsidR="00741B4D" w:rsidRPr="00E87AAA" w:rsidRDefault="00741B4D" w:rsidP="00D2574D">
            <w:pPr>
              <w:spacing w:before="120"/>
              <w:jc w:val="left"/>
              <w:rPr>
                <w:sz w:val="18"/>
                <w:szCs w:val="18"/>
                <w:highlight w:val="yellow"/>
              </w:rPr>
            </w:pPr>
          </w:p>
        </w:tc>
      </w:tr>
    </w:tbl>
    <w:p w14:paraId="4E2B7EB9" w14:textId="77777777" w:rsidR="00C2375F" w:rsidRPr="005F763D" w:rsidRDefault="00C2375F" w:rsidP="008C7CE9">
      <w:pPr>
        <w:jc w:val="left"/>
      </w:pPr>
    </w:p>
    <w:p w14:paraId="79AE18FE" w14:textId="77777777" w:rsidR="00C2375F" w:rsidRPr="005F763D" w:rsidRDefault="00C2375F" w:rsidP="008C7CE9">
      <w:pPr>
        <w:jc w:val="left"/>
      </w:pPr>
    </w:p>
    <w:bookmarkEnd w:id="64"/>
    <w:p w14:paraId="2701C1E2" w14:textId="33508FD9" w:rsidR="00C2375F" w:rsidRPr="005F763D" w:rsidRDefault="00C2375F" w:rsidP="008C7CE9">
      <w:pPr>
        <w:jc w:val="left"/>
        <w:rPr>
          <w:color w:val="002060"/>
          <w:sz w:val="24"/>
        </w:rPr>
      </w:pPr>
      <w:r w:rsidRPr="005F763D">
        <w:rPr>
          <w:color w:val="002060"/>
          <w:sz w:val="24"/>
        </w:rPr>
        <w:t>Spouse Contribution</w:t>
      </w:r>
      <w:r w:rsidR="00BF164A">
        <w:rPr>
          <w:color w:val="002060"/>
          <w:sz w:val="24"/>
        </w:rPr>
        <w:t xml:space="preserve"> _ SMSF</w:t>
      </w:r>
    </w:p>
    <w:p w14:paraId="0977CD74" w14:textId="4E8E9222"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44FB7DD0"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1BED503"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0FEAB3A" w14:textId="77777777" w:rsidR="00A8727D" w:rsidRPr="00E51BEA" w:rsidRDefault="00A8727D" w:rsidP="00D2574D">
            <w:pPr>
              <w:pStyle w:val="TableHeader2"/>
              <w:rPr>
                <w:rFonts w:ascii="Calibri Light" w:hAnsi="Calibri Light"/>
              </w:rPr>
            </w:pPr>
          </w:p>
        </w:tc>
      </w:tr>
      <w:tr w:rsidR="00A8727D" w:rsidRPr="0088114A" w14:paraId="6FAB721E"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F167D6C" w14:textId="77777777" w:rsidR="00A8727D" w:rsidRPr="00E87AAA" w:rsidRDefault="00A8727D" w:rsidP="00E164DA">
            <w:pPr>
              <w:pStyle w:val="Instructions"/>
            </w:pPr>
            <w:r w:rsidRPr="00E87AAA">
              <w:t>Title</w:t>
            </w:r>
          </w:p>
        </w:tc>
        <w:tc>
          <w:tcPr>
            <w:tcW w:w="6798" w:type="dxa"/>
            <w:shd w:val="clear" w:color="auto" w:fill="auto"/>
          </w:tcPr>
          <w:p w14:paraId="1CD698AA" w14:textId="16F809D5" w:rsidR="00A8727D" w:rsidRPr="0088114A" w:rsidRDefault="00C746B0" w:rsidP="00D2574D">
            <w:pPr>
              <w:spacing w:before="120"/>
            </w:pPr>
            <w:r>
              <w:t>Spouse Superannuation Contributions</w:t>
            </w:r>
            <w:r w:rsidR="00493621">
              <w:t xml:space="preserve"> _ SMSF</w:t>
            </w:r>
          </w:p>
        </w:tc>
      </w:tr>
      <w:tr w:rsidR="00A8727D" w:rsidRPr="0088114A" w14:paraId="635CB86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F45EA3A" w14:textId="77777777" w:rsidR="00A8727D" w:rsidRPr="00E87AAA" w:rsidRDefault="00A8727D" w:rsidP="00E164DA">
            <w:pPr>
              <w:pStyle w:val="Instructions"/>
            </w:pPr>
            <w:r w:rsidRPr="00E87AAA">
              <w:t>Explanation</w:t>
            </w:r>
          </w:p>
        </w:tc>
        <w:tc>
          <w:tcPr>
            <w:tcW w:w="6798" w:type="dxa"/>
            <w:shd w:val="clear" w:color="auto" w:fill="auto"/>
          </w:tcPr>
          <w:p w14:paraId="58377A53" w14:textId="34AB3F9D" w:rsidR="00A8727D" w:rsidRPr="0088114A" w:rsidRDefault="00C746B0" w:rsidP="00E602AB">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2A5787">
              <w:rPr>
                <w:color w:val="000000" w:themeColor="text1"/>
              </w:rPr>
              <w:t>,</w:t>
            </w:r>
            <w:r>
              <w:rPr>
                <w:color w:val="FF0000"/>
              </w:rPr>
              <w:t xml:space="preserve"> </w:t>
            </w:r>
            <w:r w:rsidRPr="005F763D">
              <w:t>make a Spouse Contribution of $</w:t>
            </w:r>
            <w:r w:rsidRPr="005F763D">
              <w:rPr>
                <w:color w:val="FF0000"/>
              </w:rPr>
              <w:t>[__</w:t>
            </w:r>
            <w:r w:rsidR="00151B25" w:rsidRPr="005F763D">
              <w:rPr>
                <w:color w:val="FF0000"/>
              </w:rPr>
              <w:t>_, _</w:t>
            </w:r>
            <w:r w:rsidRPr="005F763D">
              <w:rPr>
                <w:color w:val="FF0000"/>
              </w:rPr>
              <w:t>_</w:t>
            </w:r>
            <w:r w:rsidR="00F75516" w:rsidRPr="005F763D">
              <w:rPr>
                <w:color w:val="FF0000"/>
              </w:rPr>
              <w:t>_]</w:t>
            </w:r>
            <w:r w:rsidR="00F75516" w:rsidRPr="005F763D" w:rsidDel="00F75998">
              <w:rPr>
                <w:color w:val="FF0000"/>
              </w:rPr>
              <w:t xml:space="preserve"> </w:t>
            </w:r>
            <w:r w:rsidR="00F75516" w:rsidRPr="005F763D">
              <w:t>per</w:t>
            </w:r>
            <w:r w:rsidRPr="005F763D">
              <w:t xml:space="preserve"> annum into </w:t>
            </w:r>
            <w:r w:rsidR="00493621" w:rsidRPr="00493621">
              <w:rPr>
                <w:color w:val="7030A0"/>
                <w:highlight w:val="yellow"/>
              </w:rPr>
              <w:t>[</w:t>
            </w:r>
            <w:r w:rsidRPr="00493621">
              <w:rPr>
                <w:color w:val="7030A0"/>
                <w:highlight w:val="yellow"/>
              </w:rPr>
              <w:t>SMSF</w:t>
            </w:r>
            <w:r w:rsidR="00493621" w:rsidRPr="00493621">
              <w:rPr>
                <w:color w:val="7030A0"/>
                <w:highlight w:val="yellow"/>
              </w:rPr>
              <w:t xml:space="preserve"> Name]</w:t>
            </w:r>
            <w:r w:rsidRPr="005F763D">
              <w:t>.  The funds will be sourced from your surplus income.</w:t>
            </w:r>
          </w:p>
        </w:tc>
      </w:tr>
      <w:tr w:rsidR="00A8727D" w:rsidRPr="00E87AAA" w14:paraId="7D2F7468"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1A9FEE" w14:textId="77777777" w:rsidR="00A8727D" w:rsidRPr="00E87AAA" w:rsidRDefault="00A8727D" w:rsidP="00E164DA">
            <w:pPr>
              <w:pStyle w:val="Instructions"/>
            </w:pPr>
            <w:r w:rsidRPr="00E87AAA">
              <w:t>In your Best Interest</w:t>
            </w:r>
          </w:p>
        </w:tc>
        <w:tc>
          <w:tcPr>
            <w:tcW w:w="6798" w:type="dxa"/>
            <w:shd w:val="clear" w:color="auto" w:fill="auto"/>
          </w:tcPr>
          <w:p w14:paraId="537651DD" w14:textId="77777777" w:rsidR="00A8727D" w:rsidRPr="00E87AAA" w:rsidRDefault="00A8727D" w:rsidP="00D2574D">
            <w:pPr>
              <w:spacing w:before="120"/>
              <w:jc w:val="left"/>
              <w:rPr>
                <w:sz w:val="18"/>
                <w:szCs w:val="18"/>
                <w:highlight w:val="yellow"/>
              </w:rPr>
            </w:pPr>
          </w:p>
        </w:tc>
      </w:tr>
      <w:tr w:rsidR="00A8727D" w:rsidRPr="00E87AAA" w14:paraId="4950DE55"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91B3EB" w14:textId="77777777" w:rsidR="00A8727D" w:rsidRPr="00E87AAA" w:rsidRDefault="00A8727D" w:rsidP="00E164DA">
            <w:pPr>
              <w:pStyle w:val="Instructions"/>
            </w:pPr>
            <w:r>
              <w:lastRenderedPageBreak/>
              <w:t>Further Detail</w:t>
            </w:r>
          </w:p>
        </w:tc>
        <w:tc>
          <w:tcPr>
            <w:tcW w:w="6798" w:type="dxa"/>
            <w:shd w:val="clear" w:color="auto" w:fill="auto"/>
          </w:tcPr>
          <w:p w14:paraId="0233FB2A" w14:textId="11798434" w:rsidR="00E602AB" w:rsidRPr="00925CBD" w:rsidRDefault="00E602AB" w:rsidP="00E602AB">
            <w:pPr>
              <w:jc w:val="left"/>
            </w:pPr>
            <w:r w:rsidRPr="00925CBD">
              <w:t>Typically making a spouse contribution to superannuation meets your needs/objectives for the following reasons:</w:t>
            </w:r>
          </w:p>
          <w:p w14:paraId="1F371A41" w14:textId="77777777" w:rsidR="00E602AB" w:rsidRPr="00925CBD" w:rsidRDefault="00E602AB">
            <w:pPr>
              <w:pStyle w:val="InterPracBullet"/>
              <w:numPr>
                <w:ilvl w:val="0"/>
                <w:numId w:val="118"/>
              </w:numPr>
            </w:pPr>
            <w:r w:rsidRPr="00925CBD">
              <w:t xml:space="preserve">Based on </w:t>
            </w:r>
            <w:r w:rsidRPr="00925CBD">
              <w:rPr>
                <w:color w:val="FF0000"/>
              </w:rPr>
              <w:t>[Spouse</w:t>
            </w:r>
            <w:r w:rsidRPr="00925CBD">
              <w:rPr>
                <w:color w:val="FF0000"/>
                <w:lang w:val="en-AU"/>
              </w:rPr>
              <w:t xml:space="preserve"> name</w:t>
            </w:r>
            <w:r w:rsidRPr="00925CBD">
              <w:rPr>
                <w:color w:val="FF0000"/>
              </w:rPr>
              <w:t>]</w:t>
            </w:r>
            <w:r w:rsidRPr="00925CBD">
              <w:t>’s estimated assessable income this financial year, it is expected that you will receive a tax offset of approximately $</w:t>
            </w:r>
            <w:r w:rsidRPr="00925CBD">
              <w:rPr>
                <w:color w:val="FF0000"/>
              </w:rPr>
              <w:t>[___,___]</w:t>
            </w:r>
            <w:r w:rsidRPr="00925CBD">
              <w:t>.  Currently the maximum tax offset is $540.</w:t>
            </w:r>
          </w:p>
          <w:p w14:paraId="1FF6F899" w14:textId="77777777" w:rsidR="00E602AB" w:rsidRPr="00925CBD" w:rsidRDefault="00E602AB">
            <w:pPr>
              <w:pStyle w:val="InterPracBullet"/>
              <w:numPr>
                <w:ilvl w:val="0"/>
                <w:numId w:val="118"/>
              </w:numPr>
            </w:pPr>
            <w:r w:rsidRPr="00925CBD">
              <w:t>Increasing your superannuation savings helps you save for retirement.</w:t>
            </w:r>
          </w:p>
          <w:p w14:paraId="60ABCCE9" w14:textId="77777777" w:rsidR="00E602AB" w:rsidRPr="00925CBD" w:rsidRDefault="00E602AB">
            <w:pPr>
              <w:pStyle w:val="InterPracBullet"/>
              <w:numPr>
                <w:ilvl w:val="0"/>
                <w:numId w:val="118"/>
              </w:numPr>
            </w:pPr>
            <w:r w:rsidRPr="00925CB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39E103DA" w14:textId="77777777" w:rsidR="00E602AB" w:rsidRPr="00925CBD" w:rsidRDefault="00E602AB">
            <w:pPr>
              <w:pStyle w:val="InterPracBullet"/>
              <w:numPr>
                <w:ilvl w:val="0"/>
                <w:numId w:val="118"/>
              </w:numPr>
            </w:pPr>
            <w:r w:rsidRPr="00925CBD">
              <w:t>In addition:</w:t>
            </w:r>
          </w:p>
          <w:p w14:paraId="085D89AE" w14:textId="10E5800D" w:rsidR="00E602AB" w:rsidRPr="00925CBD" w:rsidRDefault="0005549C">
            <w:pPr>
              <w:pStyle w:val="InterPracBullet"/>
              <w:numPr>
                <w:ilvl w:val="0"/>
                <w:numId w:val="118"/>
              </w:numPr>
            </w:pPr>
            <w:r w:rsidRPr="00925CBD">
              <w:rPr>
                <w:lang w:val="en-AU"/>
              </w:rPr>
              <w:t>[</w:t>
            </w:r>
            <w:r w:rsidR="00E602AB" w:rsidRPr="00925CBD">
              <w:t>The Fund will be entitled to a refund of excess franking credits (if any), which can also improve the tax effectiveness of the investments in your Fund.</w:t>
            </w:r>
            <w:r w:rsidRPr="00925CBD">
              <w:rPr>
                <w:lang w:val="en-AU"/>
              </w:rPr>
              <w:t>]</w:t>
            </w:r>
          </w:p>
          <w:p w14:paraId="077796A1" w14:textId="366375FD" w:rsidR="00E602AB" w:rsidRPr="00925CBD" w:rsidRDefault="00E602AB">
            <w:pPr>
              <w:pStyle w:val="InterPracBullet"/>
              <w:numPr>
                <w:ilvl w:val="0"/>
                <w:numId w:val="118"/>
              </w:numPr>
            </w:pPr>
            <w:r w:rsidRPr="00925CBD">
              <w:t>Any capital gains arising from the sale of an asset that has been held for at least 12 months will be concessionally taxed. In this case, only two thirds of the gain is taxable at 15%.  This effectively reduces the capital gains tax rate to 10%.</w:t>
            </w:r>
          </w:p>
          <w:p w14:paraId="11DA5DBB" w14:textId="728C6849" w:rsidR="00E602AB" w:rsidRDefault="00E602AB">
            <w:pPr>
              <w:pStyle w:val="InterPracBullet"/>
              <w:numPr>
                <w:ilvl w:val="0"/>
                <w:numId w:val="118"/>
              </w:numPr>
            </w:pPr>
            <w:r w:rsidRPr="00925CBD">
              <w:t>These concessional tax rates will help your overall superannuation savings grow faster.</w:t>
            </w:r>
          </w:p>
          <w:p w14:paraId="53620FAB" w14:textId="77777777" w:rsidR="00BA74C8" w:rsidRDefault="00BA74C8" w:rsidP="00BA74C8">
            <w:pPr>
              <w:spacing w:after="120"/>
            </w:pPr>
            <w:r w:rsidRPr="00B13888">
              <w:t>Note that in order to implement the strategy</w:t>
            </w:r>
            <w:r>
              <w:t>,</w:t>
            </w:r>
            <w:r w:rsidRPr="00B13888">
              <w:t xml:space="preserve"> the receiving spouse must be under age 6</w:t>
            </w:r>
            <w:r>
              <w:t>7</w:t>
            </w:r>
            <w:r w:rsidRPr="00B13888">
              <w:t>, or aged 6</w:t>
            </w:r>
            <w:r>
              <w:t>7</w:t>
            </w:r>
            <w:r w:rsidRPr="00B13888">
              <w:t>-</w:t>
            </w:r>
            <w:r>
              <w:t>74</w:t>
            </w:r>
            <w:r w:rsidRPr="00B13888">
              <w:t xml:space="preserve"> and </w:t>
            </w:r>
            <w:r>
              <w:t xml:space="preserve">met the work test or work test </w:t>
            </w:r>
            <w:proofErr w:type="gramStart"/>
            <w:r>
              <w:t>exemption..</w:t>
            </w:r>
            <w:proofErr w:type="gramEnd"/>
          </w:p>
          <w:p w14:paraId="613320CD" w14:textId="77777777" w:rsidR="0005549C" w:rsidRPr="00925CBD" w:rsidRDefault="0005549C" w:rsidP="0005549C">
            <w:pPr>
              <w:jc w:val="left"/>
            </w:pPr>
            <w:r w:rsidRPr="00925CBD">
              <w:t>Before proceeding you should note the following:</w:t>
            </w:r>
          </w:p>
          <w:p w14:paraId="017E38FC" w14:textId="77777777" w:rsidR="0005549C" w:rsidRPr="00925CBD" w:rsidRDefault="0005549C">
            <w:pPr>
              <w:pStyle w:val="InterPracBullet"/>
              <w:numPr>
                <w:ilvl w:val="0"/>
                <w:numId w:val="23"/>
              </w:numPr>
            </w:pPr>
            <w:r w:rsidRPr="00925CBD">
              <w:t>Funds invested within the superannuation environment are subject to preservation rules are not generally accessible until you satisfy a condition of release such as retirement or reaching age 65.</w:t>
            </w:r>
          </w:p>
          <w:p w14:paraId="625CD8B0" w14:textId="22C29CA3" w:rsidR="0005549C" w:rsidRPr="00925CBD" w:rsidRDefault="0005549C">
            <w:pPr>
              <w:pStyle w:val="InterPracBullet"/>
              <w:numPr>
                <w:ilvl w:val="0"/>
                <w:numId w:val="23"/>
              </w:numPr>
            </w:pPr>
            <w:r w:rsidRPr="00925CBD">
              <w:t>Legislation limits non-concessional contributions to $1</w:t>
            </w:r>
            <w:r w:rsidR="000E7767" w:rsidRPr="00925CBD">
              <w:rPr>
                <w:lang w:val="en-AU"/>
              </w:rPr>
              <w:t>0</w:t>
            </w:r>
            <w:r w:rsidRPr="00925CBD">
              <w:t xml:space="preserve">0,000 </w:t>
            </w:r>
            <w:commentRangeStart w:id="65"/>
            <w:r w:rsidRPr="00925CBD">
              <w:t>per</w:t>
            </w:r>
            <w:commentRangeEnd w:id="65"/>
            <w:r w:rsidR="006537B1">
              <w:rPr>
                <w:rStyle w:val="CommentReference"/>
                <w:rFonts w:eastAsia="MS Mincho"/>
                <w:lang w:val="en-AU" w:eastAsia="ja-JP"/>
              </w:rPr>
              <w:commentReference w:id="65"/>
            </w:r>
            <w:r w:rsidRPr="00925CBD">
              <w:t xml:space="preserve"> financial year or, if eligible, at a maximum of $</w:t>
            </w:r>
            <w:r w:rsidR="000E7767" w:rsidRPr="00925CBD">
              <w:rPr>
                <w:lang w:val="en-AU"/>
              </w:rPr>
              <w:t>30</w:t>
            </w:r>
            <w:r w:rsidRPr="00925CBD">
              <w:t>0,000 over a period of three financial years.  Amounts contributed in excess of the limit will be subject to</w:t>
            </w:r>
            <w:r w:rsidR="000E7767" w:rsidRPr="00925CBD">
              <w:rPr>
                <w:lang w:val="en-AU"/>
              </w:rPr>
              <w:t xml:space="preserve"> </w:t>
            </w:r>
            <w:r w:rsidR="00995C8E">
              <w:rPr>
                <w:lang w:val="en-AU"/>
              </w:rPr>
              <w:t>penalties.</w:t>
            </w:r>
          </w:p>
          <w:p w14:paraId="1EF1BA2C" w14:textId="77777777" w:rsidR="0005549C" w:rsidRPr="005F763D" w:rsidRDefault="0005549C">
            <w:pPr>
              <w:pStyle w:val="InterPracBullet"/>
              <w:numPr>
                <w:ilvl w:val="0"/>
                <w:numId w:val="23"/>
              </w:numPr>
            </w:pPr>
            <w:r w:rsidRPr="005F763D">
              <w:t>Non-concessional contributions cannot be claimed as tax deductions.</w:t>
            </w:r>
          </w:p>
          <w:p w14:paraId="10AFF4D9" w14:textId="499520EB" w:rsidR="0005549C" w:rsidRPr="00E87AAA" w:rsidRDefault="0005549C" w:rsidP="00D2574D">
            <w:pPr>
              <w:spacing w:before="120"/>
              <w:jc w:val="left"/>
              <w:rPr>
                <w:sz w:val="18"/>
                <w:szCs w:val="18"/>
                <w:highlight w:val="yellow"/>
              </w:rPr>
            </w:pPr>
          </w:p>
        </w:tc>
      </w:tr>
    </w:tbl>
    <w:p w14:paraId="4E8910A5" w14:textId="69C7B02F" w:rsidR="00A8727D" w:rsidRDefault="00A8727D" w:rsidP="008C7CE9">
      <w:pPr>
        <w:jc w:val="left"/>
      </w:pPr>
    </w:p>
    <w:p w14:paraId="2CBEF163" w14:textId="77777777" w:rsidR="00A8727D" w:rsidRPr="005F763D" w:rsidRDefault="00A8727D" w:rsidP="008C7CE9">
      <w:pPr>
        <w:jc w:val="left"/>
      </w:pPr>
    </w:p>
    <w:p w14:paraId="6A774877" w14:textId="77777777" w:rsidR="00C2375F" w:rsidRPr="005F763D" w:rsidRDefault="00C2375F" w:rsidP="008C7CE9">
      <w:pPr>
        <w:jc w:val="left"/>
        <w:rPr>
          <w:color w:val="002060"/>
          <w:sz w:val="24"/>
        </w:rPr>
      </w:pPr>
      <w:bookmarkStart w:id="66" w:name="_Toc376868660"/>
      <w:r w:rsidRPr="005F763D">
        <w:rPr>
          <w:color w:val="002060"/>
          <w:sz w:val="24"/>
        </w:rPr>
        <w:t>Directing Your Superannuation Guarantee (SG) Contributions to Your SMSF</w:t>
      </w:r>
      <w:bookmarkEnd w:id="66"/>
    </w:p>
    <w:p w14:paraId="7D23E108" w14:textId="6FE8151F"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3C7E5D" w:rsidRPr="00E51BEA" w14:paraId="692B457E" w14:textId="77777777" w:rsidTr="00F2597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239BD93" w14:textId="77777777" w:rsidR="003C7E5D" w:rsidRPr="00AA2CC6" w:rsidRDefault="003C7E5D" w:rsidP="00F25974">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C2A988D" w14:textId="77777777" w:rsidR="003C7E5D" w:rsidRPr="00E51BEA" w:rsidRDefault="003C7E5D" w:rsidP="00F25974">
            <w:pPr>
              <w:pStyle w:val="TableHeader2"/>
              <w:rPr>
                <w:rFonts w:ascii="Calibri Light" w:hAnsi="Calibri Light"/>
              </w:rPr>
            </w:pPr>
          </w:p>
        </w:tc>
      </w:tr>
      <w:tr w:rsidR="003C7E5D" w:rsidRPr="0088114A" w14:paraId="256ECCCC"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C15DEAC" w14:textId="77777777" w:rsidR="003C7E5D" w:rsidRPr="00E87AAA" w:rsidRDefault="003C7E5D" w:rsidP="00E164DA">
            <w:pPr>
              <w:pStyle w:val="Instructions"/>
            </w:pPr>
            <w:r w:rsidRPr="00E87AAA">
              <w:t>Title</w:t>
            </w:r>
          </w:p>
        </w:tc>
        <w:tc>
          <w:tcPr>
            <w:tcW w:w="6798" w:type="dxa"/>
            <w:shd w:val="clear" w:color="auto" w:fill="auto"/>
          </w:tcPr>
          <w:p w14:paraId="2E0C358A" w14:textId="2A23613C" w:rsidR="003C7E5D" w:rsidRPr="0088114A" w:rsidRDefault="003C7E5D" w:rsidP="00F25974">
            <w:pPr>
              <w:spacing w:before="120"/>
            </w:pPr>
            <w:r>
              <w:t>Direct your Superannu</w:t>
            </w:r>
            <w:r w:rsidR="00851F6F">
              <w:t>a</w:t>
            </w:r>
            <w:r>
              <w:t xml:space="preserve">tion Guarantee (SG) </w:t>
            </w:r>
            <w:proofErr w:type="gramStart"/>
            <w:r>
              <w:t>Contributions  to</w:t>
            </w:r>
            <w:proofErr w:type="gramEnd"/>
            <w:r>
              <w:t xml:space="preserve"> your Fund</w:t>
            </w:r>
          </w:p>
        </w:tc>
      </w:tr>
      <w:tr w:rsidR="003C7E5D" w:rsidRPr="0088114A" w14:paraId="17C8AACF"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6B36389" w14:textId="77777777" w:rsidR="003C7E5D" w:rsidRPr="00E87AAA" w:rsidRDefault="003C7E5D" w:rsidP="00E164DA">
            <w:pPr>
              <w:pStyle w:val="Instructions"/>
            </w:pPr>
            <w:r w:rsidRPr="00E87AAA">
              <w:t>Explanation</w:t>
            </w:r>
          </w:p>
        </w:tc>
        <w:tc>
          <w:tcPr>
            <w:tcW w:w="6798" w:type="dxa"/>
            <w:shd w:val="clear" w:color="auto" w:fill="auto"/>
          </w:tcPr>
          <w:p w14:paraId="57D0C381" w14:textId="77777777" w:rsidR="006123A1" w:rsidRDefault="00ED42AB" w:rsidP="006123A1">
            <w:pPr>
              <w:jc w:val="left"/>
              <w:rPr>
                <w:color w:val="FF0000"/>
              </w:rPr>
            </w:pPr>
            <w:r w:rsidRPr="005F763D">
              <w:t xml:space="preserve">Your employer is currently making your SG contributions into your </w:t>
            </w:r>
            <w:r w:rsidRPr="005F763D">
              <w:rPr>
                <w:color w:val="FF0000"/>
              </w:rPr>
              <w:t>[</w:t>
            </w:r>
            <w:r>
              <w:rPr>
                <w:color w:val="FF0000"/>
              </w:rPr>
              <w:t xml:space="preserve">Retail </w:t>
            </w:r>
            <w:r w:rsidRPr="005F763D">
              <w:rPr>
                <w:color w:val="FF0000"/>
              </w:rPr>
              <w:t>Fund</w:t>
            </w:r>
            <w:r>
              <w:rPr>
                <w:color w:val="FF0000"/>
              </w:rPr>
              <w:t xml:space="preserve"> Name</w:t>
            </w:r>
            <w:r w:rsidRPr="005F763D">
              <w:rPr>
                <w:color w:val="FF0000"/>
              </w:rPr>
              <w:t>]</w:t>
            </w:r>
            <w:r w:rsidR="006123A1">
              <w:rPr>
                <w:color w:val="FF0000"/>
              </w:rPr>
              <w:t xml:space="preserve">. </w:t>
            </w:r>
          </w:p>
          <w:p w14:paraId="4AFE45CD" w14:textId="5130CA61" w:rsidR="003C7E5D" w:rsidRPr="0088114A" w:rsidRDefault="006123A1" w:rsidP="006123A1">
            <w:pPr>
              <w:jc w:val="left"/>
              <w:rPr>
                <w:sz w:val="18"/>
                <w:szCs w:val="18"/>
                <w:highlight w:val="yellow"/>
              </w:rPr>
            </w:pPr>
            <w:r>
              <w:t>W</w:t>
            </w:r>
            <w:r w:rsidR="00ED42AB" w:rsidRPr="005F763D">
              <w:t>e recommend implementing your Superannuation Choice and request that your employer direct all future SG contributions to your SMSF.</w:t>
            </w:r>
          </w:p>
        </w:tc>
      </w:tr>
      <w:tr w:rsidR="003C7E5D" w:rsidRPr="00E87AAA" w14:paraId="316E4071"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84D78CE" w14:textId="77777777" w:rsidR="003C7E5D" w:rsidRPr="00E87AAA" w:rsidRDefault="003C7E5D" w:rsidP="00E164DA">
            <w:pPr>
              <w:pStyle w:val="Instructions"/>
            </w:pPr>
            <w:r w:rsidRPr="00E87AAA">
              <w:t>In your Best Interest</w:t>
            </w:r>
          </w:p>
        </w:tc>
        <w:tc>
          <w:tcPr>
            <w:tcW w:w="6798" w:type="dxa"/>
            <w:shd w:val="clear" w:color="auto" w:fill="auto"/>
          </w:tcPr>
          <w:p w14:paraId="1F2033C1" w14:textId="77777777" w:rsidR="003C7E5D" w:rsidRPr="00E87AAA" w:rsidRDefault="003C7E5D" w:rsidP="00F25974">
            <w:pPr>
              <w:spacing w:before="120"/>
              <w:jc w:val="left"/>
              <w:rPr>
                <w:sz w:val="18"/>
                <w:szCs w:val="18"/>
                <w:highlight w:val="yellow"/>
              </w:rPr>
            </w:pPr>
          </w:p>
        </w:tc>
      </w:tr>
      <w:tr w:rsidR="003C7E5D" w:rsidRPr="00E87AAA" w14:paraId="2FC70AA8"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DAAF3E8" w14:textId="77777777" w:rsidR="003C7E5D" w:rsidRPr="00E87AAA" w:rsidRDefault="003C7E5D" w:rsidP="00E164DA">
            <w:pPr>
              <w:pStyle w:val="Instructions"/>
            </w:pPr>
            <w:r>
              <w:t>Further Detail</w:t>
            </w:r>
          </w:p>
        </w:tc>
        <w:tc>
          <w:tcPr>
            <w:tcW w:w="6798" w:type="dxa"/>
            <w:shd w:val="clear" w:color="auto" w:fill="auto"/>
          </w:tcPr>
          <w:p w14:paraId="525C08B6" w14:textId="77777777" w:rsidR="003C7E5D" w:rsidRPr="00E87AAA" w:rsidRDefault="003C7E5D" w:rsidP="00F25974">
            <w:pPr>
              <w:spacing w:before="120"/>
              <w:jc w:val="left"/>
              <w:rPr>
                <w:sz w:val="18"/>
                <w:szCs w:val="18"/>
                <w:highlight w:val="yellow"/>
              </w:rPr>
            </w:pPr>
          </w:p>
        </w:tc>
      </w:tr>
    </w:tbl>
    <w:p w14:paraId="357F2B31" w14:textId="77777777" w:rsidR="003C7E5D" w:rsidRPr="005F763D" w:rsidRDefault="003C7E5D" w:rsidP="008C7CE9">
      <w:pPr>
        <w:jc w:val="left"/>
      </w:pPr>
    </w:p>
    <w:p w14:paraId="5CC7ECF2" w14:textId="77777777" w:rsidR="008B4569" w:rsidRPr="005F763D" w:rsidRDefault="008B4569" w:rsidP="008C7CE9">
      <w:pPr>
        <w:jc w:val="left"/>
      </w:pPr>
    </w:p>
    <w:p w14:paraId="27C3B78B" w14:textId="77777777" w:rsidR="00C2375F" w:rsidRPr="005F763D" w:rsidRDefault="00C2375F" w:rsidP="008C7CE9">
      <w:pPr>
        <w:jc w:val="left"/>
      </w:pPr>
    </w:p>
    <w:p w14:paraId="07C67877" w14:textId="77777777" w:rsidR="00B83E6D" w:rsidRPr="000D0191" w:rsidRDefault="00B83E6D" w:rsidP="0008751D">
      <w:pPr>
        <w:pStyle w:val="Heading2"/>
      </w:pPr>
      <w:bookmarkStart w:id="67" w:name="_Toc46236025"/>
      <w:r w:rsidRPr="000D0191">
        <w:t>SMSF Property - Limited Recourse Borrowing Arrangement (</w:t>
      </w:r>
      <w:commentRangeStart w:id="68"/>
      <w:r w:rsidRPr="000D0191">
        <w:t>LRBA</w:t>
      </w:r>
      <w:commentRangeEnd w:id="68"/>
      <w:r w:rsidR="005C42A6">
        <w:rPr>
          <w:rStyle w:val="CommentReference"/>
          <w:rFonts w:cs="Times New Roman"/>
          <w:bCs w:val="0"/>
          <w:iCs w:val="0"/>
          <w:color w:val="auto"/>
          <w:lang w:eastAsia="ja-JP"/>
        </w:rPr>
        <w:commentReference w:id="68"/>
      </w:r>
      <w:r w:rsidRPr="000D0191">
        <w:t>)</w:t>
      </w:r>
      <w:bookmarkEnd w:id="67"/>
    </w:p>
    <w:p w14:paraId="3135705D" w14:textId="46840D2C" w:rsidR="003B0B14" w:rsidRDefault="003B0B14" w:rsidP="00322DAA"/>
    <w:tbl>
      <w:tblPr>
        <w:tblW w:w="0" w:type="auto"/>
        <w:tblInd w:w="76" w:type="dxa"/>
        <w:tblLook w:val="04A0" w:firstRow="1" w:lastRow="0" w:firstColumn="1" w:lastColumn="0" w:noHBand="0" w:noVBand="1"/>
      </w:tblPr>
      <w:tblGrid>
        <w:gridCol w:w="2754"/>
        <w:gridCol w:w="7224"/>
      </w:tblGrid>
      <w:tr w:rsidR="00A8727D" w:rsidRPr="00E51BEA" w14:paraId="05F6D44E"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1ADC7E5"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2DA90EE" w14:textId="77777777" w:rsidR="00A8727D" w:rsidRPr="00E51BEA" w:rsidRDefault="00A8727D" w:rsidP="00D2574D">
            <w:pPr>
              <w:pStyle w:val="TableHeader2"/>
              <w:rPr>
                <w:rFonts w:ascii="Calibri Light" w:hAnsi="Calibri Light"/>
              </w:rPr>
            </w:pPr>
          </w:p>
        </w:tc>
      </w:tr>
      <w:tr w:rsidR="00A8727D" w:rsidRPr="0088114A" w14:paraId="6152891A"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93B5FA4" w14:textId="77777777" w:rsidR="00A8727D" w:rsidRPr="00E87AAA" w:rsidRDefault="00A8727D" w:rsidP="00E164DA">
            <w:pPr>
              <w:pStyle w:val="Instructions"/>
            </w:pPr>
            <w:commentRangeStart w:id="69"/>
            <w:r w:rsidRPr="00E87AAA">
              <w:t>Title</w:t>
            </w:r>
            <w:commentRangeEnd w:id="69"/>
            <w:r w:rsidR="00410450">
              <w:rPr>
                <w:rStyle w:val="CommentReference"/>
                <w:b w:val="0"/>
                <w:w w:val="100"/>
                <w:lang w:eastAsia="ja-JP"/>
              </w:rPr>
              <w:commentReference w:id="69"/>
            </w:r>
          </w:p>
        </w:tc>
        <w:tc>
          <w:tcPr>
            <w:tcW w:w="6798" w:type="dxa"/>
            <w:shd w:val="clear" w:color="auto" w:fill="auto"/>
          </w:tcPr>
          <w:p w14:paraId="25D11655" w14:textId="199B1F3E" w:rsidR="00A8727D" w:rsidRPr="0088114A" w:rsidRDefault="00EE42E0" w:rsidP="00D2574D">
            <w:pPr>
              <w:spacing w:before="120"/>
            </w:pPr>
            <w:r>
              <w:t>Limited Recourse Borrowing</w:t>
            </w:r>
          </w:p>
        </w:tc>
      </w:tr>
      <w:tr w:rsidR="00A8727D" w:rsidRPr="0088114A" w14:paraId="756D53C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6629C90" w14:textId="77777777" w:rsidR="00A8727D" w:rsidRPr="00E87AAA" w:rsidRDefault="00A8727D" w:rsidP="00E164DA">
            <w:pPr>
              <w:pStyle w:val="Instructions"/>
            </w:pPr>
            <w:r w:rsidRPr="00E87AAA">
              <w:t>Explanation</w:t>
            </w:r>
          </w:p>
        </w:tc>
        <w:tc>
          <w:tcPr>
            <w:tcW w:w="6798" w:type="dxa"/>
            <w:shd w:val="clear" w:color="auto" w:fill="auto"/>
          </w:tcPr>
          <w:p w14:paraId="759900F0" w14:textId="1928A1AD" w:rsidR="00157865" w:rsidRDefault="008370F0" w:rsidP="00157865">
            <w:r w:rsidRPr="003552C8">
              <w:t xml:space="preserve">It is recommended that you use the funds available in your self-managed superannuation fund to purchase </w:t>
            </w:r>
            <w:r w:rsidRPr="0089399D">
              <w:rPr>
                <w:color w:val="7030A0"/>
                <w:highlight w:val="yellow"/>
              </w:rPr>
              <w:t>[asset]</w:t>
            </w:r>
            <w:r w:rsidRPr="003552C8">
              <w:rPr>
                <w:color w:val="7030A0"/>
              </w:rPr>
              <w:t xml:space="preserve"> </w:t>
            </w:r>
            <w:r w:rsidRPr="003552C8">
              <w:t>with the use of the Limited Recourse Borrowing Arrangements.</w:t>
            </w:r>
            <w:r w:rsidR="00157865" w:rsidRPr="005F763D">
              <w:t xml:space="preserve"> </w:t>
            </w:r>
          </w:p>
          <w:p w14:paraId="21505DC5" w14:textId="77777777" w:rsidR="00557F9A" w:rsidRDefault="00557F9A" w:rsidP="00157865"/>
          <w:p w14:paraId="3A24E347" w14:textId="77777777" w:rsidR="00A8727D" w:rsidRDefault="00157865" w:rsidP="00D2574D">
            <w:pPr>
              <w:spacing w:before="120"/>
            </w:pPr>
            <w:r w:rsidRPr="005F763D">
              <w:t xml:space="preserve">Based on the recommended amounts to be rolled over it has been estimated that you purchase </w:t>
            </w:r>
            <w:r w:rsidRPr="000D0191">
              <w:rPr>
                <w:color w:val="7030A0"/>
                <w:highlight w:val="yellow"/>
              </w:rPr>
              <w:t>[asset</w:t>
            </w:r>
            <w:r w:rsidR="007C6A48">
              <w:rPr>
                <w:color w:val="7030A0"/>
                <w:highlight w:val="yellow"/>
              </w:rPr>
              <w:t xml:space="preserve"> </w:t>
            </w:r>
            <w:proofErr w:type="gramStart"/>
            <w:r w:rsidR="007C6A48">
              <w:rPr>
                <w:color w:val="7030A0"/>
                <w:highlight w:val="yellow"/>
              </w:rPr>
              <w:t>type</w:t>
            </w:r>
            <w:r w:rsidRPr="000D0191">
              <w:rPr>
                <w:color w:val="7030A0"/>
                <w:highlight w:val="yellow"/>
              </w:rPr>
              <w:t>]</w:t>
            </w:r>
            <w:r w:rsidR="007C6A48" w:rsidRPr="007C6A48">
              <w:rPr>
                <w:color w:val="7030A0"/>
                <w:highlight w:val="yellow"/>
              </w:rPr>
              <w:t>[</w:t>
            </w:r>
            <w:proofErr w:type="gramEnd"/>
            <w:r w:rsidR="007C6A48" w:rsidRPr="007C6A48">
              <w:rPr>
                <w:color w:val="7030A0"/>
                <w:highlight w:val="yellow"/>
              </w:rPr>
              <w:t>asset class]</w:t>
            </w:r>
            <w:r w:rsidRPr="000D0191">
              <w:rPr>
                <w:color w:val="7030A0"/>
              </w:rPr>
              <w:t xml:space="preserve"> </w:t>
            </w:r>
            <w:r w:rsidRPr="005F763D">
              <w:t>up to $</w:t>
            </w:r>
            <w:r w:rsidRPr="005F763D">
              <w:rPr>
                <w:color w:val="FF0000"/>
              </w:rPr>
              <w:t>[___,___]</w:t>
            </w:r>
            <w:r w:rsidRPr="005F763D">
              <w:t>.</w:t>
            </w:r>
          </w:p>
          <w:p w14:paraId="02788CA8" w14:textId="0C1C6D8F" w:rsidR="00D21E91" w:rsidRDefault="00D21E91" w:rsidP="00D21E91">
            <w:pPr>
              <w:rPr>
                <w:szCs w:val="20"/>
              </w:rPr>
            </w:pPr>
          </w:p>
          <w:p w14:paraId="33719C14" w14:textId="77777777" w:rsidR="00D21E91" w:rsidRDefault="00D21E91" w:rsidP="00D21E91">
            <w:pPr>
              <w:rPr>
                <w:szCs w:val="20"/>
              </w:rPr>
            </w:pPr>
          </w:p>
          <w:p w14:paraId="4BAC0EB2" w14:textId="5F44E959" w:rsidR="00D21E91" w:rsidRPr="00D21E91" w:rsidRDefault="00D21E91" w:rsidP="00D21E91">
            <w:pPr>
              <w:rPr>
                <w:highlight w:val="green"/>
              </w:rPr>
            </w:pPr>
            <w:r w:rsidRPr="003552C8">
              <w:t xml:space="preserve">Prior to settlement of any property, it is recommended that you speak with </w:t>
            </w:r>
            <w:r w:rsidRPr="00536808">
              <w:rPr>
                <w:color w:val="7030A0"/>
                <w:highlight w:val="yellow"/>
              </w:rPr>
              <w:t xml:space="preserve">[our </w:t>
            </w:r>
            <w:proofErr w:type="gramStart"/>
            <w:r w:rsidRPr="00536808">
              <w:rPr>
                <w:color w:val="7030A0"/>
                <w:highlight w:val="yellow"/>
              </w:rPr>
              <w:t>office]  [</w:t>
            </w:r>
            <w:proofErr w:type="gramEnd"/>
            <w:r w:rsidRPr="00536808">
              <w:rPr>
                <w:color w:val="7030A0"/>
                <w:highlight w:val="yellow"/>
              </w:rPr>
              <w:t xml:space="preserve">your bank]  [mortgage broker] </w:t>
            </w:r>
            <w:r w:rsidRPr="003552C8">
              <w:t>with regards to sourcing a suitable loan from the banks to fund the balance of the property purchased via a SMSF Limited Recourse Loan.</w:t>
            </w:r>
          </w:p>
          <w:p w14:paraId="001D0C4B" w14:textId="6AE04E33" w:rsidR="00D21E91" w:rsidRPr="0088114A" w:rsidRDefault="00D21E91" w:rsidP="00D2574D">
            <w:pPr>
              <w:spacing w:before="120"/>
              <w:rPr>
                <w:sz w:val="18"/>
                <w:szCs w:val="18"/>
                <w:highlight w:val="yellow"/>
              </w:rPr>
            </w:pPr>
          </w:p>
        </w:tc>
      </w:tr>
      <w:tr w:rsidR="00A8727D" w:rsidRPr="00E87AAA" w14:paraId="25E89D85"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E335AB8" w14:textId="77777777" w:rsidR="00A8727D" w:rsidRPr="00E87AAA" w:rsidRDefault="00A8727D" w:rsidP="00E164DA">
            <w:pPr>
              <w:pStyle w:val="Instructions"/>
            </w:pPr>
            <w:r w:rsidRPr="00E87AAA">
              <w:lastRenderedPageBreak/>
              <w:t>In your Best Interest</w:t>
            </w:r>
          </w:p>
        </w:tc>
        <w:tc>
          <w:tcPr>
            <w:tcW w:w="6798" w:type="dxa"/>
            <w:shd w:val="clear" w:color="auto" w:fill="auto"/>
          </w:tcPr>
          <w:p w14:paraId="132C4F3D" w14:textId="77777777" w:rsidR="00A8727D" w:rsidRPr="00E87AAA" w:rsidRDefault="00A8727D" w:rsidP="00D2574D">
            <w:pPr>
              <w:spacing w:before="120"/>
              <w:jc w:val="left"/>
              <w:rPr>
                <w:sz w:val="18"/>
                <w:szCs w:val="18"/>
                <w:highlight w:val="yellow"/>
              </w:rPr>
            </w:pPr>
          </w:p>
        </w:tc>
      </w:tr>
      <w:tr w:rsidR="00A8727D" w:rsidRPr="00E87AAA" w14:paraId="677F3BE1"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7EFC04B" w14:textId="77777777" w:rsidR="00A8727D" w:rsidRPr="00E87AAA" w:rsidRDefault="00A8727D" w:rsidP="00E164DA">
            <w:pPr>
              <w:pStyle w:val="Instructions"/>
            </w:pPr>
            <w:r>
              <w:t>Further Detail</w:t>
            </w:r>
          </w:p>
        </w:tc>
        <w:tc>
          <w:tcPr>
            <w:tcW w:w="6798" w:type="dxa"/>
            <w:shd w:val="clear" w:color="auto" w:fill="auto"/>
          </w:tcPr>
          <w:p w14:paraId="48758D42" w14:textId="77777777" w:rsidR="00145C92" w:rsidRPr="005F763D" w:rsidRDefault="00145C92" w:rsidP="00145C92">
            <w:pPr>
              <w:rPr>
                <w:szCs w:val="20"/>
              </w:rPr>
            </w:pPr>
            <w:r w:rsidRPr="005F763D">
              <w:rPr>
                <w:szCs w:val="20"/>
              </w:rPr>
              <w:t xml:space="preserve">Please refer to estimated cash flow for the purchase of a </w:t>
            </w:r>
            <w:r w:rsidRPr="000D0191">
              <w:rPr>
                <w:color w:val="7030A0"/>
                <w:highlight w:val="yellow"/>
              </w:rPr>
              <w:t>[asset]</w:t>
            </w:r>
            <w:r w:rsidRPr="000D0191">
              <w:rPr>
                <w:color w:val="7030A0"/>
              </w:rPr>
              <w:t xml:space="preserve"> </w:t>
            </w:r>
            <w:r w:rsidRPr="005F763D">
              <w:rPr>
                <w:szCs w:val="20"/>
              </w:rPr>
              <w:t>and information on Limited Recourse Borrowing Arrangements.</w:t>
            </w:r>
          </w:p>
          <w:p w14:paraId="038DDBDD" w14:textId="77777777" w:rsidR="00145C92" w:rsidRDefault="00145C92" w:rsidP="00145C92">
            <w:pPr>
              <w:rPr>
                <w:color w:val="002060"/>
                <w:szCs w:val="20"/>
              </w:rPr>
            </w:pPr>
          </w:p>
          <w:p w14:paraId="5A2AEE86" w14:textId="77777777" w:rsidR="00145C92" w:rsidRPr="005F763D" w:rsidRDefault="00145C92" w:rsidP="00145C92">
            <w:pPr>
              <w:rPr>
                <w:rFonts w:cs="Arial"/>
              </w:rPr>
            </w:pPr>
            <w:r w:rsidRPr="005F763D">
              <w:rPr>
                <w:rFonts w:cs="Arial"/>
              </w:rPr>
              <w:t>As a general rule superannuation funds have previously been restricted from borrowing to acquire direct property assets. Amendments made to The Superannuation Industry (Supervision) Act now provide those that have a SMSF with an exception to this general rule.</w:t>
            </w:r>
          </w:p>
          <w:p w14:paraId="3C0D6545" w14:textId="77777777" w:rsidR="00145C92" w:rsidRPr="005F763D" w:rsidRDefault="00145C92" w:rsidP="00145C92">
            <w:pPr>
              <w:rPr>
                <w:rFonts w:cs="Arial"/>
              </w:rPr>
            </w:pPr>
          </w:p>
          <w:p w14:paraId="68F2D2B1" w14:textId="77777777" w:rsidR="00145C92" w:rsidRPr="005F763D" w:rsidRDefault="00145C92" w:rsidP="00145C92">
            <w:pPr>
              <w:rPr>
                <w:rFonts w:cs="Arial"/>
              </w:rPr>
            </w:pPr>
            <w:r w:rsidRPr="005F763D">
              <w:rPr>
                <w:rFonts w:cs="Arial"/>
              </w:rPr>
              <w:t>Limited recourse borrowing arrangements generally provide funding of a certain percentage of the value of the underlying investment and even though the investor does not fully own the investment they are entitled to the full level of income that flows through.</w:t>
            </w:r>
          </w:p>
          <w:p w14:paraId="4689CD35" w14:textId="77777777" w:rsidR="00145C92" w:rsidRPr="005F763D" w:rsidRDefault="00145C92" w:rsidP="00145C92">
            <w:pPr>
              <w:rPr>
                <w:rFonts w:cs="Arial"/>
              </w:rPr>
            </w:pPr>
          </w:p>
          <w:p w14:paraId="2F923C3A" w14:textId="77777777" w:rsidR="00145C92" w:rsidRPr="005F763D" w:rsidRDefault="00145C92" w:rsidP="00145C92">
            <w:pPr>
              <w:rPr>
                <w:rFonts w:cs="Arial"/>
              </w:rPr>
            </w:pPr>
            <w:r w:rsidRPr="005F763D">
              <w:rPr>
                <w:rFonts w:cs="Arial"/>
              </w:rPr>
              <w:t>Effectively the issuer makes a loan to the purchaser for the amount of the remaining value with the interest in the asset being held as security. Ownership is able to fully transfer to the holder upon payment of the final loan instalment.</w:t>
            </w:r>
          </w:p>
          <w:p w14:paraId="526ECF16" w14:textId="092F2FB5" w:rsidR="00A8727D" w:rsidRDefault="00A8727D" w:rsidP="00D2574D">
            <w:pPr>
              <w:spacing w:before="120"/>
              <w:jc w:val="left"/>
              <w:rPr>
                <w:sz w:val="18"/>
                <w:szCs w:val="18"/>
                <w:highlight w:val="yellow"/>
              </w:rPr>
            </w:pPr>
          </w:p>
          <w:p w14:paraId="7245DBBD" w14:textId="3D01D18B" w:rsidR="00145C92" w:rsidRDefault="00145C92" w:rsidP="00D2574D">
            <w:pPr>
              <w:spacing w:before="120"/>
              <w:jc w:val="left"/>
              <w:rPr>
                <w:sz w:val="18"/>
                <w:szCs w:val="18"/>
                <w:highlight w:val="yellow"/>
              </w:rPr>
            </w:pPr>
            <w:r w:rsidRPr="005F763D">
              <w:rPr>
                <w:rFonts w:ascii="Times New Roman" w:hAnsi="Times New Roman"/>
                <w:noProof/>
                <w:sz w:val="24"/>
                <w:lang w:eastAsia="en-AU"/>
              </w:rPr>
              <w:drawing>
                <wp:inline distT="0" distB="0" distL="0" distR="0" wp14:anchorId="09D0938C" wp14:editId="21B9115E">
                  <wp:extent cx="4450080" cy="3070860"/>
                  <wp:effectExtent l="0" t="0" r="0" b="0"/>
                  <wp:docPr id="3"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0080" cy="3070860"/>
                          </a:xfrm>
                          <a:prstGeom prst="rect">
                            <a:avLst/>
                          </a:prstGeom>
                          <a:noFill/>
                          <a:ln>
                            <a:noFill/>
                          </a:ln>
                        </pic:spPr>
                      </pic:pic>
                    </a:graphicData>
                  </a:graphic>
                </wp:inline>
              </w:drawing>
            </w:r>
          </w:p>
          <w:p w14:paraId="592B5FD2" w14:textId="77777777" w:rsidR="00145C92" w:rsidRDefault="00145C92" w:rsidP="00D2574D">
            <w:pPr>
              <w:spacing w:before="120"/>
              <w:jc w:val="left"/>
              <w:rPr>
                <w:sz w:val="18"/>
                <w:szCs w:val="18"/>
                <w:highlight w:val="yellow"/>
              </w:rPr>
            </w:pPr>
          </w:p>
          <w:p w14:paraId="2C094879" w14:textId="0BCBD277" w:rsidR="004E035D" w:rsidRPr="00797FFB" w:rsidRDefault="00FF15D7" w:rsidP="004E035D">
            <w:pPr>
              <w:rPr>
                <w:rFonts w:cs="Arial"/>
              </w:rPr>
            </w:pPr>
            <w:r w:rsidRPr="00F51168">
              <w:rPr>
                <w:rFonts w:cs="Arial"/>
              </w:rPr>
              <w:t>Typically,</w:t>
            </w:r>
            <w:r w:rsidR="004E035D" w:rsidRPr="00F51168">
              <w:rPr>
                <w:rFonts w:cs="Arial"/>
              </w:rPr>
              <w:t xml:space="preserve"> this arrangement may meet your needs as:</w:t>
            </w:r>
          </w:p>
          <w:p w14:paraId="7B2E2331" w14:textId="77777777" w:rsidR="004E035D" w:rsidRPr="005F763D" w:rsidRDefault="004E035D" w:rsidP="003812CB">
            <w:pPr>
              <w:pStyle w:val="ListParagraph"/>
              <w:numPr>
                <w:ilvl w:val="0"/>
                <w:numId w:val="31"/>
              </w:numPr>
              <w:suppressAutoHyphens w:val="0"/>
              <w:autoSpaceDE w:val="0"/>
              <w:spacing w:before="120" w:after="120"/>
              <w:ind w:left="714" w:hanging="357"/>
              <w:jc w:val="left"/>
              <w:rPr>
                <w:szCs w:val="20"/>
              </w:rPr>
            </w:pPr>
            <w:r w:rsidRPr="005F763D">
              <w:rPr>
                <w:szCs w:val="20"/>
              </w:rPr>
              <w:t xml:space="preserve">It is estimated that the proposed property to be purchased will be cash flow positive after </w:t>
            </w:r>
            <w:r w:rsidRPr="0030411A">
              <w:rPr>
                <w:color w:val="7030A0"/>
                <w:szCs w:val="20"/>
                <w:highlight w:val="yellow"/>
              </w:rPr>
              <w:t>[D</w:t>
            </w:r>
            <w:r w:rsidRPr="000D0191">
              <w:rPr>
                <w:color w:val="7030A0"/>
                <w:szCs w:val="20"/>
                <w:highlight w:val="yellow"/>
              </w:rPr>
              <w:t>ate]</w:t>
            </w:r>
          </w:p>
          <w:p w14:paraId="34091BD1" w14:textId="55BBD79F" w:rsidR="004E035D" w:rsidRPr="005F763D" w:rsidRDefault="004E035D" w:rsidP="003812CB">
            <w:pPr>
              <w:pStyle w:val="ListParagraph"/>
              <w:numPr>
                <w:ilvl w:val="0"/>
                <w:numId w:val="31"/>
              </w:numPr>
              <w:suppressAutoHyphens w:val="0"/>
              <w:autoSpaceDE w:val="0"/>
              <w:spacing w:after="120"/>
              <w:jc w:val="left"/>
              <w:rPr>
                <w:szCs w:val="20"/>
              </w:rPr>
            </w:pPr>
            <w:r w:rsidRPr="005F763D">
              <w:rPr>
                <w:szCs w:val="20"/>
              </w:rPr>
              <w:t xml:space="preserve">The income </w:t>
            </w:r>
            <w:r w:rsidR="00FF15D7">
              <w:rPr>
                <w:szCs w:val="20"/>
              </w:rPr>
              <w:t xml:space="preserve">from the </w:t>
            </w:r>
            <w:r w:rsidRPr="005F763D">
              <w:rPr>
                <w:szCs w:val="20"/>
              </w:rPr>
              <w:t>property</w:t>
            </w:r>
            <w:r w:rsidR="00FF15D7">
              <w:rPr>
                <w:szCs w:val="20"/>
              </w:rPr>
              <w:t>,</w:t>
            </w:r>
            <w:r w:rsidRPr="005F763D">
              <w:rPr>
                <w:szCs w:val="20"/>
              </w:rPr>
              <w:t xml:space="preserve"> </w:t>
            </w:r>
            <w:r w:rsidR="00FF15D7">
              <w:rPr>
                <w:szCs w:val="20"/>
              </w:rPr>
              <w:t xml:space="preserve">that is received by </w:t>
            </w:r>
            <w:r w:rsidRPr="005F763D">
              <w:rPr>
                <w:szCs w:val="20"/>
              </w:rPr>
              <w:t>your superannuation fund</w:t>
            </w:r>
            <w:r w:rsidR="00FF15D7">
              <w:rPr>
                <w:szCs w:val="20"/>
              </w:rPr>
              <w:t>,</w:t>
            </w:r>
            <w:r w:rsidRPr="005F763D">
              <w:rPr>
                <w:szCs w:val="20"/>
              </w:rPr>
              <w:t xml:space="preserve"> will </w:t>
            </w:r>
            <w:r w:rsidR="00FF15D7">
              <w:rPr>
                <w:szCs w:val="20"/>
              </w:rPr>
              <w:t xml:space="preserve">incur </w:t>
            </w:r>
            <w:r w:rsidRPr="005F763D">
              <w:rPr>
                <w:szCs w:val="20"/>
              </w:rPr>
              <w:t>tax at a lower tax rate (15%) whil</w:t>
            </w:r>
            <w:r w:rsidR="00FF15D7">
              <w:rPr>
                <w:szCs w:val="20"/>
              </w:rPr>
              <w:t>e</w:t>
            </w:r>
            <w:r w:rsidRPr="005F763D">
              <w:rPr>
                <w:szCs w:val="20"/>
              </w:rPr>
              <w:t xml:space="preserve"> in accumulation phase</w:t>
            </w:r>
            <w:r w:rsidR="00FF15D7">
              <w:rPr>
                <w:szCs w:val="20"/>
              </w:rPr>
              <w:t>.</w:t>
            </w:r>
            <w:r w:rsidRPr="005F763D">
              <w:rPr>
                <w:szCs w:val="20"/>
              </w:rPr>
              <w:t xml:space="preserve"> </w:t>
            </w:r>
            <w:r w:rsidR="00FF15D7">
              <w:rPr>
                <w:szCs w:val="20"/>
              </w:rPr>
              <w:t>This</w:t>
            </w:r>
            <w:r w:rsidR="00444D27">
              <w:rPr>
                <w:szCs w:val="20"/>
              </w:rPr>
              <w:t xml:space="preserve"> is less than</w:t>
            </w:r>
            <w:r w:rsidRPr="005F763D">
              <w:rPr>
                <w:szCs w:val="20"/>
              </w:rPr>
              <w:t xml:space="preserve"> </w:t>
            </w:r>
            <w:r w:rsidR="00FF15D7">
              <w:rPr>
                <w:szCs w:val="20"/>
              </w:rPr>
              <w:t>your marginal rate</w:t>
            </w:r>
            <w:r w:rsidR="00444D27">
              <w:rPr>
                <w:szCs w:val="20"/>
              </w:rPr>
              <w:t>(s)</w:t>
            </w:r>
            <w:r w:rsidR="00FF15D7">
              <w:rPr>
                <w:szCs w:val="20"/>
              </w:rPr>
              <w:t xml:space="preserve"> of tax </w:t>
            </w:r>
            <w:r w:rsidRPr="005F763D">
              <w:rPr>
                <w:szCs w:val="20"/>
              </w:rPr>
              <w:t>if the property was purchased in your personal name</w:t>
            </w:r>
            <w:r w:rsidR="00713AD2">
              <w:rPr>
                <w:szCs w:val="20"/>
              </w:rPr>
              <w:t>(</w:t>
            </w:r>
            <w:r w:rsidRPr="005F763D">
              <w:rPr>
                <w:szCs w:val="20"/>
              </w:rPr>
              <w:t>s</w:t>
            </w:r>
            <w:r w:rsidR="00713AD2">
              <w:rPr>
                <w:szCs w:val="20"/>
              </w:rPr>
              <w:t>)</w:t>
            </w:r>
            <w:r w:rsidRPr="005F763D">
              <w:rPr>
                <w:szCs w:val="20"/>
              </w:rPr>
              <w:t>.</w:t>
            </w:r>
          </w:p>
          <w:p w14:paraId="5C7CF512"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lastRenderedPageBreak/>
              <w:t>The borrowing can be for a short period or for a period of up to 30 years (depending on the financing arrangement) allowing it to be structured to the underlying circumstances of the fund members</w:t>
            </w:r>
          </w:p>
          <w:p w14:paraId="40D28CB4"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Members and related businesses can act as lenders providing that all lending is at arm’s length</w:t>
            </w:r>
          </w:p>
          <w:p w14:paraId="686CB512"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It increases the flow of non-contributions funds into the SMSF thereby circumventing the excess contributions tax rules</w:t>
            </w:r>
          </w:p>
          <w:p w14:paraId="2D6B7205"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All capital gains whilst fund in accumulation phase will be taxed at 10% compared to your marginal tax rates if you had purchased the property in your personal names</w:t>
            </w:r>
          </w:p>
          <w:p w14:paraId="0E01F4AC" w14:textId="77777777" w:rsidR="004E035D" w:rsidRDefault="004E035D" w:rsidP="003812CB">
            <w:pPr>
              <w:pStyle w:val="ListParagraph"/>
              <w:numPr>
                <w:ilvl w:val="0"/>
                <w:numId w:val="31"/>
              </w:numPr>
              <w:tabs>
                <w:tab w:val="left" w:pos="360"/>
              </w:tabs>
              <w:suppressAutoHyphens w:val="0"/>
              <w:autoSpaceDE w:val="0"/>
              <w:jc w:val="left"/>
              <w:rPr>
                <w:szCs w:val="20"/>
              </w:rPr>
            </w:pPr>
            <w:r w:rsidRPr="005F763D">
              <w:rPr>
                <w:szCs w:val="20"/>
              </w:rPr>
              <w:t xml:space="preserve">Capital Gains whilst in pension phase will incur </w:t>
            </w:r>
            <w:r>
              <w:rPr>
                <w:szCs w:val="20"/>
              </w:rPr>
              <w:t>zero</w:t>
            </w:r>
            <w:r w:rsidRPr="005F763D">
              <w:rPr>
                <w:szCs w:val="20"/>
              </w:rPr>
              <w:t xml:space="preserve"> tax.</w:t>
            </w:r>
          </w:p>
          <w:p w14:paraId="7C142F91" w14:textId="77777777" w:rsidR="004E035D" w:rsidRPr="005F763D" w:rsidRDefault="004E035D" w:rsidP="003812CB">
            <w:pPr>
              <w:numPr>
                <w:ilvl w:val="0"/>
                <w:numId w:val="31"/>
              </w:numPr>
              <w:spacing w:after="60"/>
              <w:jc w:val="left"/>
              <w:rPr>
                <w:szCs w:val="20"/>
              </w:rPr>
            </w:pPr>
            <w:r w:rsidRPr="005F763D">
              <w:rPr>
                <w:szCs w:val="20"/>
              </w:rPr>
              <w:t>You will be able to borrow the funds using the property to be purchased as security</w:t>
            </w:r>
          </w:p>
          <w:p w14:paraId="2D71B9A6" w14:textId="77777777" w:rsidR="004E035D" w:rsidRPr="005F763D" w:rsidRDefault="004E035D" w:rsidP="003812CB">
            <w:pPr>
              <w:numPr>
                <w:ilvl w:val="0"/>
                <w:numId w:val="31"/>
              </w:numPr>
              <w:spacing w:after="60"/>
              <w:jc w:val="left"/>
              <w:rPr>
                <w:szCs w:val="20"/>
              </w:rPr>
            </w:pPr>
            <w:r w:rsidRPr="005F763D">
              <w:rPr>
                <w:szCs w:val="20"/>
              </w:rPr>
              <w:t>The borrowings will be in the name of your super fund and not you personally</w:t>
            </w:r>
          </w:p>
          <w:p w14:paraId="7EEBE566" w14:textId="77777777" w:rsidR="004E035D" w:rsidRPr="005F763D" w:rsidRDefault="004E035D" w:rsidP="003812CB">
            <w:pPr>
              <w:numPr>
                <w:ilvl w:val="0"/>
                <w:numId w:val="31"/>
              </w:numPr>
              <w:spacing w:after="60"/>
              <w:jc w:val="left"/>
              <w:rPr>
                <w:szCs w:val="20"/>
              </w:rPr>
            </w:pPr>
            <w:r w:rsidRPr="005F763D">
              <w:rPr>
                <w:szCs w:val="20"/>
              </w:rPr>
              <w:t>With the rent to be received from the property and with the employer contributions to be made there will be sufficient funds to meet the mortgage expenses, and</w:t>
            </w:r>
          </w:p>
          <w:p w14:paraId="3ACC80ED" w14:textId="1EFFDDC7" w:rsidR="004E035D" w:rsidRPr="005F763D" w:rsidRDefault="004E035D" w:rsidP="003812CB">
            <w:pPr>
              <w:numPr>
                <w:ilvl w:val="0"/>
                <w:numId w:val="31"/>
              </w:numPr>
              <w:spacing w:after="60"/>
              <w:jc w:val="left"/>
              <w:rPr>
                <w:szCs w:val="20"/>
              </w:rPr>
            </w:pPr>
            <w:r w:rsidRPr="005F763D">
              <w:rPr>
                <w:szCs w:val="20"/>
              </w:rPr>
              <w:t>Based on the calculation prepared it has been estimated t</w:t>
            </w:r>
            <w:r>
              <w:rPr>
                <w:szCs w:val="20"/>
              </w:rPr>
              <w:t xml:space="preserve">hat you will have </w:t>
            </w:r>
            <w:proofErr w:type="gramStart"/>
            <w:r w:rsidR="005721C6">
              <w:rPr>
                <w:szCs w:val="20"/>
              </w:rPr>
              <w:t>an</w:t>
            </w:r>
            <w:proofErr w:type="gramEnd"/>
            <w:r>
              <w:rPr>
                <w:szCs w:val="20"/>
              </w:rPr>
              <w:t xml:space="preserve"> L</w:t>
            </w:r>
            <w:r w:rsidR="00995C8E">
              <w:rPr>
                <w:szCs w:val="20"/>
              </w:rPr>
              <w:t xml:space="preserve">oan to </w:t>
            </w:r>
            <w:r>
              <w:rPr>
                <w:szCs w:val="20"/>
              </w:rPr>
              <w:t>V</w:t>
            </w:r>
            <w:r w:rsidR="00995C8E">
              <w:rPr>
                <w:szCs w:val="20"/>
              </w:rPr>
              <w:t xml:space="preserve">alue </w:t>
            </w:r>
            <w:r>
              <w:rPr>
                <w:szCs w:val="20"/>
              </w:rPr>
              <w:t>R</w:t>
            </w:r>
            <w:r w:rsidR="00995C8E">
              <w:rPr>
                <w:szCs w:val="20"/>
              </w:rPr>
              <w:t>atio</w:t>
            </w:r>
            <w:r>
              <w:rPr>
                <w:szCs w:val="20"/>
              </w:rPr>
              <w:t xml:space="preserve"> of </w:t>
            </w:r>
            <w:r w:rsidRPr="000D0191">
              <w:rPr>
                <w:color w:val="7030A0"/>
                <w:szCs w:val="20"/>
                <w:highlight w:val="yellow"/>
              </w:rPr>
              <w:t>[XX]</w:t>
            </w:r>
            <w:r w:rsidRPr="000D0191">
              <w:rPr>
                <w:color w:val="7030A0"/>
                <w:szCs w:val="20"/>
              </w:rPr>
              <w:t xml:space="preserve"> </w:t>
            </w:r>
            <w:r w:rsidRPr="005F763D">
              <w:rPr>
                <w:szCs w:val="20"/>
              </w:rPr>
              <w:t>%.</w:t>
            </w:r>
          </w:p>
          <w:p w14:paraId="36967193" w14:textId="77777777" w:rsidR="00E7362A" w:rsidRDefault="00E7362A" w:rsidP="00E7362A">
            <w:pPr>
              <w:pStyle w:val="ListParagraph"/>
              <w:tabs>
                <w:tab w:val="left" w:pos="0"/>
              </w:tabs>
              <w:suppressAutoHyphens w:val="0"/>
              <w:autoSpaceDE w:val="0"/>
              <w:spacing w:after="120"/>
              <w:ind w:left="0"/>
              <w:rPr>
                <w:szCs w:val="20"/>
              </w:rPr>
            </w:pPr>
          </w:p>
          <w:p w14:paraId="5E96F61D" w14:textId="6B670DD7" w:rsidR="00E7362A" w:rsidRPr="005F763D" w:rsidRDefault="00E7362A" w:rsidP="00E7362A">
            <w:pPr>
              <w:pStyle w:val="ListParagraph"/>
              <w:tabs>
                <w:tab w:val="left" w:pos="0"/>
              </w:tabs>
              <w:suppressAutoHyphens w:val="0"/>
              <w:autoSpaceDE w:val="0"/>
              <w:spacing w:after="120"/>
              <w:ind w:left="0"/>
              <w:rPr>
                <w:szCs w:val="20"/>
              </w:rPr>
            </w:pPr>
            <w:r w:rsidRPr="00F51168">
              <w:rPr>
                <w:szCs w:val="20"/>
              </w:rPr>
              <w:t>The typical risks of using the Limited Recourse Borrowing Arrangements:</w:t>
            </w:r>
          </w:p>
          <w:p w14:paraId="606CA0A2" w14:textId="77777777" w:rsidR="00E7362A" w:rsidRPr="005F763D" w:rsidRDefault="00E7362A" w:rsidP="003812CB">
            <w:pPr>
              <w:pStyle w:val="ListParagraph"/>
              <w:numPr>
                <w:ilvl w:val="0"/>
                <w:numId w:val="33"/>
              </w:numPr>
              <w:snapToGrid w:val="0"/>
              <w:spacing w:after="120"/>
              <w:jc w:val="left"/>
            </w:pPr>
            <w:r w:rsidRPr="005F763D">
              <w:t>The risk with property investments is mostly in the cyclical nature of property markets, which is why most property investments need to be held over a period of at least 5 years.</w:t>
            </w:r>
          </w:p>
          <w:p w14:paraId="425B487C" w14:textId="77777777" w:rsidR="00E7362A" w:rsidRPr="005F763D"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The prospect of high interest rates creating payment pressures for poorly planned investments.</w:t>
            </w:r>
          </w:p>
          <w:p w14:paraId="42F88A86" w14:textId="77777777" w:rsidR="00E7362A" w:rsidRPr="005F763D"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The increased risk as compared to investing in the underlying asset. Just as leverage provides the potential to make higher percentage returns, it also carries a risk of making large percentage losses.</w:t>
            </w:r>
          </w:p>
          <w:p w14:paraId="53E70979" w14:textId="77777777" w:rsidR="00E7362A" w:rsidRPr="005F763D"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 xml:space="preserve">The use of a trust structure can be quite problematic and care is needed to avoid potential double stamp duty on the first purchase of the assets by the trust and the second purchase of it under the instalment arrangement. </w:t>
            </w:r>
          </w:p>
          <w:p w14:paraId="61635C25" w14:textId="77777777" w:rsidR="00E7362A"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 xml:space="preserve">Distribution </w:t>
            </w:r>
            <w:r>
              <w:rPr>
                <w:szCs w:val="20"/>
              </w:rPr>
              <w:t xml:space="preserve">from </w:t>
            </w:r>
            <w:r w:rsidRPr="005F763D">
              <w:rPr>
                <w:szCs w:val="20"/>
              </w:rPr>
              <w:t xml:space="preserve">the trust on final payment of the instalment can give rise to capital gains tax </w:t>
            </w:r>
            <w:r>
              <w:rPr>
                <w:szCs w:val="20"/>
              </w:rPr>
              <w:t>event</w:t>
            </w:r>
            <w:r w:rsidRPr="005F763D">
              <w:rPr>
                <w:szCs w:val="20"/>
              </w:rPr>
              <w:t>. However, assuming the fund has absolute entitlement to the investment, the transfer will not trigger capital gains tax.</w:t>
            </w:r>
          </w:p>
          <w:p w14:paraId="3BD2D494" w14:textId="77777777" w:rsidR="00E7362A" w:rsidRPr="005F763D" w:rsidRDefault="00E7362A" w:rsidP="003812CB">
            <w:pPr>
              <w:numPr>
                <w:ilvl w:val="0"/>
                <w:numId w:val="33"/>
              </w:numPr>
              <w:tabs>
                <w:tab w:val="left" w:pos="786"/>
              </w:tabs>
              <w:suppressAutoHyphens w:val="0"/>
              <w:spacing w:after="120"/>
              <w:jc w:val="left"/>
              <w:rPr>
                <w:szCs w:val="20"/>
              </w:rPr>
            </w:pPr>
            <w:r w:rsidRPr="005F763D">
              <w:rPr>
                <w:szCs w:val="20"/>
              </w:rPr>
              <w:t>You may be required to provide a personal guarantee for the funds to be borrowed</w:t>
            </w:r>
          </w:p>
          <w:p w14:paraId="22320324" w14:textId="77777777" w:rsidR="00E7362A" w:rsidRPr="005F763D" w:rsidRDefault="00E7362A" w:rsidP="003812CB">
            <w:pPr>
              <w:numPr>
                <w:ilvl w:val="0"/>
                <w:numId w:val="33"/>
              </w:numPr>
              <w:tabs>
                <w:tab w:val="left" w:pos="786"/>
              </w:tabs>
              <w:suppressAutoHyphens w:val="0"/>
              <w:spacing w:after="120"/>
              <w:jc w:val="left"/>
              <w:rPr>
                <w:szCs w:val="20"/>
              </w:rPr>
            </w:pPr>
            <w:r w:rsidRPr="005F763D">
              <w:rPr>
                <w:szCs w:val="20"/>
              </w:rPr>
              <w:t>The interest rate for the funds to be borrowed will be at the standard residential variable rates; however, no discounts will apply to SMSF borrowings, and</w:t>
            </w:r>
          </w:p>
          <w:p w14:paraId="73AF3997" w14:textId="77777777" w:rsidR="00E7362A" w:rsidRDefault="00E7362A" w:rsidP="003812CB">
            <w:pPr>
              <w:numPr>
                <w:ilvl w:val="0"/>
                <w:numId w:val="33"/>
              </w:numPr>
              <w:tabs>
                <w:tab w:val="left" w:pos="786"/>
              </w:tabs>
              <w:suppressAutoHyphens w:val="0"/>
              <w:spacing w:after="120"/>
              <w:jc w:val="left"/>
              <w:rPr>
                <w:szCs w:val="20"/>
              </w:rPr>
            </w:pPr>
            <w:r w:rsidRPr="005F763D">
              <w:rPr>
                <w:szCs w:val="20"/>
              </w:rPr>
              <w:t>The bank may have additional conditions to be met prior to lending the funds to your super fund.</w:t>
            </w:r>
          </w:p>
          <w:p w14:paraId="73B0FA4C" w14:textId="18C18097" w:rsidR="00145C92" w:rsidRPr="00E87AAA" w:rsidRDefault="00145C92" w:rsidP="00D2574D">
            <w:pPr>
              <w:spacing w:before="120"/>
              <w:jc w:val="left"/>
              <w:rPr>
                <w:sz w:val="18"/>
                <w:szCs w:val="18"/>
                <w:highlight w:val="yellow"/>
              </w:rPr>
            </w:pPr>
          </w:p>
        </w:tc>
      </w:tr>
    </w:tbl>
    <w:p w14:paraId="52FA20DB" w14:textId="70C368A8" w:rsidR="00A8727D" w:rsidRDefault="00A8727D" w:rsidP="00322DAA"/>
    <w:p w14:paraId="1392F0BE" w14:textId="77777777" w:rsidR="00A8727D" w:rsidRPr="005F763D" w:rsidRDefault="00A8727D" w:rsidP="00322DAA"/>
    <w:p w14:paraId="5FCA798F" w14:textId="6A805873" w:rsidR="003B0B14" w:rsidRPr="00C5695B" w:rsidRDefault="00C5695B" w:rsidP="003B0B14">
      <w:pPr>
        <w:rPr>
          <w:b/>
        </w:rPr>
      </w:pPr>
      <w:r w:rsidRPr="00C5695B">
        <w:rPr>
          <w:b/>
        </w:rPr>
        <w:t xml:space="preserve">Further Detail </w:t>
      </w:r>
      <w:commentRangeStart w:id="70"/>
      <w:r>
        <w:rPr>
          <w:b/>
        </w:rPr>
        <w:t>continued</w:t>
      </w:r>
      <w:commentRangeEnd w:id="70"/>
      <w:r w:rsidR="00126589">
        <w:rPr>
          <w:rStyle w:val="CommentReference"/>
          <w:color w:val="auto"/>
          <w:lang w:eastAsia="ja-JP"/>
        </w:rPr>
        <w:commentReference w:id="70"/>
      </w:r>
    </w:p>
    <w:p w14:paraId="1FE1C0B5" w14:textId="77777777" w:rsidR="00C5695B" w:rsidRDefault="00C5695B" w:rsidP="00322DAA">
      <w:pPr>
        <w:tabs>
          <w:tab w:val="left" w:pos="992"/>
          <w:tab w:val="num" w:pos="1224"/>
        </w:tabs>
        <w:outlineLvl w:val="3"/>
        <w:rPr>
          <w:b/>
          <w:bCs/>
          <w:szCs w:val="22"/>
        </w:rPr>
      </w:pPr>
    </w:p>
    <w:p w14:paraId="2D375C48" w14:textId="7766052F" w:rsidR="006E23CA" w:rsidRPr="005F763D" w:rsidRDefault="006E23CA" w:rsidP="00322DAA">
      <w:pPr>
        <w:tabs>
          <w:tab w:val="left" w:pos="992"/>
          <w:tab w:val="num" w:pos="1224"/>
        </w:tabs>
        <w:outlineLvl w:val="3"/>
        <w:rPr>
          <w:b/>
          <w:bCs/>
          <w:szCs w:val="22"/>
        </w:rPr>
      </w:pPr>
      <w:r w:rsidRPr="005F763D">
        <w:rPr>
          <w:b/>
          <w:bCs/>
          <w:szCs w:val="22"/>
        </w:rPr>
        <w:t>How does borrowing inside superannuation work?</w:t>
      </w:r>
    </w:p>
    <w:p w14:paraId="746C7FF1" w14:textId="4D1E49C4" w:rsidR="00FD31E0" w:rsidRDefault="00FD31E0" w:rsidP="000D0191">
      <w:pPr>
        <w:spacing w:before="120" w:after="120"/>
      </w:pPr>
      <w:r w:rsidRPr="00AD13A0">
        <w:t xml:space="preserve">Borrowing through a super fund must be done via a </w:t>
      </w:r>
      <w:r w:rsidRPr="00AD13A0">
        <w:rPr>
          <w:rFonts w:cs="Arial"/>
        </w:rPr>
        <w:t>limited recourse borrowing arrangement</w:t>
      </w:r>
      <w:r w:rsidRPr="00AD13A0">
        <w:t xml:space="preserve">. The SMSF borrows the money from a Bank or another party (it could be themselves personally as the lender) and provides the money to a </w:t>
      </w:r>
      <w:r>
        <w:t>‘holding’</w:t>
      </w:r>
      <w:r w:rsidRPr="00AD13A0">
        <w:t xml:space="preserve"> trust (also known as a </w:t>
      </w:r>
      <w:r>
        <w:t>‘security’, ‘custodial’ or previously ‘bare’</w:t>
      </w:r>
      <w:r w:rsidRPr="00AD13A0">
        <w:t xml:space="preserve"> trust). </w:t>
      </w:r>
    </w:p>
    <w:p w14:paraId="0175433B" w14:textId="77777777" w:rsidR="00FD31E0" w:rsidRPr="00AD13A0" w:rsidRDefault="00FD31E0" w:rsidP="00FD31E0">
      <w:pPr>
        <w:spacing w:after="120"/>
      </w:pPr>
      <w:r w:rsidRPr="00AD13A0">
        <w:lastRenderedPageBreak/>
        <w:t xml:space="preserve">The </w:t>
      </w:r>
      <w:r>
        <w:t>holding</w:t>
      </w:r>
      <w:r w:rsidRPr="00AD13A0">
        <w:t xml:space="preserve"> trust owns the asset on behalf of the SMSF</w:t>
      </w:r>
      <w:r>
        <w:t>, which has a ‘beneficial’ interest</w:t>
      </w:r>
      <w:r w:rsidRPr="00AD13A0">
        <w:t xml:space="preserve">. The SMSF receives all of the rent and pays all of the expenses. Once the last loan instalment payment has been made, the ownership of the asset </w:t>
      </w:r>
      <w:r>
        <w:t>can be</w:t>
      </w:r>
      <w:r w:rsidRPr="00AD13A0">
        <w:t xml:space="preserve"> transferred from the </w:t>
      </w:r>
      <w:r>
        <w:t>holding</w:t>
      </w:r>
      <w:r w:rsidRPr="00AD13A0">
        <w:t xml:space="preserve"> trust to the super fund</w:t>
      </w:r>
      <w:r>
        <w:t xml:space="preserve"> or this transfer deferred to a later date</w:t>
      </w:r>
      <w:r w:rsidRPr="00AD13A0">
        <w:t>.</w:t>
      </w:r>
    </w:p>
    <w:p w14:paraId="777E4565" w14:textId="77777777" w:rsidR="00322DAA" w:rsidRPr="005F763D" w:rsidRDefault="00322DAA" w:rsidP="00322DAA"/>
    <w:p w14:paraId="42391B9E" w14:textId="77777777" w:rsidR="00322DAA" w:rsidRPr="005F763D" w:rsidRDefault="006E23CA" w:rsidP="00322DAA">
      <w:r w:rsidRPr="005F763D">
        <w:t xml:space="preserve">Trustees of SMSF’s should consider and complete the following prior to purchase of the property under the </w:t>
      </w:r>
      <w:r w:rsidRPr="005F763D">
        <w:rPr>
          <w:rFonts w:cs="Arial"/>
        </w:rPr>
        <w:t>limited recourse borrowing arrangement</w:t>
      </w:r>
      <w:r w:rsidRPr="005F763D">
        <w:t>:</w:t>
      </w:r>
    </w:p>
    <w:p w14:paraId="23E553D7" w14:textId="77777777" w:rsidR="006E23CA" w:rsidRPr="005F763D" w:rsidRDefault="006E23CA" w:rsidP="003812CB">
      <w:pPr>
        <w:keepLines/>
        <w:numPr>
          <w:ilvl w:val="0"/>
          <w:numId w:val="24"/>
        </w:numPr>
        <w:suppressAutoHyphens w:val="0"/>
        <w:spacing w:before="100"/>
      </w:pPr>
      <w:r w:rsidRPr="005F763D">
        <w:t>Trustees of SMSF hold meeting to determine and approve use of borrowing exception under section 67 (A) together with completion of necessary minutes.</w:t>
      </w:r>
    </w:p>
    <w:p w14:paraId="186AE32B" w14:textId="77777777" w:rsidR="00FD31E0" w:rsidRPr="00037169" w:rsidRDefault="00FD31E0" w:rsidP="003812CB">
      <w:pPr>
        <w:keepLines/>
        <w:numPr>
          <w:ilvl w:val="0"/>
          <w:numId w:val="24"/>
        </w:numPr>
        <w:suppressAutoHyphens w:val="0"/>
        <w:spacing w:before="120" w:after="120"/>
        <w:ind w:left="714" w:hanging="357"/>
      </w:pPr>
      <w:r w:rsidRPr="00037169">
        <w:t xml:space="preserve">Trustees should review the trust deed to be satisfied it </w:t>
      </w:r>
      <w:r>
        <w:t xml:space="preserve">expressly permits </w:t>
      </w:r>
      <w:r w:rsidRPr="00037169">
        <w:t xml:space="preserve">the </w:t>
      </w:r>
      <w:r>
        <w:t xml:space="preserve">limited recourse </w:t>
      </w:r>
      <w:r w:rsidRPr="00037169">
        <w:t>borrowing arrangement. You may need to seek advice and if required arrange for a deed upgrade.</w:t>
      </w:r>
    </w:p>
    <w:p w14:paraId="15460F45" w14:textId="77777777" w:rsidR="006E23CA" w:rsidRPr="005F763D" w:rsidRDefault="006E23CA" w:rsidP="003812CB">
      <w:pPr>
        <w:keepLines/>
        <w:numPr>
          <w:ilvl w:val="0"/>
          <w:numId w:val="24"/>
        </w:numPr>
        <w:suppressAutoHyphens w:val="0"/>
        <w:spacing w:before="100"/>
      </w:pPr>
      <w:r w:rsidRPr="005F763D">
        <w:t xml:space="preserve">Trustees formulate and implement necessary changes to investment strategy, including risk management and </w:t>
      </w:r>
      <w:r w:rsidRPr="005F763D">
        <w:rPr>
          <w:rFonts w:cs="Arial"/>
        </w:rPr>
        <w:t xml:space="preserve">limited recourse borrowing </w:t>
      </w:r>
      <w:r w:rsidRPr="005F763D">
        <w:t>use.</w:t>
      </w:r>
    </w:p>
    <w:p w14:paraId="3BC48C4E" w14:textId="77777777" w:rsidR="006E23CA" w:rsidRPr="005F763D" w:rsidRDefault="006E23CA" w:rsidP="003812CB">
      <w:pPr>
        <w:keepLines/>
        <w:numPr>
          <w:ilvl w:val="0"/>
          <w:numId w:val="24"/>
        </w:numPr>
        <w:suppressAutoHyphens w:val="0"/>
        <w:spacing w:before="100"/>
      </w:pPr>
      <w:r w:rsidRPr="005F763D">
        <w:t>A trust needs to be established to hold the investment including identifying who is going to be the trustee of that trust.</w:t>
      </w:r>
    </w:p>
    <w:p w14:paraId="7E4755B0" w14:textId="77777777" w:rsidR="006E23CA" w:rsidRPr="005F763D" w:rsidRDefault="006E23CA" w:rsidP="003812CB">
      <w:pPr>
        <w:keepLines/>
        <w:numPr>
          <w:ilvl w:val="0"/>
          <w:numId w:val="24"/>
        </w:numPr>
        <w:suppressAutoHyphens w:val="0"/>
        <w:spacing w:before="100"/>
      </w:pPr>
      <w:r w:rsidRPr="005F763D">
        <w:t>The SMSF trustees need to determine how the investment is to be financed and by which lender e.g. financial institution or related party, etc.</w:t>
      </w:r>
    </w:p>
    <w:p w14:paraId="11AF3A79" w14:textId="77777777" w:rsidR="006E23CA" w:rsidRPr="005F763D" w:rsidRDefault="006E23CA" w:rsidP="003812CB">
      <w:pPr>
        <w:keepLines/>
        <w:numPr>
          <w:ilvl w:val="0"/>
          <w:numId w:val="24"/>
        </w:numPr>
        <w:suppressAutoHyphens w:val="0"/>
        <w:spacing w:before="100"/>
      </w:pPr>
      <w:r w:rsidRPr="005F763D">
        <w:t>Once these steps are completed you then have the ability to purchase the property.</w:t>
      </w:r>
    </w:p>
    <w:p w14:paraId="0A62FF6A" w14:textId="77777777" w:rsidR="00322DAA" w:rsidRPr="005F763D" w:rsidRDefault="00322DAA" w:rsidP="00322DAA">
      <w:pPr>
        <w:rPr>
          <w:rFonts w:cs="Arial"/>
          <w:bCs/>
        </w:rPr>
      </w:pPr>
    </w:p>
    <w:p w14:paraId="12ED359D" w14:textId="77777777" w:rsidR="006E23CA" w:rsidRPr="005F763D" w:rsidRDefault="006E23CA" w:rsidP="00322DAA">
      <w:pPr>
        <w:rPr>
          <w:rFonts w:cs="Arial"/>
          <w:bCs/>
        </w:rPr>
      </w:pPr>
      <w:r w:rsidRPr="005F763D">
        <w:rPr>
          <w:rFonts w:cs="Arial"/>
          <w:bCs/>
        </w:rPr>
        <w:t>Listed below are the steps to follow when borrowing to purchase a property via your SMSF:</w:t>
      </w:r>
    </w:p>
    <w:p w14:paraId="312E930A"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trustees find a property to purchase in accordance with the investment strategy of the fund.</w:t>
      </w:r>
    </w:p>
    <w:p w14:paraId="62CBB9A7" w14:textId="22619280" w:rsidR="006E23CA" w:rsidRPr="005F763D" w:rsidRDefault="006E23CA" w:rsidP="003812CB">
      <w:pPr>
        <w:keepLines/>
        <w:numPr>
          <w:ilvl w:val="0"/>
          <w:numId w:val="25"/>
        </w:numPr>
        <w:suppressAutoHyphens w:val="0"/>
        <w:spacing w:before="100"/>
        <w:rPr>
          <w:rFonts w:cs="Arial"/>
          <w:bCs/>
        </w:rPr>
      </w:pPr>
      <w:r w:rsidRPr="005F763D">
        <w:rPr>
          <w:rFonts w:cs="Arial"/>
          <w:bCs/>
        </w:rPr>
        <w:t xml:space="preserve">Trustees of the </w:t>
      </w:r>
      <w:r w:rsidR="0053290F">
        <w:rPr>
          <w:rFonts w:cs="Arial"/>
          <w:bCs/>
        </w:rPr>
        <w:t>Holding</w:t>
      </w:r>
      <w:r w:rsidR="0053290F" w:rsidRPr="005F763D">
        <w:rPr>
          <w:rFonts w:cs="Arial"/>
          <w:bCs/>
        </w:rPr>
        <w:t xml:space="preserve"> </w:t>
      </w:r>
      <w:r w:rsidRPr="005F763D">
        <w:rPr>
          <w:rFonts w:cs="Arial"/>
          <w:bCs/>
        </w:rPr>
        <w:t>Trust arrange for exchange of contract and sign the contract to purchase the property.</w:t>
      </w:r>
    </w:p>
    <w:p w14:paraId="3C9E1F66"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trustees arrange for payment of the property deposit.</w:t>
      </w:r>
    </w:p>
    <w:p w14:paraId="19275CD5" w14:textId="2B0A851C" w:rsidR="006E23CA" w:rsidRPr="005F763D" w:rsidRDefault="006E23CA" w:rsidP="003812CB">
      <w:pPr>
        <w:keepLines/>
        <w:numPr>
          <w:ilvl w:val="0"/>
          <w:numId w:val="25"/>
        </w:numPr>
        <w:suppressAutoHyphens w:val="0"/>
        <w:spacing w:before="100"/>
        <w:rPr>
          <w:rFonts w:cs="Arial"/>
          <w:bCs/>
        </w:rPr>
      </w:pPr>
      <w:r w:rsidRPr="005F763D">
        <w:rPr>
          <w:rFonts w:cs="Arial"/>
          <w:bCs/>
        </w:rPr>
        <w:t>SMSF trustee</w:t>
      </w:r>
      <w:r w:rsidR="00066CD0">
        <w:rPr>
          <w:rFonts w:cs="Arial"/>
          <w:bCs/>
        </w:rPr>
        <w:t>s</w:t>
      </w:r>
      <w:r w:rsidRPr="005F763D">
        <w:rPr>
          <w:rFonts w:cs="Arial"/>
          <w:bCs/>
        </w:rPr>
        <w:t xml:space="preserve"> should take out a cover note to insure the property from the date of the contract.</w:t>
      </w:r>
    </w:p>
    <w:p w14:paraId="16210384"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trustees are responsible for ensuring all documentation is completed and ready for the property settlement.</w:t>
      </w:r>
    </w:p>
    <w:p w14:paraId="0B9091E8"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 arranges financing from a lender. Where the lender is not a related party and is a major financial institution then it is likely that they will have their own mortgage documentation for completion.</w:t>
      </w:r>
    </w:p>
    <w:p w14:paraId="443A388A"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 xml:space="preserve">At </w:t>
      </w:r>
      <w:r w:rsidR="0074490D" w:rsidRPr="005F763D">
        <w:rPr>
          <w:rFonts w:cs="Arial"/>
          <w:bCs/>
        </w:rPr>
        <w:t>settlement,</w:t>
      </w:r>
      <w:r w:rsidRPr="005F763D">
        <w:rPr>
          <w:rFonts w:cs="Arial"/>
          <w:bCs/>
        </w:rPr>
        <w:t xml:space="preserve"> the lender and SMSF trustees will provide their proportion of the purchase price amount.</w:t>
      </w:r>
    </w:p>
    <w:p w14:paraId="0897D603" w14:textId="77777777" w:rsidR="00322DAA" w:rsidRPr="005F763D" w:rsidRDefault="00322DAA" w:rsidP="00322DAA">
      <w:pPr>
        <w:keepLines/>
        <w:suppressAutoHyphens w:val="0"/>
        <w:ind w:left="720"/>
        <w:rPr>
          <w:rFonts w:cs="Arial"/>
          <w:bCs/>
        </w:rPr>
      </w:pPr>
    </w:p>
    <w:p w14:paraId="43F9D654" w14:textId="77777777" w:rsidR="006E23CA" w:rsidRPr="005F763D" w:rsidRDefault="006E23CA" w:rsidP="00322DAA">
      <w:pPr>
        <w:tabs>
          <w:tab w:val="left" w:pos="992"/>
          <w:tab w:val="num" w:pos="1224"/>
        </w:tabs>
        <w:outlineLvl w:val="3"/>
        <w:rPr>
          <w:b/>
          <w:bCs/>
          <w:szCs w:val="22"/>
        </w:rPr>
      </w:pPr>
      <w:r w:rsidRPr="005F763D">
        <w:rPr>
          <w:b/>
          <w:bCs/>
          <w:szCs w:val="22"/>
        </w:rPr>
        <w:t>Trust Deed</w:t>
      </w:r>
    </w:p>
    <w:p w14:paraId="3367FAC4" w14:textId="4A0341B4" w:rsidR="00D639DD" w:rsidRDefault="006E23CA" w:rsidP="000D0191">
      <w:pPr>
        <w:spacing w:before="120"/>
      </w:pPr>
      <w:r w:rsidRPr="00F51168">
        <w:t>M</w:t>
      </w:r>
      <w:r w:rsidR="00C56B39" w:rsidRPr="00F51168">
        <w:t>any</w:t>
      </w:r>
      <w:r w:rsidRPr="00F51168">
        <w:t xml:space="preserve"> SMSF Trust Deeds will not allow this investment to be entered into as most prohibit borrowings. Even if the investment is allowable under the various regulations it is in breach of the Deed if the Deed has not been appropriately drafted. There need</w:t>
      </w:r>
      <w:r w:rsidR="00C56B39" w:rsidRPr="00F51168">
        <w:t>s</w:t>
      </w:r>
      <w:r w:rsidRPr="00F51168">
        <w:t xml:space="preserve"> to be a number of other aspects considered also, not just an ability to borrow.</w:t>
      </w:r>
      <w:r w:rsidRPr="005F763D">
        <w:t xml:space="preserve"> </w:t>
      </w:r>
    </w:p>
    <w:p w14:paraId="79FC685C" w14:textId="77777777" w:rsidR="00C56B39" w:rsidRDefault="00C56B39" w:rsidP="000D0191">
      <w:pPr>
        <w:spacing w:before="120"/>
      </w:pPr>
    </w:p>
    <w:p w14:paraId="62A038EB" w14:textId="143E0B73" w:rsidR="006E23CA" w:rsidRPr="005F763D" w:rsidRDefault="00D639DD" w:rsidP="00322DAA">
      <w:r w:rsidRPr="00AD13A0">
        <w:t xml:space="preserve">The deed </w:t>
      </w:r>
      <w:r>
        <w:t xml:space="preserve">should have express terms </w:t>
      </w:r>
      <w:r w:rsidRPr="00AD13A0">
        <w:t>giving the fund trustees the:</w:t>
      </w:r>
    </w:p>
    <w:p w14:paraId="37B4787F"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Power to borrow. </w:t>
      </w:r>
    </w:p>
    <w:p w14:paraId="217F73E9"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Ability to hold assets via a nominee. </w:t>
      </w:r>
    </w:p>
    <w:p w14:paraId="318E67F8"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Ability to borrow in excess of the loan to valuation ratio limitations imposed by the various Acts relating to borrowing limitations for Trustees generally. </w:t>
      </w:r>
    </w:p>
    <w:p w14:paraId="3F376305"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Ability to distribute the proceeds of life insurance payouts received at the discretion of the trustees and not be restricted to crediting them to the deceased member's account. </w:t>
      </w:r>
    </w:p>
    <w:p w14:paraId="4ADE8D0F" w14:textId="77777777" w:rsidR="00322DAA" w:rsidRPr="005F763D" w:rsidRDefault="00322DAA" w:rsidP="00322DAA">
      <w:pPr>
        <w:keepLines/>
        <w:suppressAutoHyphens w:val="0"/>
        <w:ind w:left="720"/>
        <w:rPr>
          <w:rFonts w:cs="Arial"/>
          <w:bCs/>
        </w:rPr>
      </w:pPr>
    </w:p>
    <w:p w14:paraId="56D654E9" w14:textId="77777777" w:rsidR="006E23CA" w:rsidRPr="005F763D" w:rsidRDefault="006E23CA" w:rsidP="00322DAA">
      <w:pPr>
        <w:tabs>
          <w:tab w:val="left" w:pos="992"/>
          <w:tab w:val="num" w:pos="1224"/>
        </w:tabs>
        <w:outlineLvl w:val="3"/>
        <w:rPr>
          <w:b/>
          <w:bCs/>
          <w:szCs w:val="22"/>
        </w:rPr>
      </w:pPr>
      <w:r w:rsidRPr="005F763D">
        <w:rPr>
          <w:b/>
          <w:bCs/>
          <w:szCs w:val="22"/>
        </w:rPr>
        <w:t>Fund Trustee</w:t>
      </w:r>
    </w:p>
    <w:p w14:paraId="3DC7BC26" w14:textId="77777777" w:rsidR="00D639DD" w:rsidRDefault="00D639DD" w:rsidP="000D0191">
      <w:pPr>
        <w:spacing w:before="120" w:after="120"/>
      </w:pPr>
      <w:r w:rsidRPr="00AD13A0">
        <w:t xml:space="preserve">The Fund Trustee arranges the borrowing for the Fund. </w:t>
      </w:r>
    </w:p>
    <w:p w14:paraId="3289DF96" w14:textId="77777777" w:rsidR="00D639DD" w:rsidRDefault="00D639DD" w:rsidP="00D639DD">
      <w:pPr>
        <w:spacing w:after="120"/>
      </w:pPr>
      <w:r w:rsidRPr="00AD13A0">
        <w:t>Though there is no requirement under S</w:t>
      </w:r>
      <w:r>
        <w:t>uperannuation Law</w:t>
      </w:r>
      <w:r w:rsidRPr="00AD13A0">
        <w:t xml:space="preserve"> an external financier will regard it as mandatory that the fund trustee be a constitutional corporation. They will not lend to a fund with individual trustees as it is much easier for a lender to </w:t>
      </w:r>
      <w:r>
        <w:t xml:space="preserve">enforce a </w:t>
      </w:r>
      <w:r w:rsidRPr="00AD13A0">
        <w:t xml:space="preserve">breach </w:t>
      </w:r>
      <w:r>
        <w:t xml:space="preserve">upon </w:t>
      </w:r>
      <w:r w:rsidRPr="00AD13A0">
        <w:t xml:space="preserve">a corporation than an individual in the event the loan goes into default. </w:t>
      </w:r>
    </w:p>
    <w:p w14:paraId="6E5358E7" w14:textId="77777777" w:rsidR="00D639DD" w:rsidRPr="00AD13A0" w:rsidRDefault="00D639DD" w:rsidP="00D639DD">
      <w:pPr>
        <w:spacing w:after="120"/>
      </w:pPr>
      <w:r w:rsidRPr="00AD13A0">
        <w:t>A prudent trustee would generally favour a corporate trustee in any case.</w:t>
      </w:r>
    </w:p>
    <w:p w14:paraId="29B24526" w14:textId="77777777" w:rsidR="00322DAA" w:rsidRPr="005F763D" w:rsidRDefault="00322DAA" w:rsidP="00322DAA"/>
    <w:p w14:paraId="37139E25" w14:textId="77777777" w:rsidR="006E23CA" w:rsidRPr="005F763D" w:rsidRDefault="006E23CA" w:rsidP="00322DAA">
      <w:pPr>
        <w:tabs>
          <w:tab w:val="left" w:pos="992"/>
          <w:tab w:val="num" w:pos="1224"/>
        </w:tabs>
        <w:outlineLvl w:val="3"/>
        <w:rPr>
          <w:b/>
          <w:bCs/>
          <w:szCs w:val="22"/>
        </w:rPr>
      </w:pPr>
      <w:r w:rsidRPr="005F763D">
        <w:rPr>
          <w:b/>
          <w:bCs/>
          <w:szCs w:val="22"/>
        </w:rPr>
        <w:t>Nominee Trustee</w:t>
      </w:r>
    </w:p>
    <w:p w14:paraId="06A6B508" w14:textId="77777777" w:rsidR="006E23CA" w:rsidRPr="005F763D" w:rsidRDefault="006E23CA" w:rsidP="000D0191">
      <w:pPr>
        <w:spacing w:before="120"/>
      </w:pPr>
      <w:r w:rsidRPr="005F763D">
        <w:t>The Nominee Trustee holds the asset on behalf of the SMSF trustees. It is highly advisable that this trustee is also a constitutional corporation though this is not a legal requirement and also not a requirement of most lenders. It must not be the same entity as the Fund trustee as this would mean that no trust exists at law and the arrangement fails.</w:t>
      </w:r>
    </w:p>
    <w:p w14:paraId="4513409C" w14:textId="77777777" w:rsidR="00D71C4B" w:rsidRPr="00AD13A0" w:rsidRDefault="00D71C4B" w:rsidP="00D71C4B">
      <w:pPr>
        <w:tabs>
          <w:tab w:val="left" w:pos="992"/>
          <w:tab w:val="num" w:pos="1224"/>
        </w:tabs>
        <w:spacing w:before="240" w:after="120"/>
        <w:outlineLvl w:val="3"/>
        <w:rPr>
          <w:b/>
          <w:bCs/>
          <w:szCs w:val="22"/>
        </w:rPr>
      </w:pPr>
      <w:r>
        <w:rPr>
          <w:b/>
          <w:bCs/>
          <w:szCs w:val="22"/>
        </w:rPr>
        <w:lastRenderedPageBreak/>
        <w:t>The Role of the Holding/Nominee T</w:t>
      </w:r>
      <w:r w:rsidRPr="00AD13A0">
        <w:rPr>
          <w:b/>
          <w:bCs/>
          <w:szCs w:val="22"/>
        </w:rPr>
        <w:t>rustee</w:t>
      </w:r>
    </w:p>
    <w:p w14:paraId="0EA28D2C" w14:textId="77777777" w:rsidR="00D71C4B" w:rsidRDefault="00D71C4B" w:rsidP="00D71C4B">
      <w:pPr>
        <w:spacing w:after="120"/>
      </w:pPr>
      <w:r w:rsidRPr="00AD13A0">
        <w:t xml:space="preserve">The </w:t>
      </w:r>
      <w:r>
        <w:t>holding/n</w:t>
      </w:r>
      <w:r w:rsidRPr="00AD13A0">
        <w:t xml:space="preserve">ominee </w:t>
      </w:r>
      <w:r>
        <w:t>t</w:t>
      </w:r>
      <w:r w:rsidRPr="00AD13A0">
        <w:t xml:space="preserve">rustee holds the asset on behalf of the SMSF until the loan has been paid. The Nominee Trustee should act in this capacity ONLY. </w:t>
      </w:r>
    </w:p>
    <w:p w14:paraId="0D0E8510" w14:textId="77777777" w:rsidR="00D71C4B" w:rsidRDefault="00D71C4B" w:rsidP="00D71C4B">
      <w:pPr>
        <w:spacing w:after="120"/>
      </w:pPr>
      <w:r w:rsidRPr="00AD13A0">
        <w:t xml:space="preserve">This </w:t>
      </w:r>
      <w:r>
        <w:t xml:space="preserve">inability to act independently characterises </w:t>
      </w:r>
      <w:r w:rsidRPr="00AD13A0">
        <w:t xml:space="preserve">a </w:t>
      </w:r>
      <w:r>
        <w:t>‘</w:t>
      </w:r>
      <w:r w:rsidRPr="00AD13A0">
        <w:t>bare</w:t>
      </w:r>
      <w:r>
        <w:t>’</w:t>
      </w:r>
      <w:r w:rsidRPr="00AD13A0">
        <w:t xml:space="preserve"> trust </w:t>
      </w:r>
      <w:r>
        <w:t xml:space="preserve">but the terminology has fallen out of favour for other reasons </w:t>
      </w:r>
      <w:proofErr w:type="spellStart"/>
      <w:r>
        <w:t>eg.</w:t>
      </w:r>
      <w:proofErr w:type="spellEnd"/>
      <w:r>
        <w:t xml:space="preserve"> meeting GST exemptions</w:t>
      </w:r>
    </w:p>
    <w:p w14:paraId="01137382" w14:textId="77777777" w:rsidR="00D71C4B" w:rsidRPr="00AD13A0" w:rsidRDefault="00D71C4B" w:rsidP="00D71C4B">
      <w:pPr>
        <w:spacing w:after="120"/>
      </w:pPr>
      <w:r>
        <w:t>The holding trust</w:t>
      </w:r>
      <w:r w:rsidRPr="00AD13A0">
        <w:t xml:space="preserve"> should not collect rent, pay rates, lodge GST returns, etc. All of these transactions should occur directly within the SMSF.</w:t>
      </w:r>
    </w:p>
    <w:p w14:paraId="6242FAA5" w14:textId="77777777" w:rsidR="00D71C4B" w:rsidRDefault="00D71C4B" w:rsidP="00D71C4B">
      <w:pPr>
        <w:spacing w:after="120"/>
      </w:pPr>
      <w:r>
        <w:t>Importantly, the holding trust</w:t>
      </w:r>
    </w:p>
    <w:p w14:paraId="3E968387" w14:textId="77777777" w:rsidR="00D71C4B" w:rsidRPr="005414F0" w:rsidRDefault="00D71C4B" w:rsidP="003812CB">
      <w:pPr>
        <w:pStyle w:val="ListParagraph"/>
        <w:numPr>
          <w:ilvl w:val="0"/>
          <w:numId w:val="27"/>
        </w:numPr>
        <w:spacing w:after="120"/>
      </w:pPr>
      <w:r w:rsidRPr="005414F0">
        <w:t>may have no powers included in its trust deed that enable autonomous action independent of the SMSF</w:t>
      </w:r>
    </w:p>
    <w:p w14:paraId="2F40B373" w14:textId="77777777" w:rsidR="00D71C4B" w:rsidRDefault="00D71C4B" w:rsidP="003812CB">
      <w:pPr>
        <w:pStyle w:val="ListParagraph"/>
        <w:numPr>
          <w:ilvl w:val="0"/>
          <w:numId w:val="27"/>
        </w:numPr>
        <w:spacing w:after="120"/>
      </w:pPr>
      <w:r w:rsidRPr="005414F0">
        <w:t xml:space="preserve">trustee, typically a nominee company, may not be the same trustee as the SMSF </w:t>
      </w:r>
    </w:p>
    <w:p w14:paraId="603121B6" w14:textId="77777777" w:rsidR="00D71C4B" w:rsidRDefault="00D71C4B" w:rsidP="003812CB">
      <w:pPr>
        <w:pStyle w:val="ListParagraph"/>
        <w:numPr>
          <w:ilvl w:val="0"/>
          <w:numId w:val="27"/>
        </w:numPr>
        <w:spacing w:after="120"/>
      </w:pPr>
      <w:r>
        <w:t xml:space="preserve">trustee is not </w:t>
      </w:r>
      <w:r w:rsidRPr="005414F0">
        <w:t xml:space="preserve">recommended </w:t>
      </w:r>
      <w:r>
        <w:t>to be re-used for another holding trust in another borrowing arrangement</w:t>
      </w:r>
    </w:p>
    <w:p w14:paraId="57E72246" w14:textId="77777777" w:rsidR="00D71C4B" w:rsidRDefault="00D71C4B" w:rsidP="003812CB">
      <w:pPr>
        <w:pStyle w:val="ListParagraph"/>
        <w:numPr>
          <w:ilvl w:val="0"/>
          <w:numId w:val="27"/>
        </w:numPr>
        <w:spacing w:after="120"/>
      </w:pPr>
      <w:r>
        <w:t>cannot be shared by two, or more, unrelated SMSFs for purchasing an asset</w:t>
      </w:r>
    </w:p>
    <w:p w14:paraId="591ACB7E" w14:textId="77777777" w:rsidR="00D71C4B" w:rsidRDefault="00D71C4B" w:rsidP="003812CB">
      <w:pPr>
        <w:pStyle w:val="ListParagraph"/>
        <w:numPr>
          <w:ilvl w:val="0"/>
          <w:numId w:val="27"/>
        </w:numPr>
        <w:spacing w:after="120"/>
      </w:pPr>
      <w:r>
        <w:t>establishment costs are not eligible as a deduction to the SMSF</w:t>
      </w:r>
    </w:p>
    <w:p w14:paraId="73FD8879" w14:textId="77777777" w:rsidR="00D71C4B" w:rsidRPr="00705AA3" w:rsidRDefault="00D71C4B" w:rsidP="003812CB">
      <w:pPr>
        <w:pStyle w:val="ListParagraph"/>
        <w:numPr>
          <w:ilvl w:val="0"/>
          <w:numId w:val="27"/>
        </w:numPr>
        <w:spacing w:after="120"/>
      </w:pPr>
      <w:r>
        <w:t>establishment costs do not form part of the cost base of the acquired asset</w:t>
      </w:r>
    </w:p>
    <w:p w14:paraId="274AF4EE" w14:textId="5148D2BA" w:rsidR="00D71C4B" w:rsidRDefault="00D71C4B" w:rsidP="00322DAA">
      <w:r w:rsidRPr="00E170D1">
        <w:t xml:space="preserve">Should the holding/nominee Trustee be involved in "administering" the asset </w:t>
      </w:r>
      <w:r w:rsidR="005721C6" w:rsidRPr="00E170D1">
        <w:t>then,</w:t>
      </w:r>
      <w:r w:rsidRPr="00E170D1">
        <w:t xml:space="preserve"> on the eventual transfer of title to the SMSF, there may be adverse stamp duty, GST and capital gains tax implications.</w:t>
      </w:r>
    </w:p>
    <w:p w14:paraId="089C7468" w14:textId="77777777" w:rsidR="00322DAA" w:rsidRPr="005F763D" w:rsidRDefault="00322DAA" w:rsidP="00322DAA"/>
    <w:p w14:paraId="752A7426" w14:textId="77777777" w:rsidR="006E23CA" w:rsidRPr="005F763D" w:rsidRDefault="006E23CA" w:rsidP="00322DAA">
      <w:pPr>
        <w:tabs>
          <w:tab w:val="left" w:pos="992"/>
          <w:tab w:val="num" w:pos="1224"/>
        </w:tabs>
        <w:outlineLvl w:val="3"/>
        <w:rPr>
          <w:b/>
          <w:bCs/>
          <w:szCs w:val="22"/>
        </w:rPr>
      </w:pPr>
      <w:r w:rsidRPr="005F763D">
        <w:rPr>
          <w:b/>
          <w:bCs/>
          <w:szCs w:val="22"/>
        </w:rPr>
        <w:t>The Lender</w:t>
      </w:r>
    </w:p>
    <w:p w14:paraId="38EBF4A7" w14:textId="77777777" w:rsidR="00B04B0F" w:rsidRDefault="00B04B0F" w:rsidP="000D0191">
      <w:pPr>
        <w:spacing w:before="120" w:after="120"/>
      </w:pPr>
      <w:r w:rsidRPr="00AD13A0">
        <w:t xml:space="preserve">There is no barrier to the lender being an associate of the SMSF. </w:t>
      </w:r>
    </w:p>
    <w:p w14:paraId="4F158E3F" w14:textId="77777777" w:rsidR="00B04B0F" w:rsidRDefault="00B04B0F" w:rsidP="00B04B0F">
      <w:pPr>
        <w:spacing w:after="120"/>
      </w:pPr>
      <w:r w:rsidRPr="00AD13A0">
        <w:t xml:space="preserve">A member can be the lender if required. Though the ATO are wary of this arrangement being used to provide a solution to the limitations provided by the contributions caps they realise that there are many bona fide reasons why such a borrowing may be reasonable. They do require all dealings to be on an arm's length basis however. </w:t>
      </w:r>
    </w:p>
    <w:p w14:paraId="08FEF017" w14:textId="2D23E323" w:rsidR="00B04B0F" w:rsidRDefault="00B04B0F" w:rsidP="00B04B0F">
      <w:r w:rsidRPr="00AD13A0">
        <w:t>This means that the fund must pay the lender the rate of interest applicable to a non-recourse loan.</w:t>
      </w:r>
      <w:r>
        <w:t xml:space="preserve"> </w:t>
      </w:r>
    </w:p>
    <w:p w14:paraId="54CD87C3" w14:textId="77777777" w:rsidR="0089399D" w:rsidRDefault="0089399D" w:rsidP="00B04B0F"/>
    <w:p w14:paraId="374D56BB" w14:textId="77777777" w:rsidR="00B04B0F" w:rsidRPr="00E11BDB" w:rsidRDefault="00B04B0F" w:rsidP="0089399D">
      <w:pPr>
        <w:spacing w:after="120"/>
        <w:jc w:val="center"/>
        <w:rPr>
          <w:b/>
        </w:rPr>
      </w:pPr>
      <w:r w:rsidRPr="00E11BDB">
        <w:rPr>
          <w:b/>
        </w:rPr>
        <w:t>‘Safe Harbour’ guidelines have been provided by the Australian Taxation Office.</w:t>
      </w:r>
    </w:p>
    <w:p w14:paraId="2D051C80" w14:textId="77777777" w:rsidR="00B04B0F" w:rsidRPr="00AD13A0" w:rsidRDefault="00B04B0F" w:rsidP="00B04B0F">
      <w:pPr>
        <w:spacing w:after="120"/>
      </w:pPr>
      <w:r w:rsidRPr="00AD13A0">
        <w:t>If the lender is institutional or arm's length</w:t>
      </w:r>
      <w:r>
        <w:t>,</w:t>
      </w:r>
      <w:r w:rsidRPr="00AD13A0">
        <w:t xml:space="preserve"> the documentation they provide should be carefully checked to ensure it complies.</w:t>
      </w:r>
    </w:p>
    <w:p w14:paraId="118A292F" w14:textId="77777777" w:rsidR="00322DAA" w:rsidRPr="005F763D" w:rsidRDefault="00322DAA" w:rsidP="00322DAA"/>
    <w:p w14:paraId="62430F2F" w14:textId="77777777" w:rsidR="00D9624B" w:rsidRPr="00AD13A0" w:rsidRDefault="00D9624B" w:rsidP="00D9624B">
      <w:pPr>
        <w:tabs>
          <w:tab w:val="left" w:pos="992"/>
          <w:tab w:val="num" w:pos="1224"/>
        </w:tabs>
        <w:spacing w:before="240" w:after="120"/>
        <w:outlineLvl w:val="3"/>
        <w:rPr>
          <w:b/>
          <w:bCs/>
          <w:szCs w:val="22"/>
        </w:rPr>
      </w:pPr>
      <w:r w:rsidRPr="00AD13A0">
        <w:rPr>
          <w:b/>
          <w:bCs/>
          <w:szCs w:val="22"/>
        </w:rPr>
        <w:t>Loan Conditions</w:t>
      </w:r>
      <w:r>
        <w:rPr>
          <w:b/>
          <w:bCs/>
          <w:szCs w:val="22"/>
        </w:rPr>
        <w:t xml:space="preserve"> and Use</w:t>
      </w:r>
    </w:p>
    <w:p w14:paraId="41AA7822" w14:textId="77777777" w:rsidR="00D9624B" w:rsidRDefault="00D9624B" w:rsidP="00D9624B">
      <w:pPr>
        <w:spacing w:after="120"/>
      </w:pPr>
      <w:r w:rsidRPr="00AD13A0">
        <w:t xml:space="preserve">The terms of the loan can be extremely varied. </w:t>
      </w:r>
    </w:p>
    <w:p w14:paraId="43CF8612" w14:textId="77777777" w:rsidR="00D9624B" w:rsidRDefault="00D9624B" w:rsidP="00D9624B">
      <w:pPr>
        <w:spacing w:after="120"/>
      </w:pPr>
      <w:r w:rsidRPr="00AD13A0">
        <w:t>Where a loan is being made by an associated private company</w:t>
      </w:r>
      <w:r>
        <w:t>,</w:t>
      </w:r>
      <w:r w:rsidRPr="00AD13A0">
        <w:t xml:space="preserve"> then </w:t>
      </w:r>
      <w:r>
        <w:t xml:space="preserve">expert </w:t>
      </w:r>
      <w:r w:rsidRPr="00AD13A0">
        <w:t xml:space="preserve">advice </w:t>
      </w:r>
      <w:r>
        <w:t xml:space="preserve">or a private ruling </w:t>
      </w:r>
      <w:r w:rsidRPr="00AD13A0">
        <w:t>should be sought to ensure that the A</w:t>
      </w:r>
      <w:r>
        <w:t xml:space="preserve">ustralian </w:t>
      </w:r>
      <w:r w:rsidRPr="00AD13A0">
        <w:t>T</w:t>
      </w:r>
      <w:r>
        <w:t xml:space="preserve">ax </w:t>
      </w:r>
      <w:r w:rsidRPr="00AD13A0">
        <w:t>O</w:t>
      </w:r>
      <w:r>
        <w:t>ffice</w:t>
      </w:r>
      <w:r w:rsidRPr="00AD13A0">
        <w:t xml:space="preserve"> do</w:t>
      </w:r>
      <w:r>
        <w:t>es</w:t>
      </w:r>
      <w:r w:rsidRPr="00AD13A0">
        <w:t xml:space="preserve"> not regard the loan as a Division 7A loan or deemed dividend. The terms and conditions should be properly documented.</w:t>
      </w:r>
      <w:r>
        <w:t xml:space="preserve"> </w:t>
      </w:r>
    </w:p>
    <w:p w14:paraId="0B573297" w14:textId="77777777" w:rsidR="00D9624B" w:rsidRPr="00E11BDB" w:rsidRDefault="00D9624B" w:rsidP="0089399D">
      <w:pPr>
        <w:spacing w:after="120"/>
        <w:jc w:val="center"/>
        <w:rPr>
          <w:b/>
        </w:rPr>
      </w:pPr>
      <w:r w:rsidRPr="00E11BDB">
        <w:rPr>
          <w:b/>
        </w:rPr>
        <w:t>‘Safe Harbour’ guidelines have been provided by the Australian Taxation Office.</w:t>
      </w:r>
    </w:p>
    <w:p w14:paraId="13930CCB" w14:textId="64F17B09" w:rsidR="00D9624B" w:rsidRDefault="00D9624B" w:rsidP="000D0191">
      <w:r w:rsidRPr="00AD13A0">
        <w:t xml:space="preserve">The loan must be a </w:t>
      </w:r>
      <w:r w:rsidRPr="00AD13A0">
        <w:rPr>
          <w:rFonts w:cs="Arial"/>
        </w:rPr>
        <w:t xml:space="preserve">limited recourse </w:t>
      </w:r>
      <w:r w:rsidRPr="00AD13A0">
        <w:t>loan meaning the lender's recourse to the assets of the fund is limited to recovering the secured real property asset only. The lender has no rights to pursue a loss against any other of the fund's assets</w:t>
      </w:r>
      <w:r>
        <w:t xml:space="preserve"> but lender documentation should be checked in this regard as it may invalidate </w:t>
      </w:r>
      <w:r w:rsidRPr="00AD13A0">
        <w:t xml:space="preserve">the whole </w:t>
      </w:r>
      <w:r>
        <w:t xml:space="preserve">legality of the arrangement </w:t>
      </w:r>
      <w:r w:rsidRPr="00AD13A0">
        <w:t xml:space="preserve">and lay the </w:t>
      </w:r>
      <w:r>
        <w:t>fund’s trustee(s)</w:t>
      </w:r>
      <w:r w:rsidRPr="00AD13A0">
        <w:t xml:space="preserve"> open to serious </w:t>
      </w:r>
      <w:r>
        <w:t xml:space="preserve">taxation </w:t>
      </w:r>
      <w:r w:rsidRPr="00AD13A0">
        <w:t>penalties.</w:t>
      </w:r>
    </w:p>
    <w:p w14:paraId="1F0A040E" w14:textId="77777777" w:rsidR="00D9624B" w:rsidRDefault="00D9624B" w:rsidP="000D0191"/>
    <w:p w14:paraId="0B5E8065" w14:textId="77777777" w:rsidR="00D9624B" w:rsidRPr="00AD13A0" w:rsidRDefault="00D9624B" w:rsidP="00D9624B">
      <w:pPr>
        <w:spacing w:after="120"/>
      </w:pPr>
      <w:r>
        <w:t xml:space="preserve">A SMSF can use borrowed funds to fund expenses related to the asset purchase such as conveyancing, stamp duty or the lender’s establishment fees. </w:t>
      </w:r>
    </w:p>
    <w:p w14:paraId="53F534F3" w14:textId="77777777" w:rsidR="00D9624B" w:rsidRPr="00AD13A0" w:rsidRDefault="00D9624B" w:rsidP="00D9624B">
      <w:pPr>
        <w:tabs>
          <w:tab w:val="left" w:pos="992"/>
          <w:tab w:val="num" w:pos="1224"/>
        </w:tabs>
        <w:spacing w:before="240" w:after="120"/>
        <w:outlineLvl w:val="3"/>
        <w:rPr>
          <w:b/>
          <w:bCs/>
          <w:szCs w:val="22"/>
        </w:rPr>
      </w:pPr>
      <w:r>
        <w:rPr>
          <w:b/>
          <w:bCs/>
          <w:szCs w:val="22"/>
        </w:rPr>
        <w:t xml:space="preserve">Loan to Value Ratio; Interest Rate; Repayment terms </w:t>
      </w:r>
    </w:p>
    <w:p w14:paraId="00FD2D84" w14:textId="77777777" w:rsidR="00D9624B" w:rsidRDefault="00D9624B" w:rsidP="00D9624B">
      <w:pPr>
        <w:spacing w:after="120"/>
      </w:pPr>
      <w:r w:rsidRPr="00AD13A0">
        <w:t xml:space="preserve">Where an associated party, such as a member, lends to the SMSF </w:t>
      </w:r>
      <w:r>
        <w:t>the size of the loan, the rate of interest and the repayment terms applied should not advantage the lender at the expense of Trustee responsibilities to SMSF beneficiaries.</w:t>
      </w:r>
    </w:p>
    <w:p w14:paraId="0BC7CF43" w14:textId="77777777" w:rsidR="00D9624B" w:rsidRDefault="00D9624B" w:rsidP="00D9624B">
      <w:pPr>
        <w:spacing w:after="120"/>
      </w:pPr>
      <w:r>
        <w:t>For example, a loan interest rate that is too high to be ‘commercial’ can arguably circumvent Preservation rules. A rate that is too low to be commercial is not allowable under the non-arm’s length income (NALI) provisions.</w:t>
      </w:r>
    </w:p>
    <w:p w14:paraId="0B66FA90" w14:textId="462BB5FF" w:rsidR="00D9624B" w:rsidRPr="00E11BDB" w:rsidRDefault="00D9624B" w:rsidP="0089399D">
      <w:pPr>
        <w:spacing w:after="120"/>
        <w:jc w:val="center"/>
        <w:rPr>
          <w:b/>
        </w:rPr>
      </w:pPr>
      <w:r w:rsidRPr="00E11BDB">
        <w:rPr>
          <w:b/>
        </w:rPr>
        <w:t>‘Safe Harbour’ guidelines have been provided by the Australian Taxation Office.</w:t>
      </w:r>
    </w:p>
    <w:p w14:paraId="765ABB5C" w14:textId="77777777" w:rsidR="006E23CA" w:rsidRPr="005F763D" w:rsidRDefault="006E23CA" w:rsidP="00322DAA">
      <w:pPr>
        <w:tabs>
          <w:tab w:val="left" w:pos="992"/>
          <w:tab w:val="num" w:pos="1224"/>
        </w:tabs>
        <w:outlineLvl w:val="3"/>
        <w:rPr>
          <w:b/>
          <w:bCs/>
          <w:szCs w:val="22"/>
        </w:rPr>
      </w:pPr>
      <w:r w:rsidRPr="005F763D">
        <w:rPr>
          <w:b/>
          <w:bCs/>
          <w:szCs w:val="22"/>
        </w:rPr>
        <w:t>Multiple Draw Downs</w:t>
      </w:r>
    </w:p>
    <w:p w14:paraId="51A4D1C3" w14:textId="77777777" w:rsidR="00DB05D2" w:rsidRPr="00AD13A0" w:rsidRDefault="00DB05D2" w:rsidP="000D0191">
      <w:pPr>
        <w:spacing w:before="120" w:after="120"/>
      </w:pPr>
      <w:r w:rsidRPr="00AD13A0">
        <w:lastRenderedPageBreak/>
        <w:t xml:space="preserve">Each </w:t>
      </w:r>
      <w:r w:rsidRPr="00AD13A0">
        <w:rPr>
          <w:rFonts w:cs="Arial"/>
        </w:rPr>
        <w:t>limited recourse borrowing arrangement</w:t>
      </w:r>
      <w:r w:rsidRPr="00AD13A0">
        <w:t xml:space="preserve"> is distinct and relates to a single loan. If there is to be any increase </w:t>
      </w:r>
      <w:r>
        <w:t>to</w:t>
      </w:r>
      <w:r w:rsidRPr="00AD13A0">
        <w:t xml:space="preserve"> the loan in the future</w:t>
      </w:r>
      <w:r>
        <w:t>,</w:t>
      </w:r>
      <w:r w:rsidRPr="00AD13A0">
        <w:t xml:space="preserve"> it will constitute a new arrangement.</w:t>
      </w:r>
    </w:p>
    <w:p w14:paraId="340391EB" w14:textId="77777777" w:rsidR="006E23CA" w:rsidRPr="005F763D" w:rsidRDefault="006E23CA" w:rsidP="00322DAA">
      <w:pPr>
        <w:tabs>
          <w:tab w:val="left" w:pos="992"/>
          <w:tab w:val="num" w:pos="1224"/>
        </w:tabs>
        <w:outlineLvl w:val="3"/>
        <w:rPr>
          <w:b/>
          <w:bCs/>
          <w:szCs w:val="22"/>
        </w:rPr>
      </w:pPr>
      <w:r w:rsidRPr="005F763D">
        <w:rPr>
          <w:b/>
          <w:bCs/>
          <w:szCs w:val="22"/>
        </w:rPr>
        <w:t>Tenants in Common</w:t>
      </w:r>
    </w:p>
    <w:p w14:paraId="0FE34647" w14:textId="77777777" w:rsidR="00AA71B7" w:rsidRDefault="00AA71B7" w:rsidP="000D0191">
      <w:pPr>
        <w:spacing w:before="120" w:after="120"/>
      </w:pPr>
      <w:r w:rsidRPr="00AD13A0">
        <w:t xml:space="preserve">A </w:t>
      </w:r>
      <w:r w:rsidRPr="00AD13A0">
        <w:rPr>
          <w:rFonts w:cs="Arial"/>
        </w:rPr>
        <w:t>limited recourse borrowing arrangement</w:t>
      </w:r>
      <w:r w:rsidRPr="00AD13A0">
        <w:t xml:space="preserve"> is allowable when taken over an asset as </w:t>
      </w:r>
      <w:r>
        <w:t>‘</w:t>
      </w:r>
      <w:r w:rsidRPr="00AD13A0">
        <w:t>tenants in common</w:t>
      </w:r>
      <w:r>
        <w:t>’</w:t>
      </w:r>
      <w:r w:rsidRPr="00AD13A0">
        <w:t>.</w:t>
      </w:r>
      <w:r>
        <w:t xml:space="preserve">  ‘Joint’ ownership is not allowed.</w:t>
      </w:r>
    </w:p>
    <w:p w14:paraId="535C4C9C" w14:textId="77777777" w:rsidR="006E23CA" w:rsidRPr="005F763D" w:rsidRDefault="006E23CA" w:rsidP="00322DAA">
      <w:pPr>
        <w:tabs>
          <w:tab w:val="left" w:pos="992"/>
          <w:tab w:val="num" w:pos="1224"/>
        </w:tabs>
        <w:outlineLvl w:val="3"/>
        <w:rPr>
          <w:b/>
          <w:bCs/>
          <w:szCs w:val="22"/>
        </w:rPr>
      </w:pPr>
      <w:r w:rsidRPr="005F763D">
        <w:rPr>
          <w:b/>
          <w:bCs/>
          <w:szCs w:val="22"/>
        </w:rPr>
        <w:t>Property Development</w:t>
      </w:r>
    </w:p>
    <w:p w14:paraId="16F3E9EC" w14:textId="77777777" w:rsidR="006E23CA" w:rsidRPr="005F763D" w:rsidRDefault="006E23CA" w:rsidP="000D0191">
      <w:pPr>
        <w:spacing w:before="120"/>
      </w:pPr>
      <w:r w:rsidRPr="005F763D">
        <w:t xml:space="preserve">A </w:t>
      </w:r>
      <w:r w:rsidRPr="005F763D">
        <w:rPr>
          <w:rFonts w:cs="Arial"/>
        </w:rPr>
        <w:t>limited recourse borrowing arrangement</w:t>
      </w:r>
      <w:r w:rsidRPr="005F763D">
        <w:t xml:space="preserve"> can only be used to acquire the property on completion. It cannot be used to fund a property development.</w:t>
      </w:r>
    </w:p>
    <w:p w14:paraId="54AC5CDA" w14:textId="09CE1E0A" w:rsidR="006C29BC" w:rsidRPr="00AD13A0" w:rsidRDefault="006C29BC" w:rsidP="006C29BC">
      <w:pPr>
        <w:spacing w:after="120"/>
      </w:pPr>
      <w:r>
        <w:t>However, an important exception is the purchase of a legitimate ‘house and land’ off-the-plan ‘package’</w:t>
      </w:r>
      <w:r w:rsidR="005721C6">
        <w:t xml:space="preserve">; </w:t>
      </w:r>
      <w:r>
        <w:t xml:space="preserve">incorporating in one contract both site purchase </w:t>
      </w:r>
      <w:r w:rsidR="005721C6">
        <w:t>and development</w:t>
      </w:r>
      <w:r>
        <w:t>.</w:t>
      </w:r>
    </w:p>
    <w:p w14:paraId="0CA0D26A" w14:textId="77777777" w:rsidR="006E23CA" w:rsidRPr="005F763D" w:rsidRDefault="006E23CA" w:rsidP="00322DAA">
      <w:pPr>
        <w:tabs>
          <w:tab w:val="left" w:pos="992"/>
          <w:tab w:val="num" w:pos="1224"/>
        </w:tabs>
        <w:outlineLvl w:val="3"/>
        <w:rPr>
          <w:b/>
          <w:bCs/>
          <w:szCs w:val="22"/>
        </w:rPr>
      </w:pPr>
      <w:r w:rsidRPr="005F763D">
        <w:rPr>
          <w:b/>
          <w:bCs/>
          <w:szCs w:val="22"/>
        </w:rPr>
        <w:t>Re-financing Loans</w:t>
      </w:r>
    </w:p>
    <w:p w14:paraId="6F677D2D" w14:textId="77777777" w:rsidR="006C29BC" w:rsidRDefault="006C29BC" w:rsidP="000D0191">
      <w:pPr>
        <w:spacing w:before="120" w:after="120"/>
        <w:rPr>
          <w:rFonts w:cs="Arial"/>
          <w:szCs w:val="20"/>
        </w:rPr>
      </w:pPr>
      <w:r w:rsidRPr="00CA3FB8">
        <w:rPr>
          <w:rFonts w:cs="Arial"/>
        </w:rPr>
        <w:t>The fund can</w:t>
      </w:r>
      <w:r w:rsidRPr="002A5787">
        <w:rPr>
          <w:rFonts w:cs="Arial"/>
          <w:szCs w:val="20"/>
        </w:rPr>
        <w:t xml:space="preserve"> refinance with a commercial lender, extinguish the original arrangement and pay the associated costs.</w:t>
      </w:r>
    </w:p>
    <w:p w14:paraId="7E21710C" w14:textId="77777777" w:rsidR="006E23CA" w:rsidRPr="005F763D" w:rsidRDefault="006E23CA" w:rsidP="00322DAA">
      <w:pPr>
        <w:tabs>
          <w:tab w:val="left" w:pos="992"/>
          <w:tab w:val="num" w:pos="1224"/>
        </w:tabs>
        <w:outlineLvl w:val="3"/>
        <w:rPr>
          <w:b/>
          <w:bCs/>
          <w:szCs w:val="22"/>
        </w:rPr>
      </w:pPr>
      <w:r w:rsidRPr="005F763D">
        <w:rPr>
          <w:b/>
          <w:bCs/>
          <w:szCs w:val="22"/>
        </w:rPr>
        <w:t>Personal Guarantees</w:t>
      </w:r>
    </w:p>
    <w:p w14:paraId="0E172CAE" w14:textId="736D6142" w:rsidR="006C29BC" w:rsidRDefault="006C29BC" w:rsidP="000D0191">
      <w:pPr>
        <w:spacing w:before="120"/>
      </w:pPr>
      <w:r w:rsidRPr="00AD13A0">
        <w:t xml:space="preserve">Many </w:t>
      </w:r>
      <w:r>
        <w:t>commercial</w:t>
      </w:r>
      <w:r w:rsidRPr="00AD13A0">
        <w:t xml:space="preserve"> lenders require them and refuse to lend on any other basis. </w:t>
      </w:r>
      <w:r w:rsidR="007B5A3B">
        <w:t>However,</w:t>
      </w:r>
      <w:r>
        <w:t xml:space="preserve"> the Taxation office says that guarantees are not required but, by implication, not forbidden.</w:t>
      </w:r>
    </w:p>
    <w:p w14:paraId="3DA4B729" w14:textId="1481E416" w:rsidR="006C29BC" w:rsidRDefault="006C29BC" w:rsidP="000D0191">
      <w:pPr>
        <w:spacing w:before="120" w:after="120"/>
      </w:pPr>
      <w:r>
        <w:t xml:space="preserve">In seeking </w:t>
      </w:r>
      <w:r w:rsidRPr="0030411A">
        <w:rPr>
          <w:rFonts w:cs="Arial"/>
          <w:szCs w:val="20"/>
        </w:rPr>
        <w:t xml:space="preserve">potential recompense for a loan default, the guarantor can only </w:t>
      </w:r>
      <w:r w:rsidR="007B5A3B" w:rsidRPr="0030411A">
        <w:rPr>
          <w:rFonts w:cs="Arial"/>
          <w:szCs w:val="20"/>
        </w:rPr>
        <w:t>establish rights</w:t>
      </w:r>
      <w:r w:rsidRPr="0030411A">
        <w:rPr>
          <w:rFonts w:cs="Arial"/>
          <w:szCs w:val="20"/>
        </w:rPr>
        <w:t xml:space="preserve"> (recourse) to the asset being acquired under the borrowing.</w:t>
      </w:r>
    </w:p>
    <w:p w14:paraId="4CAF97C5" w14:textId="77777777" w:rsidR="006E23CA" w:rsidRPr="005F763D" w:rsidRDefault="006E23CA" w:rsidP="00322DAA">
      <w:pPr>
        <w:tabs>
          <w:tab w:val="left" w:pos="992"/>
          <w:tab w:val="num" w:pos="1224"/>
        </w:tabs>
        <w:outlineLvl w:val="3"/>
        <w:rPr>
          <w:b/>
          <w:bCs/>
          <w:szCs w:val="22"/>
        </w:rPr>
      </w:pPr>
      <w:r w:rsidRPr="005F763D">
        <w:rPr>
          <w:b/>
          <w:bCs/>
          <w:szCs w:val="22"/>
        </w:rPr>
        <w:t>Interest Tax Deductibility</w:t>
      </w:r>
    </w:p>
    <w:p w14:paraId="4A2F569B" w14:textId="130BE901" w:rsidR="00F320D5" w:rsidRDefault="00F320D5" w:rsidP="000D0191">
      <w:pPr>
        <w:spacing w:before="120" w:after="120"/>
      </w:pPr>
      <w:r w:rsidRPr="00AD13A0">
        <w:t xml:space="preserve">Any surplus interest, after reduction of income received from the asset, is tax deductible to the fund to the extent that the fund is a taxable complying fund. </w:t>
      </w:r>
    </w:p>
    <w:p w14:paraId="151A5CCA" w14:textId="0A51A2E0" w:rsidR="00F320D5" w:rsidRDefault="00F320D5" w:rsidP="00F320D5">
      <w:pPr>
        <w:spacing w:after="120"/>
      </w:pPr>
      <w:r w:rsidRPr="00AD13A0">
        <w:t xml:space="preserve">If the loan is </w:t>
      </w:r>
      <w:r>
        <w:t>applie</w:t>
      </w:r>
      <w:r w:rsidR="0021404F">
        <w:t>d</w:t>
      </w:r>
      <w:r>
        <w:t xml:space="preserve"> to </w:t>
      </w:r>
      <w:r w:rsidR="0021404F">
        <w:t xml:space="preserve">an </w:t>
      </w:r>
      <w:r w:rsidR="0021404F" w:rsidRPr="00AD13A0">
        <w:t>accumulation</w:t>
      </w:r>
      <w:r w:rsidRPr="00AD13A0">
        <w:t xml:space="preserve"> </w:t>
      </w:r>
      <w:r>
        <w:t xml:space="preserve">interest, </w:t>
      </w:r>
      <w:r w:rsidRPr="00AD13A0">
        <w:t xml:space="preserve">then the interest is deductible against other taxable income of the fund and will generate a tax credit accordingly. </w:t>
      </w:r>
    </w:p>
    <w:p w14:paraId="2F667B1D" w14:textId="29E3E176" w:rsidR="00F320D5" w:rsidRDefault="00F320D5" w:rsidP="00F320D5">
      <w:pPr>
        <w:spacing w:after="120"/>
      </w:pPr>
      <w:r w:rsidRPr="00AD13A0">
        <w:t xml:space="preserve">If the fund </w:t>
      </w:r>
      <w:r>
        <w:t>has</w:t>
      </w:r>
      <w:r w:rsidRPr="00AD13A0">
        <w:t xml:space="preserve"> </w:t>
      </w:r>
      <w:r w:rsidR="00BC0143">
        <w:t>retirement</w:t>
      </w:r>
      <w:r w:rsidR="0021404F">
        <w:t>-</w:t>
      </w:r>
      <w:r w:rsidR="00BC0143">
        <w:t xml:space="preserve">phase </w:t>
      </w:r>
      <w:r w:rsidRPr="00AD13A0">
        <w:t xml:space="preserve">pension </w:t>
      </w:r>
      <w:r>
        <w:t>interests</w:t>
      </w:r>
      <w:r w:rsidR="00BC0143">
        <w:t xml:space="preserve"> solely</w:t>
      </w:r>
      <w:r w:rsidR="0021404F">
        <w:t>,</w:t>
      </w:r>
      <w:r w:rsidRPr="00AD13A0">
        <w:t xml:space="preserve"> then no tax deduction is available</w:t>
      </w:r>
      <w:r>
        <w:t xml:space="preserve"> </w:t>
      </w:r>
      <w:r w:rsidR="00157347">
        <w:t>to those</w:t>
      </w:r>
      <w:r>
        <w:t xml:space="preserve"> interests</w:t>
      </w:r>
      <w:r w:rsidRPr="00AD13A0">
        <w:t>.</w:t>
      </w:r>
    </w:p>
    <w:p w14:paraId="098DD730" w14:textId="4B58384A" w:rsidR="00F320D5" w:rsidRDefault="00F320D5" w:rsidP="00F320D5">
      <w:pPr>
        <w:spacing w:after="120"/>
      </w:pPr>
      <w:r w:rsidRPr="00A849C9">
        <w:rPr>
          <w:highlight w:val="lightGray"/>
        </w:rPr>
        <w:t>If the fund contains both pension and accumulation accounts and the investment is part of the un-segregated fund assets then the deduction is calculated pro-rata to the value of the accumulation balances as determined by an actuary.</w:t>
      </w:r>
      <w:r w:rsidRPr="00AD13A0">
        <w:t xml:space="preserve"> </w:t>
      </w:r>
    </w:p>
    <w:p w14:paraId="21850323" w14:textId="1274571C" w:rsidR="00F320D5" w:rsidRPr="00AD13A0" w:rsidRDefault="00F320D5" w:rsidP="00F320D5">
      <w:pPr>
        <w:spacing w:after="120"/>
      </w:pPr>
      <w:r w:rsidRPr="00AD13A0">
        <w:t xml:space="preserve">If the fund contains both </w:t>
      </w:r>
      <w:r>
        <w:t xml:space="preserve">segregated </w:t>
      </w:r>
      <w:r w:rsidRPr="00AD13A0">
        <w:t xml:space="preserve">accumulation and pension accounts but the </w:t>
      </w:r>
      <w:r w:rsidRPr="00AD13A0">
        <w:rPr>
          <w:rFonts w:cs="Arial"/>
        </w:rPr>
        <w:t>limited recourse borrowing arrangement</w:t>
      </w:r>
      <w:r w:rsidRPr="00AD13A0">
        <w:t xml:space="preserve"> is wholly </w:t>
      </w:r>
      <w:r w:rsidR="00486C19">
        <w:t>attributable to</w:t>
      </w:r>
      <w:r w:rsidRPr="00AD13A0">
        <w:t xml:space="preserve"> the accumulation members</w:t>
      </w:r>
      <w:r>
        <w:t>,</w:t>
      </w:r>
      <w:r w:rsidRPr="00AD13A0">
        <w:t xml:space="preserve"> or </w:t>
      </w:r>
      <w:r>
        <w:t>accumulation</w:t>
      </w:r>
      <w:r w:rsidRPr="002A5787">
        <w:rPr>
          <w:u w:val="single"/>
        </w:rPr>
        <w:t xml:space="preserve"> </w:t>
      </w:r>
      <w:r w:rsidRPr="00AD13A0">
        <w:t>reserves</w:t>
      </w:r>
      <w:r>
        <w:t>,</w:t>
      </w:r>
      <w:r w:rsidRPr="00AD13A0">
        <w:t xml:space="preserve"> then the interest will be fully deductible.</w:t>
      </w:r>
    </w:p>
    <w:p w14:paraId="6CD53E78" w14:textId="77777777" w:rsidR="006E23CA" w:rsidRPr="005F763D" w:rsidRDefault="006E23CA" w:rsidP="00322DAA">
      <w:pPr>
        <w:tabs>
          <w:tab w:val="left" w:pos="992"/>
          <w:tab w:val="num" w:pos="1224"/>
        </w:tabs>
        <w:outlineLvl w:val="3"/>
        <w:rPr>
          <w:b/>
          <w:bCs/>
          <w:szCs w:val="22"/>
        </w:rPr>
      </w:pPr>
      <w:r w:rsidRPr="005F763D">
        <w:rPr>
          <w:b/>
          <w:bCs/>
          <w:szCs w:val="22"/>
        </w:rPr>
        <w:t xml:space="preserve">What happens on the Death of a </w:t>
      </w:r>
      <w:r w:rsidR="0074490D" w:rsidRPr="005F763D">
        <w:rPr>
          <w:b/>
          <w:bCs/>
          <w:szCs w:val="22"/>
        </w:rPr>
        <w:t>Member?</w:t>
      </w:r>
    </w:p>
    <w:p w14:paraId="25653336" w14:textId="77777777" w:rsidR="00F6310F" w:rsidRDefault="00F6310F" w:rsidP="000D0191">
      <w:pPr>
        <w:spacing w:before="120" w:after="120"/>
      </w:pPr>
      <w:r w:rsidRPr="00AD13A0">
        <w:t>If the</w:t>
      </w:r>
      <w:r>
        <w:t xml:space="preserve"> fund has sufficient other assets to pay out the value of the deceased member’s death benefit, </w:t>
      </w:r>
      <w:r w:rsidRPr="00AD13A0">
        <w:t xml:space="preserve">then </w:t>
      </w:r>
      <w:r>
        <w:t xml:space="preserve">the property </w:t>
      </w:r>
      <w:r w:rsidRPr="00AD13A0">
        <w:t xml:space="preserve">can be maintained </w:t>
      </w:r>
      <w:r>
        <w:t>(</w:t>
      </w:r>
      <w:r w:rsidRPr="00AD13A0">
        <w:t>subject to the Fund</w:t>
      </w:r>
      <w:r>
        <w:t>’s</w:t>
      </w:r>
      <w:r w:rsidRPr="00AD13A0">
        <w:t xml:space="preserve"> investment strategy</w:t>
      </w:r>
      <w:r>
        <w:t>) and the existing LRBA can continue.</w:t>
      </w:r>
    </w:p>
    <w:p w14:paraId="366A5936" w14:textId="77777777" w:rsidR="00F6310F" w:rsidRDefault="00F6310F" w:rsidP="00F6310F">
      <w:r w:rsidRPr="00AD13A0">
        <w:t xml:space="preserve">If </w:t>
      </w:r>
      <w:r>
        <w:t>the property</w:t>
      </w:r>
      <w:r w:rsidRPr="00AD13A0">
        <w:t xml:space="preserve"> must be </w:t>
      </w:r>
      <w:r>
        <w:t>sold</w:t>
      </w:r>
      <w:r w:rsidRPr="00AD13A0">
        <w:t xml:space="preserve"> then the </w:t>
      </w:r>
      <w:r w:rsidRPr="00AD13A0">
        <w:rPr>
          <w:rFonts w:cs="Arial"/>
        </w:rPr>
        <w:t>limited recourse borrowing arrangement</w:t>
      </w:r>
      <w:r w:rsidRPr="00AD13A0">
        <w:t xml:space="preserve"> cannot continue. </w:t>
      </w:r>
    </w:p>
    <w:p w14:paraId="28ED481B" w14:textId="77777777" w:rsidR="00F6310F" w:rsidRPr="00AD13A0" w:rsidRDefault="00F6310F" w:rsidP="00F6310F">
      <w:pPr>
        <w:spacing w:after="120"/>
      </w:pPr>
      <w:r w:rsidRPr="00AD13A0">
        <w:t>The property may be sold</w:t>
      </w:r>
      <w:r>
        <w:t xml:space="preserve"> at fair value to anyone; including a related party of the fund.</w:t>
      </w:r>
    </w:p>
    <w:p w14:paraId="31F40555" w14:textId="77777777" w:rsidR="00F6310F" w:rsidRPr="00AD13A0" w:rsidRDefault="00F6310F" w:rsidP="00F6310F">
      <w:pPr>
        <w:spacing w:after="120"/>
      </w:pPr>
      <w:r>
        <w:t>A</w:t>
      </w:r>
      <w:r w:rsidRPr="00AD13A0">
        <w:t xml:space="preserve">ny number of </w:t>
      </w:r>
      <w:r>
        <w:t xml:space="preserve">other </w:t>
      </w:r>
      <w:r w:rsidRPr="00AD13A0">
        <w:t xml:space="preserve">considerations </w:t>
      </w:r>
      <w:r>
        <w:t>may arise</w:t>
      </w:r>
      <w:r w:rsidRPr="00AD13A0">
        <w:t>:</w:t>
      </w:r>
    </w:p>
    <w:p w14:paraId="797D5954" w14:textId="77777777" w:rsidR="00F6310F" w:rsidRPr="00AD13A0" w:rsidRDefault="00F6310F" w:rsidP="003812CB">
      <w:pPr>
        <w:numPr>
          <w:ilvl w:val="0"/>
          <w:numId w:val="28"/>
        </w:numPr>
        <w:suppressAutoHyphens w:val="0"/>
        <w:spacing w:after="120"/>
      </w:pPr>
      <w:r w:rsidRPr="00AD13A0">
        <w:t xml:space="preserve">Other assets of the Fund may be liquidated </w:t>
      </w:r>
      <w:r>
        <w:t xml:space="preserve">for the deceased’s death benefit </w:t>
      </w:r>
      <w:r w:rsidRPr="00AD13A0">
        <w:t xml:space="preserve">and the proceeds used to pay out the loan and </w:t>
      </w:r>
      <w:r>
        <w:t>the property retained unencumbered</w:t>
      </w:r>
    </w:p>
    <w:p w14:paraId="58D8E858" w14:textId="77777777" w:rsidR="00F6310F" w:rsidRPr="00AD13A0" w:rsidRDefault="00F6310F" w:rsidP="003812CB">
      <w:pPr>
        <w:numPr>
          <w:ilvl w:val="0"/>
          <w:numId w:val="28"/>
        </w:numPr>
        <w:suppressAutoHyphens w:val="0"/>
        <w:spacing w:after="120"/>
      </w:pPr>
      <w:r>
        <w:t>A new LRBA arrangement can be entered into by the remaining fund members.</w:t>
      </w:r>
    </w:p>
    <w:p w14:paraId="6EF715D8" w14:textId="77777777" w:rsidR="00EC3805" w:rsidRPr="00AD13A0" w:rsidRDefault="00EC3805" w:rsidP="00EC3805">
      <w:pPr>
        <w:keepNext/>
        <w:tabs>
          <w:tab w:val="left" w:pos="992"/>
          <w:tab w:val="num" w:pos="1224"/>
        </w:tabs>
        <w:spacing w:before="240" w:after="120"/>
        <w:outlineLvl w:val="3"/>
        <w:rPr>
          <w:b/>
          <w:bCs/>
          <w:szCs w:val="22"/>
        </w:rPr>
      </w:pPr>
      <w:r>
        <w:rPr>
          <w:b/>
          <w:bCs/>
          <w:szCs w:val="22"/>
        </w:rPr>
        <w:t>Acquiring a Property</w:t>
      </w:r>
    </w:p>
    <w:p w14:paraId="180DEEF7" w14:textId="77777777" w:rsidR="00EC3805" w:rsidRPr="00AD13A0" w:rsidRDefault="00EC3805" w:rsidP="00EC3805">
      <w:pPr>
        <w:keepNext/>
        <w:spacing w:after="120"/>
      </w:pPr>
      <w:r>
        <w:t>Most generally, n</w:t>
      </w:r>
      <w:r w:rsidRPr="00AD13A0">
        <w:t>o asset currently owned by the fund can be acquir</w:t>
      </w:r>
      <w:r>
        <w:t>ed under a LRBA.</w:t>
      </w:r>
      <w:r w:rsidRPr="00AD13A0">
        <w:t xml:space="preserve"> </w:t>
      </w:r>
      <w:r>
        <w:t>A</w:t>
      </w:r>
      <w:r w:rsidRPr="00AD13A0">
        <w:t xml:space="preserve">ny </w:t>
      </w:r>
      <w:r>
        <w:t xml:space="preserve">other </w:t>
      </w:r>
      <w:r w:rsidRPr="00AD13A0">
        <w:t xml:space="preserve">asset allowable under the </w:t>
      </w:r>
      <w:r>
        <w:t xml:space="preserve">fund’s trust </w:t>
      </w:r>
      <w:r w:rsidRPr="00AD13A0">
        <w:t xml:space="preserve">deed </w:t>
      </w:r>
      <w:r>
        <w:t xml:space="preserve">and superannuation law </w:t>
      </w:r>
      <w:r w:rsidRPr="00AD13A0">
        <w:t>is acceptable</w:t>
      </w:r>
      <w:r>
        <w:t>. Any desired t</w:t>
      </w:r>
      <w:r w:rsidRPr="00AD13A0">
        <w:t xml:space="preserve">ax deductibility of </w:t>
      </w:r>
      <w:r>
        <w:t>LRBA</w:t>
      </w:r>
      <w:r w:rsidRPr="00AD13A0">
        <w:t xml:space="preserve"> interest</w:t>
      </w:r>
      <w:r>
        <w:t xml:space="preserve"> to the fund implies that an </w:t>
      </w:r>
      <w:r w:rsidRPr="00AD13A0">
        <w:t xml:space="preserve">income producing </w:t>
      </w:r>
      <w:r>
        <w:t>property</w:t>
      </w:r>
      <w:r w:rsidRPr="00AD13A0">
        <w:t xml:space="preserve"> would </w:t>
      </w:r>
      <w:r>
        <w:t>appropriate</w:t>
      </w:r>
      <w:r w:rsidRPr="00AD13A0">
        <w:t xml:space="preserve">. </w:t>
      </w:r>
    </w:p>
    <w:p w14:paraId="699537FE" w14:textId="77777777" w:rsidR="00EC3805" w:rsidRDefault="00EC3805" w:rsidP="00EC3805">
      <w:pPr>
        <w:spacing w:after="120"/>
      </w:pPr>
      <w:r>
        <w:t xml:space="preserve">Superannuation Law </w:t>
      </w:r>
      <w:r w:rsidRPr="00AD13A0">
        <w:t>restrictions apply</w:t>
      </w:r>
      <w:r>
        <w:t>:</w:t>
      </w:r>
    </w:p>
    <w:p w14:paraId="1C92094E" w14:textId="77777777" w:rsidR="00EC3805" w:rsidRDefault="00EC3805" w:rsidP="003812CB">
      <w:pPr>
        <w:pStyle w:val="ListParagraph"/>
        <w:numPr>
          <w:ilvl w:val="0"/>
          <w:numId w:val="29"/>
        </w:numPr>
        <w:spacing w:after="120"/>
      </w:pPr>
      <w:r w:rsidRPr="00335B4F">
        <w:t>prohibi</w:t>
      </w:r>
      <w:r>
        <w:t xml:space="preserve">ting the purchase of a property from a related party </w:t>
      </w:r>
      <w:r w:rsidRPr="002A5787">
        <w:rPr>
          <w:vertAlign w:val="superscript"/>
        </w:rPr>
        <w:t>[1]</w:t>
      </w:r>
      <w:r>
        <w:t xml:space="preserve"> unless it is business real property</w:t>
      </w:r>
    </w:p>
    <w:p w14:paraId="297BBCBF" w14:textId="77777777" w:rsidR="00EC3805" w:rsidRDefault="00EC3805" w:rsidP="003812CB">
      <w:pPr>
        <w:pStyle w:val="ListParagraph"/>
        <w:numPr>
          <w:ilvl w:val="0"/>
          <w:numId w:val="29"/>
        </w:numPr>
        <w:spacing w:after="120"/>
      </w:pPr>
      <w:r>
        <w:t>prohibiting the use of residential property, purchased from a non-related party, for the personal benefit of members</w:t>
      </w:r>
    </w:p>
    <w:p w14:paraId="0B04A2D6" w14:textId="77777777" w:rsidR="00EC3805" w:rsidRDefault="00EC3805" w:rsidP="003812CB">
      <w:pPr>
        <w:pStyle w:val="ListParagraph"/>
        <w:numPr>
          <w:ilvl w:val="0"/>
          <w:numId w:val="29"/>
        </w:numPr>
        <w:spacing w:after="120"/>
      </w:pPr>
      <w:r>
        <w:t>requiring purchased property to be valued at</w:t>
      </w:r>
      <w:r w:rsidRPr="00335B4F">
        <w:t xml:space="preserve"> arm</w:t>
      </w:r>
      <w:r>
        <w:t>’</w:t>
      </w:r>
      <w:r w:rsidRPr="00335B4F">
        <w:t xml:space="preserve">s-length </w:t>
      </w:r>
      <w:r>
        <w:t>both at initial purchase and ongoing.</w:t>
      </w:r>
      <w:r w:rsidRPr="00335B4F">
        <w:t xml:space="preserve"> </w:t>
      </w:r>
    </w:p>
    <w:p w14:paraId="4BE7AF1A" w14:textId="77777777" w:rsidR="00EC3805" w:rsidRPr="002A5787" w:rsidRDefault="00EC3805" w:rsidP="00EC3805">
      <w:pPr>
        <w:keepNext/>
        <w:keepLines/>
        <w:spacing w:after="120"/>
        <w:rPr>
          <w:sz w:val="16"/>
          <w:szCs w:val="16"/>
        </w:rPr>
      </w:pPr>
      <w:r w:rsidRPr="002A5787">
        <w:rPr>
          <w:sz w:val="16"/>
          <w:szCs w:val="16"/>
        </w:rPr>
        <w:t xml:space="preserve">[1] The acquisition of an asset from a member or associate realises a capital gains tax event even though the beneficial ownership may not appear to change. </w:t>
      </w:r>
    </w:p>
    <w:p w14:paraId="12355D9A" w14:textId="77777777" w:rsidR="00EC3805" w:rsidRDefault="00EC3805" w:rsidP="00EC3805">
      <w:pPr>
        <w:spacing w:after="120"/>
      </w:pPr>
      <w:r w:rsidRPr="00AD13A0">
        <w:t>It is important that arms</w:t>
      </w:r>
      <w:r>
        <w:t>-</w:t>
      </w:r>
      <w:r w:rsidRPr="00AD13A0">
        <w:t>length considerations be applied at all times. If, in purchasing a commercial property from an associated party the SMSF acquires</w:t>
      </w:r>
      <w:r>
        <w:t xml:space="preserve"> the property at less than arms-</w:t>
      </w:r>
      <w:r w:rsidRPr="00AD13A0">
        <w:t>length or, receives greater or less than arms</w:t>
      </w:r>
      <w:r>
        <w:t>-</w:t>
      </w:r>
      <w:r w:rsidRPr="00AD13A0">
        <w:t xml:space="preserve">length rental or acquires the asset under a warrant arrangement involving finance from an associated party at less than market interest then the whole of the </w:t>
      </w:r>
      <w:r w:rsidRPr="00AD13A0">
        <w:lastRenderedPageBreak/>
        <w:t>income generated by the property could be taxed at 45%, any interest discount could be counted against contribution caps and/or the arrangement could breach the sole purpose test.</w:t>
      </w:r>
    </w:p>
    <w:p w14:paraId="1A008657" w14:textId="77777777" w:rsidR="00EC3805" w:rsidRPr="002A5787" w:rsidRDefault="00EC3805" w:rsidP="00EC3805">
      <w:pPr>
        <w:keepNext/>
        <w:keepLines/>
        <w:tabs>
          <w:tab w:val="left" w:pos="992"/>
          <w:tab w:val="num" w:pos="1224"/>
        </w:tabs>
        <w:spacing w:before="240" w:after="120"/>
        <w:outlineLvl w:val="3"/>
        <w:rPr>
          <w:b/>
          <w:bCs/>
          <w:szCs w:val="22"/>
        </w:rPr>
      </w:pPr>
      <w:r w:rsidRPr="002A5787">
        <w:rPr>
          <w:b/>
          <w:bCs/>
          <w:szCs w:val="22"/>
        </w:rPr>
        <w:t>Transfer Balance Cap</w:t>
      </w:r>
    </w:p>
    <w:p w14:paraId="39A9B490" w14:textId="77777777" w:rsidR="00EC3805" w:rsidRDefault="00EC3805" w:rsidP="00EC3805">
      <w:pPr>
        <w:spacing w:after="120"/>
      </w:pPr>
      <w:r>
        <w:t xml:space="preserve">The aggregate value of any member’s eligible Retirement Income Stream interests, with any one or more of these interests having property assets backing exempt pension income, cannot exceed one’s applicable personal Transfer Balance Cap (TBC). </w:t>
      </w:r>
    </w:p>
    <w:p w14:paraId="212E7413" w14:textId="195061DE" w:rsidR="00EC3805" w:rsidRDefault="00EC3805" w:rsidP="00EC3805">
      <w:pPr>
        <w:spacing w:after="120"/>
      </w:pPr>
      <w:r>
        <w:t>Some income streams are not Retirement Income Streams under the TBC provisions.</w:t>
      </w:r>
    </w:p>
    <w:p w14:paraId="3BC752A6" w14:textId="5A824747" w:rsidR="00B83ACC" w:rsidRPr="00B83ACC" w:rsidRDefault="00B83ACC" w:rsidP="00B83ACC">
      <w:pPr>
        <w:keepNext/>
        <w:keepLines/>
        <w:tabs>
          <w:tab w:val="left" w:pos="992"/>
          <w:tab w:val="num" w:pos="1224"/>
        </w:tabs>
        <w:spacing w:before="240" w:after="120"/>
        <w:outlineLvl w:val="3"/>
        <w:rPr>
          <w:b/>
          <w:bCs/>
          <w:szCs w:val="22"/>
        </w:rPr>
      </w:pPr>
      <w:r w:rsidRPr="00B83ACC">
        <w:rPr>
          <w:b/>
          <w:bCs/>
          <w:szCs w:val="22"/>
        </w:rPr>
        <w:t>Total Superannuation Balance</w:t>
      </w:r>
    </w:p>
    <w:p w14:paraId="3F163842" w14:textId="77777777" w:rsidR="00B83ACC" w:rsidRDefault="00B83ACC" w:rsidP="00B83ACC">
      <w:pPr>
        <w:spacing w:after="120"/>
      </w:pPr>
      <w:r w:rsidRPr="00C32A42">
        <w:t>When a</w:t>
      </w:r>
      <w:r>
        <w:t>n</w:t>
      </w:r>
      <w:r w:rsidRPr="00C32A42">
        <w:t xml:space="preserve"> SMSF has refinanced a Limited Recourse Borrowing Arrangement (LRBA) after 1 July 2018 and the original borrowing occurred before 1 July 2018, the refinanced amount will not be counted towards the determination of the member’s </w:t>
      </w:r>
      <w:commentRangeStart w:id="71"/>
      <w:r w:rsidRPr="00C32A42">
        <w:t>TSB</w:t>
      </w:r>
      <w:commentRangeEnd w:id="71"/>
      <w:r>
        <w:rPr>
          <w:rStyle w:val="CommentReference"/>
          <w:color w:val="auto"/>
          <w:lang w:eastAsia="ja-JP"/>
        </w:rPr>
        <w:commentReference w:id="71"/>
      </w:r>
      <w:r w:rsidRPr="00C32A42">
        <w:t>.</w:t>
      </w:r>
    </w:p>
    <w:p w14:paraId="22EE8A49" w14:textId="2B4E92BA" w:rsidR="00C02002" w:rsidRPr="00C02002" w:rsidRDefault="00C02002" w:rsidP="00C02002">
      <w:pPr>
        <w:keepNext/>
        <w:keepLines/>
        <w:tabs>
          <w:tab w:val="left" w:pos="992"/>
          <w:tab w:val="num" w:pos="1224"/>
        </w:tabs>
        <w:spacing w:before="240" w:after="120"/>
        <w:outlineLvl w:val="3"/>
        <w:rPr>
          <w:b/>
          <w:bCs/>
          <w:szCs w:val="22"/>
        </w:rPr>
      </w:pPr>
      <w:r w:rsidRPr="00C02002">
        <w:rPr>
          <w:b/>
          <w:bCs/>
          <w:szCs w:val="22"/>
        </w:rPr>
        <w:t xml:space="preserve">Transfer </w:t>
      </w:r>
      <w:r w:rsidR="007F5AD1">
        <w:rPr>
          <w:b/>
          <w:bCs/>
          <w:szCs w:val="22"/>
        </w:rPr>
        <w:t>B</w:t>
      </w:r>
      <w:r w:rsidRPr="00C02002">
        <w:rPr>
          <w:b/>
          <w:bCs/>
          <w:szCs w:val="22"/>
        </w:rPr>
        <w:t>alance Account</w:t>
      </w:r>
    </w:p>
    <w:p w14:paraId="1A932566" w14:textId="7E8C0BE0" w:rsidR="00705D1E" w:rsidRDefault="00705D1E" w:rsidP="00322DAA">
      <w:r>
        <w:t>If a superannuation provider, after 1 July 2017, made a</w:t>
      </w:r>
      <w:r w:rsidR="00C02002">
        <w:t>n LRBA loan</w:t>
      </w:r>
      <w:r>
        <w:t xml:space="preserve"> payment that increased a pension interest at the expense of an accumulation </w:t>
      </w:r>
      <w:commentRangeStart w:id="72"/>
      <w:r>
        <w:t>interest</w:t>
      </w:r>
      <w:commentRangeEnd w:id="72"/>
      <w:r>
        <w:rPr>
          <w:rStyle w:val="CommentReference"/>
          <w:color w:val="auto"/>
          <w:lang w:eastAsia="ja-JP"/>
        </w:rPr>
        <w:commentReference w:id="72"/>
      </w:r>
      <w:r w:rsidR="00C02002">
        <w:t xml:space="preserve">, that payment is credited to the </w:t>
      </w:r>
      <w:r w:rsidR="007F5AD1">
        <w:t xml:space="preserve">member’s </w:t>
      </w:r>
      <w:r w:rsidR="00C02002">
        <w:t>TBA.</w:t>
      </w:r>
    </w:p>
    <w:p w14:paraId="38A653E5" w14:textId="77777777" w:rsidR="00705D1E" w:rsidRPr="005F763D" w:rsidRDefault="00705D1E" w:rsidP="00322DAA"/>
    <w:p w14:paraId="07C6B449" w14:textId="789B5A64" w:rsidR="006E23CA" w:rsidRPr="005F763D" w:rsidRDefault="006E23CA" w:rsidP="00322DAA">
      <w:pPr>
        <w:tabs>
          <w:tab w:val="left" w:pos="992"/>
          <w:tab w:val="num" w:pos="1224"/>
        </w:tabs>
        <w:outlineLvl w:val="3"/>
        <w:rPr>
          <w:b/>
          <w:bCs/>
          <w:szCs w:val="22"/>
        </w:rPr>
      </w:pPr>
      <w:r w:rsidRPr="005F763D">
        <w:rPr>
          <w:b/>
          <w:bCs/>
          <w:szCs w:val="22"/>
        </w:rPr>
        <w:t>Ongoing maintenance</w:t>
      </w:r>
      <w:r w:rsidR="00672C14">
        <w:rPr>
          <w:b/>
          <w:bCs/>
          <w:szCs w:val="22"/>
        </w:rPr>
        <w:t xml:space="preserve"> of a Property asset</w:t>
      </w:r>
    </w:p>
    <w:p w14:paraId="618CE9EA" w14:textId="77777777" w:rsidR="00EC3805" w:rsidRPr="00AD13A0" w:rsidRDefault="00EC3805" w:rsidP="000D0191">
      <w:pPr>
        <w:autoSpaceDE w:val="0"/>
        <w:autoSpaceDN w:val="0"/>
        <w:adjustRightInd w:val="0"/>
        <w:spacing w:before="120" w:after="120"/>
      </w:pPr>
      <w:r w:rsidRPr="00AD13A0">
        <w:t>Ongoing management and maintenance of the property is the responsibility of SMSF trustees</w:t>
      </w:r>
      <w:r>
        <w:t>; not the holding trust trustees</w:t>
      </w:r>
      <w:r w:rsidRPr="00AD13A0">
        <w:t xml:space="preserve">. All rental/lease income should be banked into the SMSF bank account, and all expenses in relation to the property paid by the SMSF. </w:t>
      </w:r>
    </w:p>
    <w:p w14:paraId="75F6ADD1" w14:textId="77777777" w:rsidR="00EC3805" w:rsidRPr="00AD13A0" w:rsidRDefault="00EC3805" w:rsidP="00EC3805">
      <w:pPr>
        <w:autoSpaceDE w:val="0"/>
        <w:autoSpaceDN w:val="0"/>
        <w:adjustRightInd w:val="0"/>
        <w:spacing w:after="120"/>
      </w:pPr>
      <w:r w:rsidRPr="00AD13A0">
        <w:t xml:space="preserve">All accounting requirements in relation to the </w:t>
      </w:r>
      <w:r w:rsidRPr="00AD13A0">
        <w:rPr>
          <w:rFonts w:cs="Arial"/>
        </w:rPr>
        <w:t>limited recourse borrowing arrangement</w:t>
      </w:r>
      <w:r w:rsidRPr="00AD13A0">
        <w:t xml:space="preserve"> will be carried out within the SMSF by the accountant/administrator who is responsible for the year end accounting, compliance and audit work.</w:t>
      </w:r>
    </w:p>
    <w:p w14:paraId="6A9F1751" w14:textId="054FA9B6" w:rsidR="006E23CA" w:rsidRPr="000D0191" w:rsidRDefault="006E23CA" w:rsidP="000D0191">
      <w:pPr>
        <w:tabs>
          <w:tab w:val="left" w:pos="992"/>
          <w:tab w:val="num" w:pos="1224"/>
        </w:tabs>
        <w:outlineLvl w:val="3"/>
        <w:rPr>
          <w:b/>
          <w:bCs/>
          <w:szCs w:val="22"/>
        </w:rPr>
      </w:pPr>
      <w:r w:rsidRPr="000D0191">
        <w:rPr>
          <w:b/>
          <w:bCs/>
          <w:szCs w:val="22"/>
        </w:rPr>
        <w:t>Reasons for recommendation</w:t>
      </w:r>
      <w:r w:rsidR="00EC3805">
        <w:rPr>
          <w:b/>
          <w:bCs/>
          <w:szCs w:val="22"/>
        </w:rPr>
        <w:t xml:space="preserve">  </w:t>
      </w:r>
    </w:p>
    <w:p w14:paraId="0062CEED" w14:textId="77777777" w:rsidR="006E23CA" w:rsidRPr="005F763D"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5F763D">
        <w:rPr>
          <w:rFonts w:cs="Arial"/>
        </w:rPr>
        <w:t>Achieve leveraged returns within the superannuation environment.</w:t>
      </w:r>
    </w:p>
    <w:p w14:paraId="69A909AD"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Diversify your portfolio into the direct property market or sector.</w:t>
      </w:r>
    </w:p>
    <w:p w14:paraId="14E518CE"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Earn rental income with taxation benefits.</w:t>
      </w:r>
    </w:p>
    <w:p w14:paraId="33F5485D"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Access potential capital growth.</w:t>
      </w:r>
    </w:p>
    <w:p w14:paraId="63E5F418"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Access to gearing without the risk of a margin call.</w:t>
      </w:r>
    </w:p>
    <w:p w14:paraId="07D23488"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There is no CGT on transfer of the property to the investor.</w:t>
      </w:r>
    </w:p>
    <w:p w14:paraId="263609E5"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Ability to acquire real business property for lease to a related business operation.</w:t>
      </w:r>
    </w:p>
    <w:p w14:paraId="02264A6C"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Potentially up to 100% tax advantaged investment depending on your circumstances*.</w:t>
      </w:r>
    </w:p>
    <w:p w14:paraId="1201B581"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As SMSF’s cannot borrow to fund property, many have trouble adding property to their portfolio. A Limited Recourse Loan allows SMSF’s to invest in property immediately.</w:t>
      </w:r>
    </w:p>
    <w:p w14:paraId="669CC60B"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 xml:space="preserve">Property investments via Limited Recourse Loans suit your portfolio within your SMSF as they build long term wealth in a tax effective manner and offer you leveraged gearing without margin calls.  </w:t>
      </w:r>
    </w:p>
    <w:p w14:paraId="27667CF9" w14:textId="77777777" w:rsidR="00322DAA" w:rsidRPr="005F763D" w:rsidRDefault="00322DAA" w:rsidP="00322DAA">
      <w:pPr>
        <w:tabs>
          <w:tab w:val="left" w:pos="992"/>
          <w:tab w:val="num" w:pos="1224"/>
        </w:tabs>
        <w:outlineLvl w:val="3"/>
        <w:rPr>
          <w:b/>
          <w:bCs/>
          <w:color w:val="FF0000"/>
          <w:szCs w:val="22"/>
        </w:rPr>
      </w:pPr>
    </w:p>
    <w:p w14:paraId="21D5224B" w14:textId="77777777" w:rsidR="006E23CA" w:rsidRPr="000D0191" w:rsidRDefault="006E23CA" w:rsidP="00322DAA">
      <w:pPr>
        <w:tabs>
          <w:tab w:val="left" w:pos="992"/>
          <w:tab w:val="num" w:pos="1224"/>
        </w:tabs>
        <w:outlineLvl w:val="3"/>
        <w:rPr>
          <w:b/>
          <w:bCs/>
          <w:szCs w:val="22"/>
        </w:rPr>
      </w:pPr>
      <w:r w:rsidRPr="000D0191">
        <w:rPr>
          <w:b/>
          <w:bCs/>
          <w:szCs w:val="22"/>
        </w:rPr>
        <w:t>Stamp Duty</w:t>
      </w:r>
    </w:p>
    <w:p w14:paraId="089155D1" w14:textId="77777777" w:rsidR="006E23CA" w:rsidRPr="000D0191" w:rsidRDefault="006E23CA" w:rsidP="000D0191">
      <w:pPr>
        <w:spacing w:before="120"/>
        <w:rPr>
          <w:color w:val="auto"/>
        </w:rPr>
      </w:pPr>
      <w:r w:rsidRPr="000D0191">
        <w:rPr>
          <w:color w:val="auto"/>
        </w:rPr>
        <w:t>Stamp duty laws are State based, vary widely and will be applied accordingly. This cost should be ascertained prior to proceeding.</w:t>
      </w:r>
    </w:p>
    <w:p w14:paraId="4A95D9BD" w14:textId="77777777" w:rsidR="00322DAA" w:rsidRPr="005F763D" w:rsidRDefault="00322DAA" w:rsidP="00322DAA">
      <w:pPr>
        <w:rPr>
          <w:color w:val="FF0000"/>
        </w:rPr>
      </w:pPr>
    </w:p>
    <w:p w14:paraId="749F4157" w14:textId="77777777" w:rsidR="00322DAA" w:rsidRPr="005F763D" w:rsidRDefault="00322DAA" w:rsidP="00322DAA">
      <w:pPr>
        <w:rPr>
          <w:color w:val="FF0000"/>
        </w:rPr>
      </w:pPr>
    </w:p>
    <w:p w14:paraId="7A7E8324" w14:textId="77777777" w:rsidR="003B0B14" w:rsidRPr="000D0191" w:rsidRDefault="003B0B14" w:rsidP="00322DAA">
      <w:pPr>
        <w:rPr>
          <w:b/>
        </w:rPr>
      </w:pPr>
      <w:r w:rsidRPr="000D0191">
        <w:rPr>
          <w:b/>
        </w:rPr>
        <w:t>Please refer to the appendices section of this Statement of Advice for additional information with regards using the Limited Recourse Borrowing Arrangements.</w:t>
      </w:r>
    </w:p>
    <w:p w14:paraId="6279F443" w14:textId="07F2A98F" w:rsidR="003B0B14" w:rsidRDefault="003B0B14" w:rsidP="00322DAA"/>
    <w:p w14:paraId="035F92CB" w14:textId="64A62497" w:rsidR="000E7061" w:rsidRDefault="000E7061" w:rsidP="00322DAA"/>
    <w:p w14:paraId="194154C0" w14:textId="5A798876" w:rsidR="000E7061" w:rsidRDefault="000E7061" w:rsidP="00322DAA"/>
    <w:p w14:paraId="7ACDEA74" w14:textId="3F40BB02" w:rsidR="00D21E91" w:rsidRPr="000E7061" w:rsidRDefault="000E7061" w:rsidP="007562F9">
      <w:pPr>
        <w:rPr>
          <w:b/>
        </w:rPr>
      </w:pPr>
      <w:r w:rsidRPr="000E7061">
        <w:rPr>
          <w:b/>
        </w:rPr>
        <w:t>Further Detail continued</w:t>
      </w:r>
    </w:p>
    <w:p w14:paraId="435B1768" w14:textId="77777777" w:rsidR="007562F9" w:rsidRPr="005F763D" w:rsidRDefault="007562F9" w:rsidP="007562F9"/>
    <w:p w14:paraId="189DD184" w14:textId="77777777" w:rsidR="007562F9" w:rsidRPr="005F763D" w:rsidRDefault="007562F9" w:rsidP="007562F9">
      <w:r w:rsidRPr="005F763D">
        <w:t>We can liaise with the loan provider once it has been confirmed the purchase of the property will be proceeding.</w:t>
      </w:r>
    </w:p>
    <w:p w14:paraId="797B7B88" w14:textId="77777777" w:rsidR="007562F9" w:rsidRPr="005F763D" w:rsidRDefault="007562F9" w:rsidP="007562F9"/>
    <w:p w14:paraId="113F14A8" w14:textId="33103184" w:rsidR="007562F9" w:rsidRPr="005F763D" w:rsidRDefault="007562F9" w:rsidP="007562F9">
      <w:pPr>
        <w:rPr>
          <w:szCs w:val="20"/>
        </w:rPr>
      </w:pPr>
      <w:r w:rsidRPr="005F763D">
        <w:rPr>
          <w:szCs w:val="20"/>
        </w:rPr>
        <w:t>The general lending criteria for this arrangement is as follows:</w:t>
      </w:r>
      <w:r>
        <w:rPr>
          <w:szCs w:val="20"/>
        </w:rPr>
        <w:t xml:space="preserve"> </w:t>
      </w:r>
    </w:p>
    <w:p w14:paraId="3C083B70" w14:textId="10031FDF" w:rsidR="007562F9" w:rsidRPr="005F763D" w:rsidRDefault="007562F9" w:rsidP="003812CB">
      <w:pPr>
        <w:numPr>
          <w:ilvl w:val="0"/>
          <w:numId w:val="32"/>
        </w:numPr>
        <w:spacing w:after="120"/>
        <w:jc w:val="left"/>
        <w:rPr>
          <w:szCs w:val="20"/>
        </w:rPr>
      </w:pPr>
      <w:r w:rsidRPr="005F763D">
        <w:rPr>
          <w:szCs w:val="20"/>
        </w:rPr>
        <w:t>Banks will only lend between 60% to 70% on Commercial Properties and between 7</w:t>
      </w:r>
      <w:r w:rsidR="009603C6">
        <w:rPr>
          <w:szCs w:val="20"/>
        </w:rPr>
        <w:t>0</w:t>
      </w:r>
      <w:r w:rsidRPr="005F763D">
        <w:rPr>
          <w:szCs w:val="20"/>
        </w:rPr>
        <w:t xml:space="preserve">% to 80% for residential (with use of a Corporate Trustee) of the property’s purchase price (not including GST or Stamp </w:t>
      </w:r>
      <w:commentRangeStart w:id="73"/>
      <w:r w:rsidRPr="005F763D">
        <w:rPr>
          <w:szCs w:val="20"/>
        </w:rPr>
        <w:t>Duty</w:t>
      </w:r>
      <w:commentRangeEnd w:id="73"/>
      <w:r w:rsidR="009603C6">
        <w:rPr>
          <w:rStyle w:val="CommentReference"/>
          <w:color w:val="auto"/>
          <w:lang w:eastAsia="ja-JP"/>
        </w:rPr>
        <w:commentReference w:id="73"/>
      </w:r>
      <w:r w:rsidRPr="005F763D">
        <w:rPr>
          <w:szCs w:val="20"/>
        </w:rPr>
        <w:t>).</w:t>
      </w:r>
    </w:p>
    <w:p w14:paraId="22DCF954" w14:textId="77777777" w:rsidR="007562F9" w:rsidRPr="005F763D" w:rsidRDefault="007562F9" w:rsidP="003812CB">
      <w:pPr>
        <w:numPr>
          <w:ilvl w:val="0"/>
          <w:numId w:val="32"/>
        </w:numPr>
        <w:spacing w:after="120"/>
        <w:jc w:val="left"/>
        <w:rPr>
          <w:szCs w:val="20"/>
        </w:rPr>
      </w:pPr>
      <w:r w:rsidRPr="005F763D">
        <w:rPr>
          <w:szCs w:val="20"/>
        </w:rPr>
        <w:t>They will only offer a maximum loan term between 1 to 30 years.</w:t>
      </w:r>
    </w:p>
    <w:p w14:paraId="1255C37D" w14:textId="77777777" w:rsidR="007562F9" w:rsidRPr="005F763D" w:rsidRDefault="007562F9" w:rsidP="003812CB">
      <w:pPr>
        <w:numPr>
          <w:ilvl w:val="0"/>
          <w:numId w:val="32"/>
        </w:numPr>
        <w:spacing w:after="120"/>
        <w:jc w:val="left"/>
        <w:rPr>
          <w:szCs w:val="20"/>
        </w:rPr>
      </w:pPr>
      <w:r w:rsidRPr="005F763D">
        <w:rPr>
          <w:szCs w:val="20"/>
        </w:rPr>
        <w:t>They offer Principal &amp; Interest and Interest only repayments.</w:t>
      </w:r>
    </w:p>
    <w:p w14:paraId="7F39602F" w14:textId="77777777" w:rsidR="007562F9" w:rsidRPr="005F763D" w:rsidRDefault="007562F9" w:rsidP="003812CB">
      <w:pPr>
        <w:numPr>
          <w:ilvl w:val="0"/>
          <w:numId w:val="32"/>
        </w:numPr>
        <w:spacing w:after="120"/>
        <w:jc w:val="left"/>
        <w:rPr>
          <w:szCs w:val="20"/>
        </w:rPr>
      </w:pPr>
      <w:r w:rsidRPr="005F763D">
        <w:rPr>
          <w:szCs w:val="20"/>
        </w:rPr>
        <w:lastRenderedPageBreak/>
        <w:t>They also offer variable and fixed interest options.</w:t>
      </w:r>
    </w:p>
    <w:p w14:paraId="572BD9BE" w14:textId="77777777" w:rsidR="007562F9" w:rsidRPr="005F763D" w:rsidRDefault="007562F9" w:rsidP="003812CB">
      <w:pPr>
        <w:numPr>
          <w:ilvl w:val="0"/>
          <w:numId w:val="32"/>
        </w:numPr>
        <w:spacing w:after="120"/>
        <w:jc w:val="left"/>
        <w:rPr>
          <w:szCs w:val="20"/>
        </w:rPr>
      </w:pPr>
      <w:r w:rsidRPr="005F763D">
        <w:rPr>
          <w:szCs w:val="20"/>
        </w:rPr>
        <w:t>Some banks charge an establishment fee for these loans – this will be confirmed once a suitable product has been sourced.</w:t>
      </w:r>
    </w:p>
    <w:p w14:paraId="484D32CD" w14:textId="77777777" w:rsidR="007562F9" w:rsidRPr="005F763D" w:rsidRDefault="007562F9" w:rsidP="003812CB">
      <w:pPr>
        <w:numPr>
          <w:ilvl w:val="0"/>
          <w:numId w:val="32"/>
        </w:numPr>
        <w:spacing w:after="120"/>
        <w:jc w:val="left"/>
        <w:rPr>
          <w:szCs w:val="20"/>
        </w:rPr>
      </w:pPr>
      <w:r w:rsidRPr="005F763D">
        <w:rPr>
          <w:szCs w:val="20"/>
        </w:rPr>
        <w:t>There will be additional legal fees as the banks use an external supplier to review your SMSF Trust Deed, Corporate Trustee Document and Custodian Trustee Documents.</w:t>
      </w:r>
    </w:p>
    <w:p w14:paraId="54A2C813" w14:textId="77777777" w:rsidR="007562F9" w:rsidRPr="005F763D" w:rsidRDefault="007562F9" w:rsidP="003812CB">
      <w:pPr>
        <w:numPr>
          <w:ilvl w:val="0"/>
          <w:numId w:val="32"/>
        </w:numPr>
        <w:spacing w:after="120"/>
        <w:jc w:val="left"/>
        <w:rPr>
          <w:szCs w:val="20"/>
        </w:rPr>
      </w:pPr>
      <w:r w:rsidRPr="005F763D">
        <w:rPr>
          <w:szCs w:val="20"/>
        </w:rPr>
        <w:t>The banks also would like clients to be aware that it is not the banks responsibility for ensuring that the loan and the acquisition of the security property complies with the relevant legal and tax requirements.</w:t>
      </w:r>
    </w:p>
    <w:p w14:paraId="03E2666F" w14:textId="77777777" w:rsidR="007562F9" w:rsidRPr="005F763D" w:rsidRDefault="007562F9" w:rsidP="003812CB">
      <w:pPr>
        <w:numPr>
          <w:ilvl w:val="0"/>
          <w:numId w:val="32"/>
        </w:numPr>
        <w:spacing w:after="120"/>
        <w:jc w:val="left"/>
        <w:rPr>
          <w:szCs w:val="20"/>
        </w:rPr>
      </w:pPr>
      <w:r w:rsidRPr="005F763D">
        <w:rPr>
          <w:szCs w:val="20"/>
        </w:rPr>
        <w:t>That you understand the risks with gearing into investments.</w:t>
      </w:r>
    </w:p>
    <w:p w14:paraId="1F806886" w14:textId="77777777" w:rsidR="007562F9" w:rsidRPr="005F763D" w:rsidRDefault="007562F9" w:rsidP="003812CB">
      <w:pPr>
        <w:numPr>
          <w:ilvl w:val="0"/>
          <w:numId w:val="32"/>
        </w:numPr>
        <w:spacing w:after="120"/>
        <w:jc w:val="left"/>
        <w:rPr>
          <w:szCs w:val="20"/>
        </w:rPr>
      </w:pPr>
      <w:r w:rsidRPr="005F763D">
        <w:rPr>
          <w:szCs w:val="20"/>
        </w:rPr>
        <w:t>That regular repayments are made on the loan.</w:t>
      </w:r>
    </w:p>
    <w:p w14:paraId="759850F1" w14:textId="77777777" w:rsidR="007562F9" w:rsidRPr="005F763D" w:rsidRDefault="007562F9" w:rsidP="004E035D">
      <w:pPr>
        <w:numPr>
          <w:ilvl w:val="0"/>
          <w:numId w:val="11"/>
        </w:numPr>
        <w:jc w:val="left"/>
        <w:rPr>
          <w:szCs w:val="20"/>
        </w:rPr>
      </w:pPr>
      <w:r w:rsidRPr="005F763D">
        <w:rPr>
          <w:szCs w:val="20"/>
        </w:rPr>
        <w:t>By using bank funding to fund the balance of the property, the bank will be able to lend the funds to your super fund at commercial bank rates, which are based on the current residential variable interest rate.</w:t>
      </w:r>
    </w:p>
    <w:p w14:paraId="6F661360" w14:textId="77777777" w:rsidR="007562F9" w:rsidRPr="005F763D" w:rsidRDefault="007562F9" w:rsidP="004E035D">
      <w:pPr>
        <w:numPr>
          <w:ilvl w:val="0"/>
          <w:numId w:val="11"/>
        </w:numPr>
        <w:jc w:val="left"/>
        <w:rPr>
          <w:szCs w:val="20"/>
        </w:rPr>
      </w:pPr>
    </w:p>
    <w:p w14:paraId="3A024462" w14:textId="77777777" w:rsidR="007562F9" w:rsidRPr="005F763D" w:rsidRDefault="007562F9" w:rsidP="004E035D">
      <w:pPr>
        <w:numPr>
          <w:ilvl w:val="0"/>
          <w:numId w:val="11"/>
        </w:numPr>
        <w:jc w:val="left"/>
        <w:rPr>
          <w:szCs w:val="20"/>
        </w:rPr>
      </w:pPr>
      <w:r w:rsidRPr="005F763D">
        <w:rPr>
          <w:szCs w:val="20"/>
        </w:rPr>
        <w:t>The interest expense from the funds used will be classified as deductible debt for which your superannuation fund can claim a tax deduction.</w:t>
      </w:r>
    </w:p>
    <w:p w14:paraId="725AA920" w14:textId="77777777" w:rsidR="007562F9" w:rsidRPr="005F763D" w:rsidRDefault="007562F9" w:rsidP="00322DAA"/>
    <w:p w14:paraId="0738D2AB" w14:textId="77777777" w:rsidR="003B0B14" w:rsidRPr="000D0191" w:rsidRDefault="003B0B14" w:rsidP="003B0B14">
      <w:pPr>
        <w:rPr>
          <w:color w:val="002060"/>
          <w:sz w:val="24"/>
        </w:rPr>
      </w:pPr>
      <w:r w:rsidRPr="000D0191">
        <w:rPr>
          <w:color w:val="002060"/>
          <w:sz w:val="24"/>
        </w:rPr>
        <w:t>Fees and Charges</w:t>
      </w:r>
    </w:p>
    <w:p w14:paraId="29F6AFA8" w14:textId="77777777" w:rsidR="003B0B14" w:rsidRPr="005F763D" w:rsidRDefault="003B0B14" w:rsidP="003B0B14">
      <w:r w:rsidRPr="005F763D">
        <w:t xml:space="preserve">Please refer to the </w:t>
      </w:r>
      <w:r w:rsidRPr="005F763D">
        <w:rPr>
          <w:i/>
        </w:rPr>
        <w:t>Fees, Charges &amp; Other Interests</w:t>
      </w:r>
      <w:r w:rsidRPr="005F763D">
        <w:t xml:space="preserve"> section of this Statement of Advice for more information.</w:t>
      </w:r>
    </w:p>
    <w:p w14:paraId="1C3524DF" w14:textId="77777777" w:rsidR="00B74BC4" w:rsidRPr="005F763D" w:rsidRDefault="00B74BC4" w:rsidP="000D0191">
      <w:pPr>
        <w:pStyle w:val="ListParagraph"/>
        <w:tabs>
          <w:tab w:val="left" w:pos="360"/>
        </w:tabs>
        <w:suppressAutoHyphens w:val="0"/>
        <w:autoSpaceDE w:val="0"/>
        <w:spacing w:after="120"/>
        <w:jc w:val="left"/>
        <w:rPr>
          <w:szCs w:val="20"/>
        </w:rPr>
      </w:pPr>
    </w:p>
    <w:p w14:paraId="2A7CD3BB" w14:textId="6594CDAC" w:rsidR="003B0B14" w:rsidRPr="000D0191" w:rsidRDefault="006E23CA" w:rsidP="003B0B14">
      <w:pPr>
        <w:rPr>
          <w:b/>
          <w:color w:val="auto"/>
        </w:rPr>
      </w:pPr>
      <w:r w:rsidRPr="000D0191">
        <w:rPr>
          <w:b/>
          <w:color w:val="auto"/>
        </w:rPr>
        <w:t xml:space="preserve">Seek </w:t>
      </w:r>
      <w:r w:rsidR="007562F9" w:rsidRPr="000D0191">
        <w:rPr>
          <w:b/>
          <w:color w:val="auto"/>
        </w:rPr>
        <w:t xml:space="preserve">expert </w:t>
      </w:r>
      <w:r w:rsidRPr="000D0191">
        <w:rPr>
          <w:b/>
          <w:color w:val="auto"/>
        </w:rPr>
        <w:t>A</w:t>
      </w:r>
      <w:r w:rsidR="0065024B" w:rsidRPr="000D0191">
        <w:rPr>
          <w:b/>
          <w:color w:val="auto"/>
        </w:rPr>
        <w:t>d</w:t>
      </w:r>
      <w:r w:rsidRPr="000D0191">
        <w:rPr>
          <w:b/>
          <w:color w:val="auto"/>
        </w:rPr>
        <w:t>v</w:t>
      </w:r>
      <w:r w:rsidR="0065024B" w:rsidRPr="000D0191">
        <w:rPr>
          <w:b/>
          <w:color w:val="auto"/>
        </w:rPr>
        <w:t xml:space="preserve">ice in relation to a suitable SMSF Limited </w:t>
      </w:r>
      <w:r w:rsidR="008D1B06" w:rsidRPr="000D0191">
        <w:rPr>
          <w:b/>
          <w:color w:val="auto"/>
        </w:rPr>
        <w:t>Recourse</w:t>
      </w:r>
      <w:r w:rsidR="0065024B" w:rsidRPr="000D0191">
        <w:rPr>
          <w:b/>
          <w:color w:val="auto"/>
        </w:rPr>
        <w:t xml:space="preserve"> Loan to fund the balance of the property to be purchased.</w:t>
      </w:r>
    </w:p>
    <w:p w14:paraId="11D37ED5" w14:textId="77777777" w:rsidR="006E23CA" w:rsidRPr="005F763D" w:rsidRDefault="006E23CA" w:rsidP="003B0B14">
      <w:pPr>
        <w:rPr>
          <w:color w:val="002060"/>
        </w:rPr>
      </w:pPr>
    </w:p>
    <w:p w14:paraId="7D9B0F79" w14:textId="300D85DA" w:rsidR="00637FDE" w:rsidRDefault="00637FDE" w:rsidP="000D0191">
      <w:pPr>
        <w:tabs>
          <w:tab w:val="left" w:pos="786"/>
        </w:tabs>
        <w:suppressAutoHyphens w:val="0"/>
        <w:spacing w:after="120"/>
        <w:ind w:left="709"/>
        <w:jc w:val="left"/>
        <w:rPr>
          <w:szCs w:val="20"/>
        </w:rPr>
      </w:pPr>
    </w:p>
    <w:p w14:paraId="68563B4F" w14:textId="737C8D0A" w:rsidR="00637FDE" w:rsidRPr="0030411A" w:rsidRDefault="00637FDE" w:rsidP="0008751D">
      <w:pPr>
        <w:pStyle w:val="Heading2"/>
      </w:pPr>
      <w:bookmarkStart w:id="74" w:name="_Toc46236026"/>
      <w:r w:rsidRPr="0030411A">
        <w:t>Limited Recourse Borrowing</w:t>
      </w:r>
      <w:r w:rsidRPr="000D0191">
        <w:t xml:space="preserve"> Arrangement (LRBA)</w:t>
      </w:r>
      <w:r w:rsidRPr="0030411A">
        <w:t xml:space="preserve"> </w:t>
      </w:r>
      <w:r w:rsidRPr="000D0191">
        <w:t xml:space="preserve">_ Safe Harbour </w:t>
      </w:r>
      <w:commentRangeStart w:id="75"/>
      <w:r w:rsidRPr="000D0191">
        <w:t>Steps</w:t>
      </w:r>
      <w:commentRangeEnd w:id="75"/>
      <w:r w:rsidR="006A6382" w:rsidRPr="000D0191">
        <w:commentReference w:id="75"/>
      </w:r>
      <w:bookmarkEnd w:id="74"/>
    </w:p>
    <w:p w14:paraId="3A725938" w14:textId="77777777" w:rsidR="003B0B14" w:rsidRPr="005F763D" w:rsidRDefault="003B0B14" w:rsidP="008C7CE9">
      <w:pPr>
        <w:jc w:val="left"/>
      </w:pPr>
    </w:p>
    <w:p w14:paraId="47E1B0E7" w14:textId="77777777" w:rsidR="00637FDE" w:rsidRDefault="00637FDE" w:rsidP="000D0191">
      <w:r>
        <w:t>A</w:t>
      </w:r>
      <w:r w:rsidRPr="000D0191">
        <w:t>n LRBA used to acquire real property, or to refinance a borrowing used to acquire real property, is consistent with an arm's length dealing if the terms of the borrowing are established and maintained throughout the LRBA as set out below</w:t>
      </w:r>
      <w:r>
        <w:t>:</w:t>
      </w:r>
    </w:p>
    <w:p w14:paraId="3C1729B4" w14:textId="5A63138E" w:rsidR="00637FDE" w:rsidRDefault="00637FDE" w:rsidP="000D0191"/>
    <w:p w14:paraId="25F20308" w14:textId="4CF8E0F7" w:rsidR="000E3105" w:rsidRPr="000D0191" w:rsidRDefault="000E3105" w:rsidP="000D0191">
      <w:pPr>
        <w:rPr>
          <w:b/>
        </w:rPr>
      </w:pPr>
      <w:r w:rsidRPr="000D0191">
        <w:rPr>
          <w:b/>
        </w:rPr>
        <w:t>For a Property</w:t>
      </w:r>
    </w:p>
    <w:tbl>
      <w:tblPr>
        <w:tblStyle w:val="TableGrid"/>
        <w:tblW w:w="0" w:type="auto"/>
        <w:tblLook w:val="04A0" w:firstRow="1" w:lastRow="0" w:firstColumn="1" w:lastColumn="0" w:noHBand="0" w:noVBand="1"/>
      </w:tblPr>
      <w:tblGrid>
        <w:gridCol w:w="5310"/>
        <w:gridCol w:w="5311"/>
      </w:tblGrid>
      <w:tr w:rsidR="00637FDE" w14:paraId="480DCA97" w14:textId="77777777" w:rsidTr="00637FDE">
        <w:tc>
          <w:tcPr>
            <w:tcW w:w="5310" w:type="dxa"/>
          </w:tcPr>
          <w:p w14:paraId="3708346A" w14:textId="627CE37C" w:rsidR="00637FDE" w:rsidRDefault="00637FDE" w:rsidP="00637FDE">
            <w:r>
              <w:t>Interest Rate</w:t>
            </w:r>
          </w:p>
        </w:tc>
        <w:tc>
          <w:tcPr>
            <w:tcW w:w="5311" w:type="dxa"/>
          </w:tcPr>
          <w:p w14:paraId="17396AA7" w14:textId="011C84A2" w:rsidR="00637FDE" w:rsidRDefault="00637FDE" w:rsidP="00637FDE">
            <w:commentRangeStart w:id="76"/>
            <w:r w:rsidRPr="000D0191">
              <w:t xml:space="preserve">Reserve Bank of Australia Indicator </w:t>
            </w:r>
            <w:commentRangeEnd w:id="76"/>
            <w:r w:rsidR="000E3105">
              <w:rPr>
                <w:rStyle w:val="CommentReference"/>
                <w:color w:val="auto"/>
                <w:lang w:eastAsia="ja-JP"/>
              </w:rPr>
              <w:commentReference w:id="76"/>
            </w:r>
            <w:r w:rsidRPr="000D0191">
              <w:t>Lending Rates for banks providing standard variable housing loans for investors.</w:t>
            </w:r>
          </w:p>
          <w:p w14:paraId="3E18DFDE" w14:textId="77777777" w:rsidR="00991B94" w:rsidRDefault="00991B94" w:rsidP="00637FDE"/>
          <w:p w14:paraId="50CF9ED9" w14:textId="0CE86185" w:rsidR="00637FDE" w:rsidRDefault="00637FDE" w:rsidP="00637FDE">
            <w:r>
              <w:t>F</w:t>
            </w:r>
            <w:r w:rsidR="000E3105">
              <w:t>r</w:t>
            </w:r>
            <w:r w:rsidR="00EB7BE1">
              <w:t>om</w:t>
            </w:r>
            <w:r w:rsidR="000E3105">
              <w:t xml:space="preserve"> </w:t>
            </w:r>
            <w:proofErr w:type="gramStart"/>
            <w:r w:rsidR="00557054">
              <w:t xml:space="preserve">June </w:t>
            </w:r>
            <w:r w:rsidR="000E3105">
              <w:t xml:space="preserve"> </w:t>
            </w:r>
            <w:r w:rsidR="00FA11F0">
              <w:t>20</w:t>
            </w:r>
            <w:r w:rsidR="00557054">
              <w:t>20</w:t>
            </w:r>
            <w:proofErr w:type="gramEnd"/>
            <w:r w:rsidR="00FA11F0">
              <w:t xml:space="preserve"> </w:t>
            </w:r>
            <w:r w:rsidR="00EB7BE1">
              <w:t xml:space="preserve">for FY </w:t>
            </w:r>
            <w:r w:rsidR="00262B72">
              <w:t>20-21</w:t>
            </w:r>
            <w:r w:rsidR="00157347">
              <w:t>:</w:t>
            </w:r>
            <w:r w:rsidR="000E3105">
              <w:t xml:space="preserve">  5.</w:t>
            </w:r>
            <w:r w:rsidR="00574674">
              <w:t>10</w:t>
            </w:r>
            <w:r w:rsidR="000E3105">
              <w:t>%</w:t>
            </w:r>
          </w:p>
        </w:tc>
      </w:tr>
      <w:tr w:rsidR="00637FDE" w14:paraId="2E6932FB" w14:textId="77777777" w:rsidTr="00637FDE">
        <w:tc>
          <w:tcPr>
            <w:tcW w:w="5310" w:type="dxa"/>
          </w:tcPr>
          <w:p w14:paraId="5421E1F0" w14:textId="4572EB60" w:rsidR="00637FDE" w:rsidRDefault="00991B94" w:rsidP="00637FDE">
            <w:r>
              <w:t>Fixed/Variable</w:t>
            </w:r>
          </w:p>
        </w:tc>
        <w:tc>
          <w:tcPr>
            <w:tcW w:w="5311" w:type="dxa"/>
          </w:tcPr>
          <w:p w14:paraId="53A787CC" w14:textId="5538D422" w:rsidR="00991B94" w:rsidRPr="000D0191" w:rsidRDefault="00991B94" w:rsidP="000D0191">
            <w:r w:rsidRPr="000D0191">
              <w:t>Interest rate may be variable or fixed</w:t>
            </w:r>
            <w:r w:rsidR="001261EC">
              <w:t>.</w:t>
            </w:r>
          </w:p>
          <w:p w14:paraId="045A5F71" w14:textId="54202495" w:rsidR="00991B94" w:rsidRPr="000D0191" w:rsidRDefault="00991B94">
            <w:pPr>
              <w:pStyle w:val="InterPracBullet"/>
            </w:pPr>
            <w:r w:rsidRPr="000D0191">
              <w:t>Variable - uses the applicable rate (as set out above) for each year of the LBRA</w:t>
            </w:r>
          </w:p>
          <w:p w14:paraId="5ED79FE9" w14:textId="0EE1BFA4" w:rsidR="00991B94" w:rsidRPr="00AE62A4" w:rsidRDefault="00991B94">
            <w:pPr>
              <w:pStyle w:val="InterPracBullet"/>
              <w:rPr>
                <w:lang w:val="en-AU"/>
              </w:rPr>
            </w:pPr>
            <w:r w:rsidRPr="000D0191">
              <w:t>Fixed - trustees may choose to fix the rate at the commencement of the arrangement for a specified period, up to a maximum of 5 years</w:t>
            </w:r>
            <w:r w:rsidR="00AE62A4">
              <w:rPr>
                <w:lang w:val="en-AU"/>
              </w:rPr>
              <w:t>. The rate (</w:t>
            </w:r>
            <w:r w:rsidR="00AE62A4" w:rsidRPr="000D0191">
              <w:t xml:space="preserve">as set out </w:t>
            </w:r>
            <w:r w:rsidR="00AE62A4">
              <w:rPr>
                <w:lang w:val="en-AU"/>
              </w:rPr>
              <w:t xml:space="preserve">above) is used </w:t>
            </w:r>
            <w:r w:rsidR="0009527C">
              <w:rPr>
                <w:lang w:val="en-AU"/>
              </w:rPr>
              <w:t>when</w:t>
            </w:r>
            <w:r w:rsidR="00AE62A4">
              <w:rPr>
                <w:lang w:val="en-AU"/>
              </w:rPr>
              <w:t xml:space="preserve"> </w:t>
            </w:r>
            <w:r w:rsidR="002F474F">
              <w:rPr>
                <w:lang w:val="en-AU"/>
              </w:rPr>
              <w:t xml:space="preserve">a fixed rate </w:t>
            </w:r>
            <w:r w:rsidR="0009527C">
              <w:rPr>
                <w:lang w:val="en-AU"/>
              </w:rPr>
              <w:t xml:space="preserve">is </w:t>
            </w:r>
            <w:r w:rsidR="002F474F">
              <w:rPr>
                <w:lang w:val="en-AU"/>
              </w:rPr>
              <w:t xml:space="preserve">being set </w:t>
            </w:r>
            <w:r w:rsidR="00197CCE">
              <w:rPr>
                <w:lang w:val="en-AU"/>
              </w:rPr>
              <w:t>in</w:t>
            </w:r>
            <w:r w:rsidR="002F474F">
              <w:rPr>
                <w:lang w:val="en-AU"/>
              </w:rPr>
              <w:t xml:space="preserve"> </w:t>
            </w:r>
            <w:r w:rsidR="00AE62A4">
              <w:rPr>
                <w:lang w:val="en-AU"/>
              </w:rPr>
              <w:t>FY 20</w:t>
            </w:r>
            <w:r w:rsidR="002914BD">
              <w:rPr>
                <w:lang w:val="en-AU"/>
              </w:rPr>
              <w:t>20</w:t>
            </w:r>
            <w:r w:rsidR="00AE62A4">
              <w:rPr>
                <w:lang w:val="en-AU"/>
              </w:rPr>
              <w:t>-20</w:t>
            </w:r>
            <w:r w:rsidR="00DD2535">
              <w:rPr>
                <w:lang w:val="en-AU"/>
              </w:rPr>
              <w:t>2</w:t>
            </w:r>
            <w:r w:rsidR="002914BD">
              <w:rPr>
                <w:lang w:val="en-AU"/>
              </w:rPr>
              <w:t>1</w:t>
            </w:r>
            <w:r w:rsidR="00AE62A4">
              <w:rPr>
                <w:lang w:val="en-AU"/>
              </w:rPr>
              <w:t>.</w:t>
            </w:r>
          </w:p>
          <w:p w14:paraId="32E5A149" w14:textId="77777777" w:rsidR="00637FDE" w:rsidRDefault="00637FDE" w:rsidP="00637FDE"/>
        </w:tc>
      </w:tr>
      <w:tr w:rsidR="00637FDE" w14:paraId="1DBA493F" w14:textId="77777777" w:rsidTr="00637FDE">
        <w:tc>
          <w:tcPr>
            <w:tcW w:w="5310" w:type="dxa"/>
          </w:tcPr>
          <w:p w14:paraId="14D58946" w14:textId="057181CA" w:rsidR="00637FDE" w:rsidRDefault="00991B94" w:rsidP="00637FDE">
            <w:r>
              <w:t>Term of the Loan</w:t>
            </w:r>
          </w:p>
        </w:tc>
        <w:tc>
          <w:tcPr>
            <w:tcW w:w="5311" w:type="dxa"/>
          </w:tcPr>
          <w:p w14:paraId="2A684C0F" w14:textId="77777777" w:rsidR="001261EC" w:rsidRPr="000D0191" w:rsidRDefault="001261EC">
            <w:pPr>
              <w:pStyle w:val="InterPracBullet"/>
            </w:pPr>
            <w:r w:rsidRPr="000D0191">
              <w:t>Variable interest rate loan (original) - 15 year maximum loan term (for both residential and commercial)</w:t>
            </w:r>
          </w:p>
          <w:p w14:paraId="7E3A9E0F" w14:textId="77777777" w:rsidR="001261EC" w:rsidRPr="000D0191" w:rsidRDefault="001261EC">
            <w:pPr>
              <w:pStyle w:val="InterPracBullet"/>
            </w:pPr>
            <w:r w:rsidRPr="000D0191">
              <w:t>Variable interest rate loan (re-financing) - maximum loan term is 15 years less the duration(s) of any previous loan(s) relating to the asset (for both residential and commercial)</w:t>
            </w:r>
          </w:p>
          <w:p w14:paraId="29CE91A6" w14:textId="1D1911C1" w:rsidR="001261EC" w:rsidRPr="000D0191" w:rsidRDefault="001261EC">
            <w:pPr>
              <w:pStyle w:val="InterPracBullet"/>
            </w:pPr>
            <w:r w:rsidRPr="000D0191">
              <w:t>Fixed interest rate loan - a new LRBA commencing may involve a loan with a fixed interest rate set at the beginning of the arrangement. The rate may be fixed for a maximum period of 5 years and must convert to a variable interest rate loan at the end of the nominated period. The total loan term cannot exceed 15 years.</w:t>
            </w:r>
          </w:p>
          <w:p w14:paraId="5EFFFDD9" w14:textId="77777777" w:rsidR="00637FDE" w:rsidRDefault="00637FDE" w:rsidP="001261EC"/>
        </w:tc>
      </w:tr>
      <w:tr w:rsidR="00637FDE" w14:paraId="5AD59637" w14:textId="77777777" w:rsidTr="00637FDE">
        <w:tc>
          <w:tcPr>
            <w:tcW w:w="5310" w:type="dxa"/>
          </w:tcPr>
          <w:p w14:paraId="0E98C072" w14:textId="69BDE6CE" w:rsidR="00637FDE" w:rsidRDefault="00BC35EC" w:rsidP="00637FDE">
            <w:r>
              <w:t>Loan to Market Value ratio (LVR)</w:t>
            </w:r>
          </w:p>
        </w:tc>
        <w:tc>
          <w:tcPr>
            <w:tcW w:w="5311" w:type="dxa"/>
          </w:tcPr>
          <w:p w14:paraId="5ECF36B5" w14:textId="77777777" w:rsidR="00BC35EC" w:rsidRPr="000D0191" w:rsidRDefault="00BC35EC">
            <w:pPr>
              <w:suppressAutoHyphens w:val="0"/>
              <w:jc w:val="left"/>
            </w:pPr>
            <w:r w:rsidRPr="000D0191">
              <w:t>Maximum 70% LVR for both commercial and residential property</w:t>
            </w:r>
          </w:p>
          <w:p w14:paraId="4E72A155" w14:textId="77777777" w:rsidR="00BC35EC" w:rsidRPr="000D0191" w:rsidRDefault="00BC35EC">
            <w:pPr>
              <w:pStyle w:val="InterPracBullet"/>
            </w:pPr>
            <w:r w:rsidRPr="000D0191">
              <w:lastRenderedPageBreak/>
              <w:t>If more than one loan is taken out to acquire (or refinance) the asset, the total amount of all those loans must not exceed 70% LVR.</w:t>
            </w:r>
          </w:p>
          <w:p w14:paraId="151B7EA1" w14:textId="1A35FE40" w:rsidR="00637FDE" w:rsidRDefault="00BC35EC" w:rsidP="000D0191">
            <w:pPr>
              <w:ind w:left="360"/>
            </w:pPr>
            <w:r w:rsidRPr="000D0191">
              <w:t>The market value of the asset is to be established when the loan (original or re-financing) is entered into</w:t>
            </w:r>
            <w:r w:rsidRPr="00BC35EC">
              <w:t>.</w:t>
            </w:r>
          </w:p>
        </w:tc>
      </w:tr>
      <w:tr w:rsidR="00637FDE" w14:paraId="524F8B49" w14:textId="77777777" w:rsidTr="00637FDE">
        <w:tc>
          <w:tcPr>
            <w:tcW w:w="5310" w:type="dxa"/>
          </w:tcPr>
          <w:p w14:paraId="4EF0B0DE" w14:textId="60DF3DDC" w:rsidR="00637FDE" w:rsidRDefault="004B2065" w:rsidP="00637FDE">
            <w:r>
              <w:lastRenderedPageBreak/>
              <w:t xml:space="preserve">Security </w:t>
            </w:r>
          </w:p>
        </w:tc>
        <w:tc>
          <w:tcPr>
            <w:tcW w:w="5311" w:type="dxa"/>
          </w:tcPr>
          <w:p w14:paraId="02BE1C47" w14:textId="647FA81C" w:rsidR="00637FDE" w:rsidRDefault="004B2065">
            <w:r w:rsidRPr="000D0191">
              <w:t>A registered mortgage over the property is required</w:t>
            </w:r>
          </w:p>
        </w:tc>
      </w:tr>
      <w:tr w:rsidR="00637FDE" w14:paraId="627FB1F0" w14:textId="77777777" w:rsidTr="00637FDE">
        <w:tc>
          <w:tcPr>
            <w:tcW w:w="5310" w:type="dxa"/>
          </w:tcPr>
          <w:p w14:paraId="509F51E7" w14:textId="0D0AFD18" w:rsidR="00637FDE" w:rsidRDefault="004B2065" w:rsidP="00637FDE">
            <w:r>
              <w:t>Personal Guarantee</w:t>
            </w:r>
          </w:p>
        </w:tc>
        <w:tc>
          <w:tcPr>
            <w:tcW w:w="5311" w:type="dxa"/>
          </w:tcPr>
          <w:p w14:paraId="0B15E85B" w14:textId="4B27A49A" w:rsidR="00637FDE" w:rsidRDefault="004B2065" w:rsidP="00637FDE">
            <w:r>
              <w:t>Not required</w:t>
            </w:r>
          </w:p>
        </w:tc>
      </w:tr>
      <w:tr w:rsidR="004B2065" w14:paraId="1DB0EE24" w14:textId="77777777" w:rsidTr="00637FDE">
        <w:tc>
          <w:tcPr>
            <w:tcW w:w="5310" w:type="dxa"/>
          </w:tcPr>
          <w:p w14:paraId="2A633D79" w14:textId="1C950D75" w:rsidR="004B2065" w:rsidRDefault="004B2065" w:rsidP="00637FDE">
            <w:r>
              <w:t>Nature and Frequency of Repayments</w:t>
            </w:r>
          </w:p>
        </w:tc>
        <w:tc>
          <w:tcPr>
            <w:tcW w:w="5311" w:type="dxa"/>
          </w:tcPr>
          <w:p w14:paraId="1DD8654D" w14:textId="3062E905" w:rsidR="004B2065" w:rsidRDefault="004B2065" w:rsidP="000D0191">
            <w:pPr>
              <w:suppressAutoHyphens w:val="0"/>
              <w:jc w:val="left"/>
            </w:pPr>
            <w:r w:rsidRPr="000D0191">
              <w:t>Each repayment is of both principal and interest</w:t>
            </w:r>
            <w:r>
              <w:t>.</w:t>
            </w:r>
          </w:p>
          <w:p w14:paraId="3C3A252C" w14:textId="23D1810C" w:rsidR="004B2065" w:rsidRPr="004B2065" w:rsidRDefault="004B2065" w:rsidP="000D0191">
            <w:pPr>
              <w:suppressAutoHyphens w:val="0"/>
              <w:jc w:val="left"/>
            </w:pPr>
            <w:r>
              <w:t>Repayments are monthly.</w:t>
            </w:r>
          </w:p>
        </w:tc>
      </w:tr>
      <w:tr w:rsidR="004B2065" w14:paraId="4847F42A" w14:textId="77777777" w:rsidTr="00637FDE">
        <w:tc>
          <w:tcPr>
            <w:tcW w:w="5310" w:type="dxa"/>
          </w:tcPr>
          <w:p w14:paraId="2981181D" w14:textId="69853E56" w:rsidR="004B2065" w:rsidRDefault="004B2065" w:rsidP="00637FDE">
            <w:r>
              <w:t>Loan Agreement</w:t>
            </w:r>
          </w:p>
        </w:tc>
        <w:tc>
          <w:tcPr>
            <w:tcW w:w="5311" w:type="dxa"/>
          </w:tcPr>
          <w:p w14:paraId="5886D937" w14:textId="10681BFD" w:rsidR="004B2065" w:rsidRDefault="004B2065" w:rsidP="00637FDE">
            <w:r>
              <w:t>A written and executed loan agreement is required.</w:t>
            </w:r>
          </w:p>
        </w:tc>
      </w:tr>
    </w:tbl>
    <w:p w14:paraId="0E6B0827" w14:textId="77777777" w:rsidR="00184E5D" w:rsidRDefault="00184E5D" w:rsidP="000D0191"/>
    <w:p w14:paraId="0E3AD2D0" w14:textId="77777777" w:rsidR="00184E5D" w:rsidRDefault="00184E5D" w:rsidP="000D0191"/>
    <w:p w14:paraId="127BDDDB" w14:textId="77777777" w:rsidR="00184E5D" w:rsidRPr="00184E5D" w:rsidRDefault="00184E5D" w:rsidP="0008751D">
      <w:pPr>
        <w:pStyle w:val="Heading2"/>
      </w:pPr>
      <w:bookmarkStart w:id="77" w:name="_Toc46236027"/>
      <w:r w:rsidRPr="00184E5D">
        <w:t>SMSF Property - Joint Venturing</w:t>
      </w:r>
      <w:bookmarkEnd w:id="77"/>
    </w:p>
    <w:p w14:paraId="1454A5BB" w14:textId="4029805A" w:rsidR="00184E5D" w:rsidRDefault="00184E5D" w:rsidP="00184E5D"/>
    <w:tbl>
      <w:tblPr>
        <w:tblW w:w="0" w:type="auto"/>
        <w:tblInd w:w="76" w:type="dxa"/>
        <w:tblLook w:val="04A0" w:firstRow="1" w:lastRow="0" w:firstColumn="1" w:lastColumn="0" w:noHBand="0" w:noVBand="1"/>
      </w:tblPr>
      <w:tblGrid>
        <w:gridCol w:w="2754"/>
        <w:gridCol w:w="6798"/>
      </w:tblGrid>
      <w:tr w:rsidR="008370F0" w:rsidRPr="00E51BEA" w14:paraId="04660840" w14:textId="77777777" w:rsidTr="00AE7DFE">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5962530" w14:textId="77777777" w:rsidR="008370F0" w:rsidRPr="00AA2CC6" w:rsidRDefault="008370F0" w:rsidP="00AE7DFE">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C1D8AE4" w14:textId="77777777" w:rsidR="008370F0" w:rsidRPr="00E51BEA" w:rsidRDefault="008370F0" w:rsidP="00AE7DFE">
            <w:pPr>
              <w:pStyle w:val="TableHeader2"/>
              <w:rPr>
                <w:rFonts w:ascii="Calibri Light" w:hAnsi="Calibri Light"/>
              </w:rPr>
            </w:pPr>
          </w:p>
        </w:tc>
      </w:tr>
      <w:tr w:rsidR="008370F0" w:rsidRPr="0088114A" w14:paraId="624B629D"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957344C" w14:textId="77777777" w:rsidR="008370F0" w:rsidRPr="00E87AAA" w:rsidRDefault="008370F0" w:rsidP="00E164DA">
            <w:pPr>
              <w:pStyle w:val="Instructions"/>
            </w:pPr>
            <w:r w:rsidRPr="00E87AAA">
              <w:t>Title</w:t>
            </w:r>
          </w:p>
        </w:tc>
        <w:tc>
          <w:tcPr>
            <w:tcW w:w="6798" w:type="dxa"/>
            <w:shd w:val="clear" w:color="auto" w:fill="auto"/>
          </w:tcPr>
          <w:p w14:paraId="017E3888" w14:textId="552302C4" w:rsidR="008370F0" w:rsidRPr="0088114A" w:rsidRDefault="00204EA4" w:rsidP="00AE7DFE">
            <w:pPr>
              <w:spacing w:before="120"/>
            </w:pPr>
            <w:r>
              <w:t xml:space="preserve">SMSF Property </w:t>
            </w:r>
            <w:r w:rsidR="00157347">
              <w:t>- Joint</w:t>
            </w:r>
            <w:r>
              <w:t xml:space="preserve"> Venturing</w:t>
            </w:r>
          </w:p>
        </w:tc>
      </w:tr>
      <w:tr w:rsidR="008370F0" w:rsidRPr="0088114A" w14:paraId="42DDCC73"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1131D7F" w14:textId="77777777" w:rsidR="008370F0" w:rsidRPr="00E87AAA" w:rsidRDefault="008370F0" w:rsidP="00E164DA">
            <w:pPr>
              <w:pStyle w:val="Instructions"/>
            </w:pPr>
            <w:r w:rsidRPr="00E87AAA">
              <w:t>Explanation</w:t>
            </w:r>
          </w:p>
        </w:tc>
        <w:tc>
          <w:tcPr>
            <w:tcW w:w="6798" w:type="dxa"/>
            <w:shd w:val="clear" w:color="auto" w:fill="auto"/>
          </w:tcPr>
          <w:p w14:paraId="13D00ED5" w14:textId="0581BF6A" w:rsidR="009A7F4E" w:rsidRDefault="009A7F4E" w:rsidP="009A7F4E">
            <w:r>
              <w:t>I</w:t>
            </w:r>
            <w:r w:rsidRPr="00466D55">
              <w:t xml:space="preserve"> recommend that</w:t>
            </w:r>
            <w:r>
              <w:t xml:space="preserve"> the Trustee</w:t>
            </w:r>
            <w:r w:rsidRPr="00466D55">
              <w:t xml:space="preserve">, </w:t>
            </w:r>
            <w:r>
              <w:t>enter into a Joint Venture</w:t>
            </w:r>
            <w:r w:rsidRPr="00466D55">
              <w:t xml:space="preserve"> </w:t>
            </w:r>
            <w:r>
              <w:t xml:space="preserve">with </w:t>
            </w:r>
            <w:r w:rsidRPr="00466D55">
              <w:rPr>
                <w:color w:val="FF0000"/>
              </w:rPr>
              <w:t>[name]</w:t>
            </w:r>
            <w:r w:rsidRPr="00466D55">
              <w:rPr>
                <w:color w:val="auto"/>
              </w:rPr>
              <w:t xml:space="preserve"> under </w:t>
            </w:r>
            <w:r w:rsidRPr="00466D55">
              <w:t xml:space="preserve">sections </w:t>
            </w:r>
            <w:proofErr w:type="gramStart"/>
            <w:r w:rsidR="00157347" w:rsidRPr="00466D55">
              <w:t>13.22C,D</w:t>
            </w:r>
            <w:proofErr w:type="gramEnd"/>
            <w:r w:rsidRPr="00466D55">
              <w:t xml:space="preserve"> of the Superannuation Industry Supervision Regulations</w:t>
            </w:r>
            <w:r>
              <w:t xml:space="preserve"> to purchase </w:t>
            </w:r>
            <w:r w:rsidRPr="00466D55">
              <w:rPr>
                <w:color w:val="FF0000"/>
              </w:rPr>
              <w:t xml:space="preserve">[ </w:t>
            </w:r>
            <w:r>
              <w:rPr>
                <w:color w:val="FF0000"/>
              </w:rPr>
              <w:t xml:space="preserve">property </w:t>
            </w:r>
            <w:r w:rsidRPr="00466D55">
              <w:rPr>
                <w:color w:val="FF0000"/>
              </w:rPr>
              <w:t>asset ].</w:t>
            </w:r>
          </w:p>
          <w:p w14:paraId="2FD5BB3A" w14:textId="77777777" w:rsidR="009A7F4E" w:rsidRPr="00466D55" w:rsidRDefault="009A7F4E" w:rsidP="009A7F4E">
            <w:pPr>
              <w:rPr>
                <w:color w:val="auto"/>
              </w:rPr>
            </w:pPr>
          </w:p>
          <w:p w14:paraId="357C5C3D" w14:textId="77777777" w:rsidR="009A7F4E" w:rsidRPr="00466D55" w:rsidRDefault="009A7F4E" w:rsidP="009A7F4E">
            <w:r w:rsidRPr="00466D55">
              <w:rPr>
                <w:color w:val="auto"/>
              </w:rPr>
              <w:t>To enable this</w:t>
            </w:r>
            <w:r>
              <w:t>,</w:t>
            </w:r>
            <w:r w:rsidRPr="00466D55">
              <w:rPr>
                <w:color w:val="auto"/>
              </w:rPr>
              <w:t xml:space="preserve"> </w:t>
            </w:r>
            <w:r>
              <w:t>purchase</w:t>
            </w:r>
            <w:r>
              <w:rPr>
                <w:color w:val="FF0000"/>
              </w:rPr>
              <w:t xml:space="preserve"> $[__</w:t>
            </w:r>
            <w:proofErr w:type="gramStart"/>
            <w:r>
              <w:rPr>
                <w:color w:val="FF0000"/>
              </w:rPr>
              <w:t>_,_</w:t>
            </w:r>
            <w:proofErr w:type="gramEnd"/>
            <w:r>
              <w:rPr>
                <w:color w:val="FF0000"/>
              </w:rPr>
              <w:t>__]</w:t>
            </w:r>
            <w:r>
              <w:t xml:space="preserve"> of units valued at </w:t>
            </w:r>
            <w:r>
              <w:rPr>
                <w:color w:val="FF0000"/>
              </w:rPr>
              <w:t xml:space="preserve">$[___,___] </w:t>
            </w:r>
            <w:r w:rsidRPr="00466D55">
              <w:rPr>
                <w:color w:val="auto"/>
              </w:rPr>
              <w:t>at</w:t>
            </w:r>
            <w:r>
              <w:rPr>
                <w:color w:val="FF0000"/>
              </w:rPr>
              <w:t xml:space="preserve"> [ date ]</w:t>
            </w:r>
            <w:r>
              <w:t xml:space="preserve"> using a fixed</w:t>
            </w:r>
            <w:r w:rsidRPr="00466D55">
              <w:rPr>
                <w:vertAlign w:val="superscript"/>
              </w:rPr>
              <w:t>[1]</w:t>
            </w:r>
            <w:r>
              <w:t xml:space="preserve"> trust that will be used to purchase and hold the required residential or commercial property.</w:t>
            </w:r>
          </w:p>
          <w:p w14:paraId="6E23CE53" w14:textId="77777777" w:rsidR="00B2495C" w:rsidRDefault="00B2495C" w:rsidP="009A7F4E">
            <w:pPr>
              <w:rPr>
                <w:color w:val="auto"/>
                <w:highlight w:val="green"/>
              </w:rPr>
            </w:pPr>
          </w:p>
          <w:p w14:paraId="28D64EAC" w14:textId="22DF5DF2" w:rsidR="009A7F4E" w:rsidRPr="00F51168" w:rsidRDefault="009A7F4E" w:rsidP="009A7F4E">
            <w:pPr>
              <w:rPr>
                <w:b/>
                <w:color w:val="auto"/>
              </w:rPr>
            </w:pPr>
            <w:r w:rsidRPr="00F51168">
              <w:rPr>
                <w:b/>
                <w:color w:val="auto"/>
              </w:rPr>
              <w:t>OR</w:t>
            </w:r>
          </w:p>
          <w:p w14:paraId="4094D8A7" w14:textId="77777777" w:rsidR="009A7F4E" w:rsidRDefault="009A7F4E" w:rsidP="009A7F4E"/>
          <w:p w14:paraId="2948530A" w14:textId="77777777" w:rsidR="009A7F4E" w:rsidRDefault="009A7F4E" w:rsidP="009A7F4E">
            <w:r w:rsidRPr="00A85304">
              <w:t>To enable this</w:t>
            </w:r>
            <w:r>
              <w:t>,</w:t>
            </w:r>
            <w:r w:rsidRPr="00A85304">
              <w:t xml:space="preserve"> purchase</w:t>
            </w:r>
            <w:r>
              <w:rPr>
                <w:color w:val="FF0000"/>
              </w:rPr>
              <w:t xml:space="preserve"> $[__</w:t>
            </w:r>
            <w:proofErr w:type="gramStart"/>
            <w:r>
              <w:rPr>
                <w:color w:val="FF0000"/>
              </w:rPr>
              <w:t>_,_</w:t>
            </w:r>
            <w:proofErr w:type="gramEnd"/>
            <w:r>
              <w:rPr>
                <w:color w:val="FF0000"/>
              </w:rPr>
              <w:t>__]</w:t>
            </w:r>
            <w:r>
              <w:t xml:space="preserve"> of shares valued at </w:t>
            </w:r>
            <w:r>
              <w:rPr>
                <w:color w:val="FF0000"/>
              </w:rPr>
              <w:t xml:space="preserve">$[___,___] </w:t>
            </w:r>
            <w:r w:rsidRPr="00A85304">
              <w:t>at</w:t>
            </w:r>
            <w:r>
              <w:rPr>
                <w:color w:val="FF0000"/>
              </w:rPr>
              <w:t xml:space="preserve"> [ date ]</w:t>
            </w:r>
            <w:r>
              <w:t xml:space="preserve"> using a special purpose, off-the-shelf company. </w:t>
            </w:r>
          </w:p>
          <w:p w14:paraId="56A66E57" w14:textId="77777777" w:rsidR="009A7F4E" w:rsidRPr="00A85304" w:rsidRDefault="009A7F4E" w:rsidP="009A7F4E">
            <w:r>
              <w:t>The private company will be used to purchase and hold the required residential or commercial property.</w:t>
            </w:r>
          </w:p>
          <w:p w14:paraId="555F44C3" w14:textId="77777777" w:rsidR="008370F0" w:rsidRPr="0088114A" w:rsidRDefault="008370F0" w:rsidP="00AE7DFE">
            <w:pPr>
              <w:spacing w:before="120"/>
              <w:rPr>
                <w:sz w:val="18"/>
                <w:szCs w:val="18"/>
                <w:highlight w:val="yellow"/>
              </w:rPr>
            </w:pPr>
          </w:p>
        </w:tc>
      </w:tr>
      <w:tr w:rsidR="008370F0" w:rsidRPr="00E87AAA" w14:paraId="372D75E2"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1F93463" w14:textId="77777777" w:rsidR="008370F0" w:rsidRPr="00E87AAA" w:rsidRDefault="008370F0" w:rsidP="00E164DA">
            <w:pPr>
              <w:pStyle w:val="Instructions"/>
            </w:pPr>
            <w:r w:rsidRPr="00E87AAA">
              <w:t>In your Best Interest</w:t>
            </w:r>
          </w:p>
        </w:tc>
        <w:tc>
          <w:tcPr>
            <w:tcW w:w="6798" w:type="dxa"/>
            <w:shd w:val="clear" w:color="auto" w:fill="auto"/>
          </w:tcPr>
          <w:p w14:paraId="605BA749" w14:textId="77777777" w:rsidR="008370F0" w:rsidRPr="00E87AAA" w:rsidRDefault="008370F0" w:rsidP="00AE7DFE">
            <w:pPr>
              <w:spacing w:before="120"/>
              <w:jc w:val="left"/>
              <w:rPr>
                <w:sz w:val="18"/>
                <w:szCs w:val="18"/>
                <w:highlight w:val="yellow"/>
              </w:rPr>
            </w:pPr>
          </w:p>
        </w:tc>
      </w:tr>
      <w:tr w:rsidR="008370F0" w:rsidRPr="00E87AAA" w14:paraId="0FAA97D2"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6103B30" w14:textId="77777777" w:rsidR="008370F0" w:rsidRPr="00E87AAA" w:rsidRDefault="008370F0" w:rsidP="00E164DA">
            <w:pPr>
              <w:pStyle w:val="Instructions"/>
            </w:pPr>
            <w:r>
              <w:t>Further Detail</w:t>
            </w:r>
          </w:p>
        </w:tc>
        <w:tc>
          <w:tcPr>
            <w:tcW w:w="6798" w:type="dxa"/>
            <w:shd w:val="clear" w:color="auto" w:fill="auto"/>
          </w:tcPr>
          <w:p w14:paraId="1E4B61FA" w14:textId="77777777" w:rsidR="009A7F4E" w:rsidRPr="00466D55" w:rsidRDefault="009A7F4E" w:rsidP="009A7F4E">
            <w:pPr>
              <w:rPr>
                <w:sz w:val="16"/>
                <w:szCs w:val="16"/>
              </w:rPr>
            </w:pPr>
            <w:r w:rsidRPr="00466D55">
              <w:rPr>
                <w:sz w:val="16"/>
                <w:szCs w:val="16"/>
              </w:rPr>
              <w:t>[1] It is recommended that you have your Unit Trust deed examined by experts to ensure that identified Unit Holders can purchase only a strictly ‘Fixed’ entitlement to income and capital distributions from the trust.</w:t>
            </w:r>
          </w:p>
          <w:p w14:paraId="003726E8" w14:textId="77777777" w:rsidR="002D7FB6" w:rsidRDefault="002D7FB6" w:rsidP="00881067"/>
          <w:p w14:paraId="4D4E82E2" w14:textId="5FFCCC51" w:rsidR="00881067" w:rsidRPr="00466D55" w:rsidRDefault="00881067" w:rsidP="00881067">
            <w:r>
              <w:t>You have indicated</w:t>
            </w:r>
            <w:r w:rsidRPr="00466D55">
              <w:t xml:space="preserve"> that you are:</w:t>
            </w:r>
          </w:p>
          <w:p w14:paraId="57FFFD7A" w14:textId="77777777" w:rsidR="00881067" w:rsidRPr="00466D55" w:rsidRDefault="00881067" w:rsidP="003812CB">
            <w:pPr>
              <w:numPr>
                <w:ilvl w:val="0"/>
                <w:numId w:val="69"/>
              </w:numPr>
              <w:suppressAutoHyphens w:val="0"/>
            </w:pPr>
            <w:r>
              <w:t>interested to</w:t>
            </w:r>
            <w:r w:rsidRPr="00466D55">
              <w:t xml:space="preserve"> receiv</w:t>
            </w:r>
            <w:r>
              <w:t>e</w:t>
            </w:r>
            <w:r w:rsidRPr="00466D55">
              <w:t xml:space="preserve"> advice on borrowing options available to you using a SMSF</w:t>
            </w:r>
          </w:p>
          <w:p w14:paraId="12AC284F" w14:textId="77777777" w:rsidR="00881067" w:rsidRPr="00466D55" w:rsidRDefault="00881067" w:rsidP="00881067">
            <w:r w:rsidRPr="00466D55">
              <w:t>and/or</w:t>
            </w:r>
          </w:p>
          <w:p w14:paraId="71932342" w14:textId="62C42F2F" w:rsidR="00881067" w:rsidRDefault="00881067" w:rsidP="003812CB">
            <w:pPr>
              <w:numPr>
                <w:ilvl w:val="0"/>
                <w:numId w:val="69"/>
              </w:numPr>
              <w:suppressAutoHyphens w:val="0"/>
            </w:pPr>
            <w:r w:rsidRPr="00466D55">
              <w:t>‘intending</w:t>
            </w:r>
            <w:r>
              <w:t xml:space="preserve"> to’ or ‘considering the’ purchase</w:t>
            </w:r>
            <w:r w:rsidRPr="00466D55">
              <w:t xml:space="preserve"> </w:t>
            </w:r>
            <w:r>
              <w:t xml:space="preserve">of </w:t>
            </w:r>
            <w:r w:rsidRPr="00466D55">
              <w:t xml:space="preserve">an investment </w:t>
            </w:r>
            <w:r>
              <w:t xml:space="preserve">property </w:t>
            </w:r>
            <w:r w:rsidRPr="00466D55">
              <w:t>using SMSF</w:t>
            </w:r>
            <w:r>
              <w:t xml:space="preserve"> assets</w:t>
            </w:r>
          </w:p>
          <w:p w14:paraId="1B530793" w14:textId="77777777" w:rsidR="00881067" w:rsidRPr="00466D55" w:rsidRDefault="00881067" w:rsidP="00881067">
            <w:pPr>
              <w:suppressAutoHyphens w:val="0"/>
              <w:ind w:left="360"/>
            </w:pPr>
          </w:p>
          <w:p w14:paraId="17BB8358" w14:textId="77777777" w:rsidR="008370F0" w:rsidRPr="00E87AAA" w:rsidRDefault="008370F0" w:rsidP="00881067">
            <w:pPr>
              <w:rPr>
                <w:sz w:val="18"/>
                <w:szCs w:val="18"/>
                <w:highlight w:val="yellow"/>
              </w:rPr>
            </w:pPr>
          </w:p>
        </w:tc>
      </w:tr>
    </w:tbl>
    <w:p w14:paraId="132DDDBB" w14:textId="77777777" w:rsidR="008370F0" w:rsidRDefault="008370F0" w:rsidP="00184E5D"/>
    <w:p w14:paraId="349BC3D6" w14:textId="77777777" w:rsidR="00184E5D" w:rsidRDefault="00184E5D" w:rsidP="00184E5D"/>
    <w:p w14:paraId="2E593E46" w14:textId="063C19B2" w:rsidR="002F74F5" w:rsidRDefault="002F74F5" w:rsidP="00184E5D">
      <w:pPr>
        <w:rPr>
          <w:rFonts w:asciiTheme="minorHAnsi" w:hAnsiTheme="minorHAnsi"/>
          <w:b/>
          <w:iCs/>
          <w:color w:val="000000" w:themeColor="text1"/>
          <w:lang w:val="en-US"/>
        </w:rPr>
      </w:pPr>
    </w:p>
    <w:p w14:paraId="4AB2767D" w14:textId="5ABB29B7" w:rsidR="006D35A5" w:rsidRDefault="006D35A5" w:rsidP="00184E5D">
      <w:pPr>
        <w:rPr>
          <w:rFonts w:asciiTheme="minorHAnsi" w:hAnsiTheme="minorHAnsi"/>
          <w:b/>
          <w:iCs/>
          <w:color w:val="000000" w:themeColor="text1"/>
          <w:lang w:val="en-US"/>
        </w:rPr>
      </w:pPr>
    </w:p>
    <w:p w14:paraId="07BD39B1" w14:textId="34E21C14" w:rsidR="002F74F5" w:rsidRDefault="002F74F5" w:rsidP="0008751D">
      <w:pPr>
        <w:pStyle w:val="Heading2"/>
      </w:pPr>
      <w:bookmarkStart w:id="78" w:name="_Toc46236028"/>
      <w:bookmarkStart w:id="79" w:name="_Toc338021107"/>
      <w:bookmarkStart w:id="80" w:name="_Toc364070154"/>
      <w:r w:rsidRPr="002F74F5">
        <w:t>Wind-up your SMSF</w:t>
      </w:r>
      <w:bookmarkEnd w:id="78"/>
    </w:p>
    <w:p w14:paraId="3D83D76C" w14:textId="4953B1C8" w:rsidR="008370F0" w:rsidRDefault="008370F0" w:rsidP="008370F0"/>
    <w:tbl>
      <w:tblPr>
        <w:tblW w:w="0" w:type="auto"/>
        <w:tblInd w:w="76" w:type="dxa"/>
        <w:tblLook w:val="04A0" w:firstRow="1" w:lastRow="0" w:firstColumn="1" w:lastColumn="0" w:noHBand="0" w:noVBand="1"/>
      </w:tblPr>
      <w:tblGrid>
        <w:gridCol w:w="2754"/>
        <w:gridCol w:w="6798"/>
      </w:tblGrid>
      <w:tr w:rsidR="008370F0" w:rsidRPr="00E51BEA" w14:paraId="4DBD68F9" w14:textId="77777777" w:rsidTr="00AE7DFE">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5009F7B" w14:textId="77777777" w:rsidR="008370F0" w:rsidRPr="00AA2CC6" w:rsidRDefault="008370F0" w:rsidP="00AE7DFE">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3F3096C" w14:textId="77777777" w:rsidR="008370F0" w:rsidRPr="00E51BEA" w:rsidRDefault="008370F0" w:rsidP="00AE7DFE">
            <w:pPr>
              <w:pStyle w:val="TableHeader2"/>
              <w:rPr>
                <w:rFonts w:ascii="Calibri Light" w:hAnsi="Calibri Light"/>
              </w:rPr>
            </w:pPr>
          </w:p>
        </w:tc>
      </w:tr>
      <w:tr w:rsidR="008370F0" w:rsidRPr="0088114A" w14:paraId="7A18E6B1"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70F24B" w14:textId="77777777" w:rsidR="008370F0" w:rsidRPr="00E87AAA" w:rsidRDefault="008370F0" w:rsidP="00E164DA">
            <w:pPr>
              <w:pStyle w:val="Instructions"/>
            </w:pPr>
            <w:r w:rsidRPr="00E87AAA">
              <w:t>Title</w:t>
            </w:r>
          </w:p>
        </w:tc>
        <w:tc>
          <w:tcPr>
            <w:tcW w:w="6798" w:type="dxa"/>
            <w:shd w:val="clear" w:color="auto" w:fill="auto"/>
          </w:tcPr>
          <w:p w14:paraId="660C1F47" w14:textId="11DC4B7E" w:rsidR="008370F0" w:rsidRPr="003F045A" w:rsidRDefault="002518A3" w:rsidP="00AE7DFE">
            <w:pPr>
              <w:spacing w:before="120"/>
            </w:pPr>
            <w:r w:rsidRPr="003F045A">
              <w:t>Winding Up the Fund</w:t>
            </w:r>
          </w:p>
        </w:tc>
      </w:tr>
      <w:tr w:rsidR="008370F0" w:rsidRPr="0088114A" w14:paraId="78227582"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85716D4" w14:textId="77777777" w:rsidR="008370F0" w:rsidRPr="00E87AAA" w:rsidRDefault="008370F0" w:rsidP="00E164DA">
            <w:pPr>
              <w:pStyle w:val="Instructions"/>
            </w:pPr>
            <w:r w:rsidRPr="00E87AAA">
              <w:t>Explanation</w:t>
            </w:r>
          </w:p>
        </w:tc>
        <w:tc>
          <w:tcPr>
            <w:tcW w:w="6798" w:type="dxa"/>
            <w:shd w:val="clear" w:color="auto" w:fill="auto"/>
          </w:tcPr>
          <w:p w14:paraId="301386AD" w14:textId="6C844318" w:rsidR="008370F0" w:rsidRPr="003F045A" w:rsidRDefault="002518A3" w:rsidP="00AE7DFE">
            <w:pPr>
              <w:spacing w:before="120"/>
              <w:rPr>
                <w:sz w:val="18"/>
                <w:szCs w:val="18"/>
              </w:rPr>
            </w:pPr>
            <w:r w:rsidRPr="003F045A">
              <w:t xml:space="preserve">I recommend that you wind up the </w:t>
            </w:r>
            <w:r w:rsidRPr="0069447B">
              <w:rPr>
                <w:color w:val="7030A0"/>
                <w:highlight w:val="yellow"/>
              </w:rPr>
              <w:t>[Fund Name]</w:t>
            </w:r>
            <w:r w:rsidRPr="0069447B">
              <w:rPr>
                <w:color w:val="7030A0"/>
              </w:rPr>
              <w:t xml:space="preserve"> </w:t>
            </w:r>
            <w:r w:rsidRPr="003F045A">
              <w:t>SMSF.</w:t>
            </w:r>
          </w:p>
        </w:tc>
      </w:tr>
      <w:tr w:rsidR="008370F0" w:rsidRPr="00E87AAA" w14:paraId="2B5D5524"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D02F42F" w14:textId="77777777" w:rsidR="008370F0" w:rsidRPr="00E87AAA" w:rsidRDefault="008370F0" w:rsidP="00E164DA">
            <w:pPr>
              <w:pStyle w:val="Instructions"/>
            </w:pPr>
            <w:r w:rsidRPr="00E87AAA">
              <w:t>In your Best Interest</w:t>
            </w:r>
          </w:p>
        </w:tc>
        <w:tc>
          <w:tcPr>
            <w:tcW w:w="6798" w:type="dxa"/>
            <w:shd w:val="clear" w:color="auto" w:fill="auto"/>
          </w:tcPr>
          <w:p w14:paraId="555EA7EF" w14:textId="2DE89A2B" w:rsidR="008370F0" w:rsidRPr="00E87AAA" w:rsidRDefault="008370F0" w:rsidP="00AE7DFE">
            <w:pPr>
              <w:spacing w:before="120"/>
              <w:jc w:val="left"/>
              <w:rPr>
                <w:sz w:val="18"/>
                <w:szCs w:val="18"/>
                <w:highlight w:val="yellow"/>
              </w:rPr>
            </w:pPr>
          </w:p>
        </w:tc>
      </w:tr>
      <w:tr w:rsidR="008370F0" w:rsidRPr="00E87AAA" w14:paraId="15F48681"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6980D56" w14:textId="77777777" w:rsidR="008370F0" w:rsidRPr="00E87AAA" w:rsidRDefault="008370F0" w:rsidP="00E164DA">
            <w:pPr>
              <w:pStyle w:val="Instructions"/>
            </w:pPr>
            <w:r>
              <w:lastRenderedPageBreak/>
              <w:t>Further Detail</w:t>
            </w:r>
          </w:p>
        </w:tc>
        <w:tc>
          <w:tcPr>
            <w:tcW w:w="6798" w:type="dxa"/>
            <w:shd w:val="clear" w:color="auto" w:fill="auto"/>
          </w:tcPr>
          <w:p w14:paraId="290B1956" w14:textId="5D98E7E6" w:rsidR="00B031B3" w:rsidRDefault="00B031B3" w:rsidP="00B031B3">
            <w:pPr>
              <w:spacing w:beforeLines="60" w:before="144" w:afterLines="60" w:after="144"/>
            </w:pPr>
            <w:r w:rsidRPr="00BD1CA6">
              <w:t xml:space="preserve">The </w:t>
            </w:r>
            <w:r w:rsidRPr="00D84551">
              <w:rPr>
                <w:color w:val="7030A0"/>
                <w:szCs w:val="20"/>
                <w:highlight w:val="yellow"/>
              </w:rPr>
              <w:t xml:space="preserve">[Trustee Company] </w:t>
            </w:r>
            <w:r w:rsidR="00D84551">
              <w:rPr>
                <w:color w:val="7030A0"/>
                <w:szCs w:val="20"/>
              </w:rPr>
              <w:t>/</w:t>
            </w:r>
            <w:r w:rsidRPr="001B4ECE">
              <w:rPr>
                <w:color w:val="7030A0"/>
                <w:szCs w:val="20"/>
              </w:rPr>
              <w:t xml:space="preserve"> </w:t>
            </w:r>
            <w:r w:rsidRPr="00D84551">
              <w:rPr>
                <w:color w:val="7030A0"/>
                <w:szCs w:val="20"/>
                <w:highlight w:val="yellow"/>
              </w:rPr>
              <w:t>[Individual Trustees]</w:t>
            </w:r>
            <w:r w:rsidRPr="00D84551">
              <w:rPr>
                <w:color w:val="7030A0"/>
                <w:szCs w:val="20"/>
              </w:rPr>
              <w:t xml:space="preserve"> </w:t>
            </w:r>
            <w:r>
              <w:rPr>
                <w:szCs w:val="20"/>
              </w:rPr>
              <w:t>of</w:t>
            </w:r>
            <w:r w:rsidRPr="009B53E1">
              <w:rPr>
                <w:szCs w:val="20"/>
              </w:rPr>
              <w:t xml:space="preserve"> </w:t>
            </w:r>
            <w:r>
              <w:rPr>
                <w:color w:val="FF0000"/>
                <w:szCs w:val="20"/>
              </w:rPr>
              <w:t>[SMSF Name</w:t>
            </w:r>
            <w:r w:rsidRPr="009B53E1">
              <w:rPr>
                <w:color w:val="FF0000"/>
                <w:szCs w:val="20"/>
              </w:rPr>
              <w:t>]</w:t>
            </w:r>
            <w:r w:rsidRPr="009B53E1">
              <w:rPr>
                <w:szCs w:val="20"/>
              </w:rPr>
              <w:t>,</w:t>
            </w:r>
            <w:r>
              <w:t xml:space="preserve"> </w:t>
            </w:r>
            <w:r w:rsidRPr="00973475">
              <w:t>require that</w:t>
            </w:r>
            <w:r>
              <w:t xml:space="preserve"> </w:t>
            </w:r>
            <w:r>
              <w:rPr>
                <w:color w:val="FF0000"/>
                <w:szCs w:val="20"/>
              </w:rPr>
              <w:t>[SMSF Name</w:t>
            </w:r>
            <w:r w:rsidRPr="009B53E1">
              <w:rPr>
                <w:color w:val="FF0000"/>
                <w:szCs w:val="20"/>
              </w:rPr>
              <w:t>]</w:t>
            </w:r>
            <w:r>
              <w:t xml:space="preserve"> </w:t>
            </w:r>
            <w:r w:rsidRPr="00973475">
              <w:t>be wound up</w:t>
            </w:r>
            <w:r w:rsidRPr="00BD1CA6">
              <w:t xml:space="preserve"> and</w:t>
            </w:r>
            <w:r>
              <w:t xml:space="preserve"> fund’s member account balances to be distributed to </w:t>
            </w:r>
            <w:r w:rsidRPr="00973475">
              <w:rPr>
                <w:color w:val="FF0000"/>
              </w:rPr>
              <w:t>[member</w:t>
            </w:r>
            <w:r>
              <w:rPr>
                <w:color w:val="FF0000"/>
              </w:rPr>
              <w:t>]</w:t>
            </w:r>
            <w:r w:rsidRPr="00973475">
              <w:rPr>
                <w:color w:val="FF0000"/>
              </w:rPr>
              <w:t xml:space="preserve"> [or] [members]</w:t>
            </w:r>
            <w:r>
              <w:t xml:space="preserve">. </w:t>
            </w:r>
          </w:p>
          <w:p w14:paraId="29D7B35D" w14:textId="77777777" w:rsidR="00B031B3" w:rsidRPr="007A5F5D" w:rsidRDefault="00B031B3" w:rsidP="00B031B3">
            <w:pPr>
              <w:spacing w:beforeLines="60" w:before="144" w:afterLines="60" w:after="144"/>
              <w:rPr>
                <w:color w:val="7030A0"/>
              </w:rPr>
            </w:pPr>
            <w:r w:rsidRPr="007A5F5D">
              <w:rPr>
                <w:color w:val="7030A0"/>
                <w:highlight w:val="yellow"/>
              </w:rPr>
              <w:t>OR</w:t>
            </w:r>
          </w:p>
          <w:p w14:paraId="4BC43550" w14:textId="5308B653" w:rsidR="00B031B3" w:rsidRDefault="00B031B3" w:rsidP="00B031B3">
            <w:pPr>
              <w:spacing w:beforeLines="60" w:before="144" w:afterLines="60" w:after="144"/>
            </w:pPr>
            <w:r w:rsidRPr="00BD1CA6">
              <w:t xml:space="preserve">The </w:t>
            </w:r>
            <w:r>
              <w:rPr>
                <w:color w:val="FF0000"/>
                <w:szCs w:val="20"/>
              </w:rPr>
              <w:t>[Trustee Company</w:t>
            </w:r>
            <w:r w:rsidRPr="009B53E1">
              <w:rPr>
                <w:color w:val="FF0000"/>
                <w:szCs w:val="20"/>
              </w:rPr>
              <w:t>]</w:t>
            </w:r>
            <w:r>
              <w:rPr>
                <w:color w:val="FF0000"/>
                <w:szCs w:val="20"/>
              </w:rPr>
              <w:t xml:space="preserve"> [or] [Individual Trustees] </w:t>
            </w:r>
            <w:r>
              <w:t>wants guidance in understanding the</w:t>
            </w:r>
            <w:r w:rsidRPr="00973475">
              <w:t xml:space="preserve"> wind-up process.</w:t>
            </w:r>
          </w:p>
          <w:p w14:paraId="5CFD9870" w14:textId="6E5143BD" w:rsidR="00B01F38" w:rsidRDefault="00B01F38" w:rsidP="00B01F38">
            <w:pPr>
              <w:spacing w:beforeLines="60" w:before="144" w:afterLines="60" w:after="144"/>
            </w:pPr>
            <w:r>
              <w:t>The following process would</w:t>
            </w:r>
            <w:r w:rsidRPr="00BD1CA6">
              <w:t xml:space="preserve"> apply:</w:t>
            </w:r>
          </w:p>
          <w:p w14:paraId="07CDD7FC" w14:textId="77777777" w:rsidR="00B01F38" w:rsidRDefault="00B01F38" w:rsidP="003812CB">
            <w:pPr>
              <w:pStyle w:val="ListParagraph"/>
              <w:numPr>
                <w:ilvl w:val="0"/>
                <w:numId w:val="72"/>
              </w:numPr>
              <w:ind w:left="360"/>
              <w:contextualSpacing/>
              <w:jc w:val="left"/>
            </w:pPr>
            <w:r>
              <w:t>Review any</w:t>
            </w:r>
            <w:r w:rsidRPr="00F549B5">
              <w:t xml:space="preserve"> provisions of the SMSF's </w:t>
            </w:r>
            <w:r>
              <w:t>Trust D</w:t>
            </w:r>
            <w:r w:rsidRPr="00F549B5">
              <w:t xml:space="preserve">eed that </w:t>
            </w:r>
            <w:r>
              <w:t>reference winding up</w:t>
            </w:r>
          </w:p>
          <w:p w14:paraId="7EE3831C" w14:textId="77777777" w:rsidR="00B01F38" w:rsidRPr="00F549B5" w:rsidRDefault="00B01F38" w:rsidP="004D3D61">
            <w:pPr>
              <w:pStyle w:val="ListParagraph"/>
              <w:ind w:left="360"/>
              <w:jc w:val="left"/>
            </w:pPr>
          </w:p>
          <w:p w14:paraId="7929BB96" w14:textId="41B5F3F6" w:rsidR="00B01F38" w:rsidRDefault="00B01F38" w:rsidP="003812CB">
            <w:pPr>
              <w:pStyle w:val="ListParagraph"/>
              <w:numPr>
                <w:ilvl w:val="0"/>
                <w:numId w:val="72"/>
              </w:numPr>
              <w:ind w:left="360"/>
              <w:contextualSpacing/>
              <w:jc w:val="left"/>
            </w:pPr>
            <w:r>
              <w:t>Seek advice from an experienced SMSF solicitor</w:t>
            </w:r>
            <w:r w:rsidRPr="00F549B5">
              <w:t xml:space="preserve"> to ensure </w:t>
            </w:r>
            <w:r>
              <w:t xml:space="preserve">the </w:t>
            </w:r>
            <w:r w:rsidR="00157347">
              <w:t>wind</w:t>
            </w:r>
            <w:r w:rsidR="00157347" w:rsidRPr="00F549B5">
              <w:t>-up</w:t>
            </w:r>
            <w:r w:rsidRPr="00F549B5">
              <w:t xml:space="preserve"> </w:t>
            </w:r>
            <w:r>
              <w:t xml:space="preserve">references in the Trust Deed are understood and any anticipated future actions are appropriate. </w:t>
            </w:r>
          </w:p>
          <w:p w14:paraId="510E516B" w14:textId="77777777" w:rsidR="00B01F38" w:rsidRPr="00F549B5" w:rsidRDefault="00B01F38" w:rsidP="004D3D61">
            <w:pPr>
              <w:pStyle w:val="ListParagraph"/>
              <w:ind w:left="360"/>
            </w:pPr>
          </w:p>
          <w:p w14:paraId="2D564D50" w14:textId="77777777" w:rsidR="00B01F38" w:rsidRDefault="00B01F38" w:rsidP="003812CB">
            <w:pPr>
              <w:pStyle w:val="ListParagraph"/>
              <w:numPr>
                <w:ilvl w:val="0"/>
                <w:numId w:val="72"/>
              </w:numPr>
              <w:ind w:left="360"/>
              <w:contextualSpacing/>
              <w:jc w:val="left"/>
            </w:pPr>
            <w:r w:rsidRPr="00FE1300">
              <w:t xml:space="preserve">All Trustee resolutions must be recorded by Minute </w:t>
            </w:r>
          </w:p>
          <w:p w14:paraId="62E0CEED" w14:textId="77777777" w:rsidR="00B01F38" w:rsidRPr="00FE1300" w:rsidRDefault="00B01F38" w:rsidP="004D3D61">
            <w:pPr>
              <w:pStyle w:val="ListParagraph"/>
              <w:ind w:left="360"/>
            </w:pPr>
          </w:p>
          <w:p w14:paraId="656F4445" w14:textId="77777777" w:rsidR="00B01F38" w:rsidRDefault="00B01F38" w:rsidP="003812CB">
            <w:pPr>
              <w:pStyle w:val="ListParagraph"/>
              <w:numPr>
                <w:ilvl w:val="0"/>
                <w:numId w:val="72"/>
              </w:numPr>
              <w:ind w:left="360"/>
              <w:contextualSpacing/>
              <w:jc w:val="left"/>
            </w:pPr>
            <w:r>
              <w:t>Have interim SMSF accounts prepared so that member</w:t>
            </w:r>
            <w:r w:rsidRPr="00F549B5">
              <w:t xml:space="preserve"> balances </w:t>
            </w:r>
            <w:r>
              <w:t>can be determined</w:t>
            </w:r>
          </w:p>
          <w:p w14:paraId="789AF3AA" w14:textId="77777777" w:rsidR="00B01F38" w:rsidRDefault="00B01F38" w:rsidP="004D3D61">
            <w:pPr>
              <w:pStyle w:val="ListParagraph"/>
              <w:ind w:left="360"/>
            </w:pPr>
          </w:p>
          <w:p w14:paraId="6B82B079" w14:textId="77777777" w:rsidR="00B01F38" w:rsidRDefault="00B01F38" w:rsidP="003812CB">
            <w:pPr>
              <w:pStyle w:val="ListParagraph"/>
              <w:numPr>
                <w:ilvl w:val="0"/>
                <w:numId w:val="72"/>
              </w:numPr>
              <w:ind w:left="360"/>
              <w:contextualSpacing/>
              <w:jc w:val="left"/>
            </w:pPr>
            <w:r w:rsidRPr="00F549B5">
              <w:t>Ensure all of the SMSF's assets have been sold and the contributions of the members dealt with in accordance with the SMSF's trust deed and super</w:t>
            </w:r>
            <w:r>
              <w:t>annuation rules.</w:t>
            </w:r>
          </w:p>
          <w:p w14:paraId="0FB90B92" w14:textId="77777777" w:rsidR="00B01F38" w:rsidRPr="001946D5" w:rsidRDefault="00B01F38" w:rsidP="004D3D61">
            <w:pPr>
              <w:pStyle w:val="ListParagraph"/>
              <w:ind w:left="360"/>
            </w:pPr>
          </w:p>
          <w:p w14:paraId="48FD8C06" w14:textId="77777777" w:rsidR="00B01F38" w:rsidRPr="00F549B5" w:rsidRDefault="00B01F38" w:rsidP="004D3D61">
            <w:pPr>
              <w:pStyle w:val="ListParagraph"/>
              <w:ind w:left="360"/>
              <w:jc w:val="left"/>
            </w:pPr>
            <w:r w:rsidRPr="00F549B5">
              <w:t xml:space="preserve">Ensure that all of the proper steps are taken to </w:t>
            </w:r>
            <w:r>
              <w:t xml:space="preserve">transfer ownership and title of liquidated/transferred </w:t>
            </w:r>
            <w:r w:rsidRPr="00F549B5">
              <w:t>assets.</w:t>
            </w:r>
          </w:p>
          <w:p w14:paraId="41F18D8F" w14:textId="77777777" w:rsidR="00B01F38" w:rsidRPr="00FE1300" w:rsidRDefault="00B01F38" w:rsidP="004D3D61">
            <w:pPr>
              <w:pStyle w:val="ListParagraph"/>
              <w:ind w:left="360"/>
            </w:pPr>
          </w:p>
          <w:p w14:paraId="6AD07672" w14:textId="00FDCBC1" w:rsidR="00B01F38" w:rsidRDefault="00B01F38" w:rsidP="003812CB">
            <w:pPr>
              <w:pStyle w:val="ListParagraph"/>
              <w:numPr>
                <w:ilvl w:val="0"/>
                <w:numId w:val="72"/>
              </w:numPr>
              <w:ind w:left="360"/>
              <w:contextualSpacing/>
              <w:jc w:val="left"/>
            </w:pPr>
            <w:r>
              <w:t xml:space="preserve">Pay any outstanding </w:t>
            </w:r>
            <w:r w:rsidR="005A6242">
              <w:t>third-party</w:t>
            </w:r>
            <w:r>
              <w:t xml:space="preserve"> fund liabilities; withhold any necessary taxation that may need to be remitted </w:t>
            </w:r>
          </w:p>
          <w:p w14:paraId="5A5CE8E6" w14:textId="77777777" w:rsidR="00B01F38" w:rsidRPr="00F549B5" w:rsidRDefault="00B01F38" w:rsidP="004D3D61">
            <w:pPr>
              <w:pStyle w:val="ListParagraph"/>
              <w:ind w:left="360"/>
            </w:pPr>
          </w:p>
          <w:p w14:paraId="395FB891" w14:textId="77777777" w:rsidR="00B01F38" w:rsidRDefault="00B01F38" w:rsidP="003812CB">
            <w:pPr>
              <w:pStyle w:val="ListParagraph"/>
              <w:numPr>
                <w:ilvl w:val="0"/>
                <w:numId w:val="72"/>
              </w:numPr>
              <w:ind w:left="360"/>
              <w:contextualSpacing/>
              <w:jc w:val="left"/>
            </w:pPr>
            <w:r w:rsidRPr="00F549B5">
              <w:t>Once all of the SMSF's assets have been determined, then the trustee(s) must either pay out o</w:t>
            </w:r>
            <w:r>
              <w:t>r rollover the member(s) benefits</w:t>
            </w:r>
          </w:p>
          <w:p w14:paraId="28385391" w14:textId="77777777" w:rsidR="00B01F38" w:rsidRPr="00FE1300" w:rsidRDefault="00B01F38" w:rsidP="004D3D61">
            <w:pPr>
              <w:pStyle w:val="ListParagraph"/>
              <w:ind w:left="360"/>
            </w:pPr>
          </w:p>
          <w:p w14:paraId="13EAA0B2" w14:textId="77777777" w:rsidR="00B01F38" w:rsidRDefault="00B01F38" w:rsidP="004D3D61">
            <w:pPr>
              <w:pStyle w:val="ListParagraph"/>
              <w:ind w:left="360"/>
              <w:jc w:val="left"/>
            </w:pPr>
            <w:r w:rsidRPr="00F549B5">
              <w:t>Trustees must observe any supe</w:t>
            </w:r>
            <w:r>
              <w:t xml:space="preserve">rannuation legislation/regulations that restrict member benefits. </w:t>
            </w:r>
            <w:r w:rsidRPr="00F549B5">
              <w:t xml:space="preserve"> </w:t>
            </w:r>
            <w:r>
              <w:t xml:space="preserve">As necessary, </w:t>
            </w:r>
            <w:r w:rsidRPr="00F549B5">
              <w:t xml:space="preserve">benefits to be rolled over </w:t>
            </w:r>
            <w:r>
              <w:t>must only be paid to a complying super fund</w:t>
            </w:r>
          </w:p>
          <w:p w14:paraId="2B2376ED" w14:textId="77777777" w:rsidR="00B01F38" w:rsidRDefault="00B01F38" w:rsidP="004D3D61">
            <w:pPr>
              <w:pStyle w:val="ListParagraph"/>
              <w:ind w:left="360"/>
            </w:pPr>
          </w:p>
          <w:p w14:paraId="0A9626A9" w14:textId="77777777" w:rsidR="00B01F38" w:rsidRDefault="00B01F38" w:rsidP="003812CB">
            <w:pPr>
              <w:pStyle w:val="ListParagraph"/>
              <w:numPr>
                <w:ilvl w:val="0"/>
                <w:numId w:val="72"/>
              </w:numPr>
              <w:ind w:left="360"/>
              <w:contextualSpacing/>
              <w:jc w:val="left"/>
            </w:pPr>
            <w:r w:rsidRPr="00FE1300">
              <w:t>Prepare and lodge any outstanding Tax returns</w:t>
            </w:r>
            <w:r>
              <w:t xml:space="preserve"> from previous periods</w:t>
            </w:r>
          </w:p>
          <w:p w14:paraId="3D55DC97" w14:textId="77777777" w:rsidR="00B01F38" w:rsidRDefault="00B01F38" w:rsidP="004D3D61">
            <w:pPr>
              <w:pStyle w:val="ListParagraph"/>
              <w:ind w:left="360"/>
              <w:jc w:val="left"/>
            </w:pPr>
          </w:p>
          <w:p w14:paraId="21FC535D" w14:textId="77777777" w:rsidR="00B01F38" w:rsidRDefault="00B01F38" w:rsidP="003812CB">
            <w:pPr>
              <w:pStyle w:val="ListParagraph"/>
              <w:numPr>
                <w:ilvl w:val="0"/>
                <w:numId w:val="72"/>
              </w:numPr>
              <w:ind w:left="360"/>
              <w:contextualSpacing/>
              <w:jc w:val="left"/>
            </w:pPr>
            <w:r w:rsidRPr="00F549B5">
              <w:t>Arrange for an approved auditor to conduct a final audit of the SMSF. This audit must be completed before the final tax return can be lodged</w:t>
            </w:r>
          </w:p>
          <w:p w14:paraId="6816EDB3" w14:textId="77777777" w:rsidR="00B01F38" w:rsidRPr="001946D5" w:rsidRDefault="00B01F38" w:rsidP="00B01F38">
            <w:pPr>
              <w:jc w:val="left"/>
            </w:pPr>
          </w:p>
          <w:p w14:paraId="52A9E0D7" w14:textId="77777777" w:rsidR="00B01F38" w:rsidRDefault="00B01F38" w:rsidP="003812CB">
            <w:pPr>
              <w:pStyle w:val="ListParagraph"/>
              <w:numPr>
                <w:ilvl w:val="0"/>
                <w:numId w:val="72"/>
              </w:numPr>
              <w:ind w:left="360"/>
              <w:contextualSpacing/>
              <w:jc w:val="left"/>
            </w:pPr>
            <w:r w:rsidRPr="00F549B5">
              <w:t>Lodge the SMSF's final annual tax return</w:t>
            </w:r>
          </w:p>
          <w:p w14:paraId="5A2378C3" w14:textId="77777777" w:rsidR="00B01F38" w:rsidRPr="00374955" w:rsidRDefault="00B01F38" w:rsidP="00B01F38">
            <w:pPr>
              <w:pStyle w:val="ListParagraph"/>
            </w:pPr>
          </w:p>
          <w:p w14:paraId="1DDCB6D2" w14:textId="77777777" w:rsidR="00B01F38" w:rsidRPr="00F549B5" w:rsidRDefault="00B01F38" w:rsidP="003812CB">
            <w:pPr>
              <w:pStyle w:val="ListParagraph"/>
              <w:numPr>
                <w:ilvl w:val="0"/>
                <w:numId w:val="72"/>
              </w:numPr>
              <w:ind w:left="317" w:hanging="317"/>
              <w:contextualSpacing/>
              <w:jc w:val="left"/>
            </w:pPr>
            <w:r w:rsidRPr="00F549B5">
              <w:t>Notify the ATO, in writing, within 28 days of the SMSF being wound up, with the following information:</w:t>
            </w:r>
          </w:p>
          <w:p w14:paraId="375E51EF" w14:textId="77777777" w:rsidR="00B01F38" w:rsidRPr="00F549B5" w:rsidRDefault="00B01F38" w:rsidP="003812CB">
            <w:pPr>
              <w:pStyle w:val="ListParagraph"/>
              <w:numPr>
                <w:ilvl w:val="0"/>
                <w:numId w:val="73"/>
              </w:numPr>
              <w:contextualSpacing/>
              <w:jc w:val="left"/>
            </w:pPr>
            <w:r w:rsidRPr="00F549B5">
              <w:t>Name and ABN of the SMSF;</w:t>
            </w:r>
          </w:p>
          <w:p w14:paraId="387A07C7" w14:textId="77777777" w:rsidR="00B01F38" w:rsidRPr="00F549B5" w:rsidRDefault="00B01F38" w:rsidP="003812CB">
            <w:pPr>
              <w:pStyle w:val="ListParagraph"/>
              <w:numPr>
                <w:ilvl w:val="0"/>
                <w:numId w:val="73"/>
              </w:numPr>
              <w:contextualSpacing/>
              <w:jc w:val="left"/>
            </w:pPr>
            <w:r w:rsidRPr="00F549B5">
              <w:t>Date the SMSF was wound up,</w:t>
            </w:r>
          </w:p>
          <w:p w14:paraId="3C8941D9" w14:textId="77777777" w:rsidR="00B01F38" w:rsidRPr="00F549B5" w:rsidRDefault="00B01F38" w:rsidP="003812CB">
            <w:pPr>
              <w:pStyle w:val="ListParagraph"/>
              <w:numPr>
                <w:ilvl w:val="0"/>
                <w:numId w:val="73"/>
              </w:numPr>
              <w:contextualSpacing/>
              <w:jc w:val="left"/>
            </w:pPr>
            <w:r w:rsidRPr="00F549B5">
              <w:t>Details of a contact person including their name, phone number and fax number.</w:t>
            </w:r>
          </w:p>
          <w:p w14:paraId="78AFF287" w14:textId="77777777" w:rsidR="00B01F38" w:rsidRPr="00F549B5" w:rsidRDefault="00B01F38" w:rsidP="003812CB">
            <w:pPr>
              <w:pStyle w:val="ListParagraph"/>
              <w:numPr>
                <w:ilvl w:val="0"/>
                <w:numId w:val="73"/>
              </w:numPr>
              <w:contextualSpacing/>
              <w:jc w:val="left"/>
            </w:pPr>
            <w:r w:rsidRPr="00F549B5">
              <w:t>If the SMSF has a corporate trustee, decide whether they wish to deregister (or wind-up and deregistration) the company with the Australian Securities and Investments Commission.</w:t>
            </w:r>
          </w:p>
          <w:p w14:paraId="02446C1F" w14:textId="77777777" w:rsidR="008370F0" w:rsidRPr="00E87AAA" w:rsidRDefault="008370F0" w:rsidP="00AE7DFE">
            <w:pPr>
              <w:spacing w:before="120"/>
              <w:jc w:val="left"/>
              <w:rPr>
                <w:sz w:val="18"/>
                <w:szCs w:val="18"/>
                <w:highlight w:val="yellow"/>
              </w:rPr>
            </w:pPr>
          </w:p>
        </w:tc>
      </w:tr>
    </w:tbl>
    <w:p w14:paraId="2AD8293D" w14:textId="77777777" w:rsidR="008370F0" w:rsidRPr="008370F0" w:rsidRDefault="008370F0" w:rsidP="00672125"/>
    <w:bookmarkEnd w:id="79"/>
    <w:bookmarkEnd w:id="80"/>
    <w:p w14:paraId="4FD5866F" w14:textId="3BA7C5BA" w:rsidR="00D17C9E" w:rsidRPr="00667E39" w:rsidRDefault="00961112" w:rsidP="00184E5D">
      <w:pPr>
        <w:rPr>
          <w:b/>
        </w:rPr>
      </w:pPr>
      <w:r w:rsidRPr="00667E39">
        <w:rPr>
          <w:b/>
        </w:rPr>
        <w:br w:type="page"/>
      </w:r>
    </w:p>
    <w:p w14:paraId="13FD3B35" w14:textId="77777777" w:rsidR="007E40D1" w:rsidRDefault="007E40D1" w:rsidP="0008751D">
      <w:pPr>
        <w:pStyle w:val="Heading2"/>
        <w:sectPr w:rsidR="007E40D1" w:rsidSect="008C0AC7">
          <w:type w:val="continuous"/>
          <w:pgSz w:w="11906" w:h="16838" w:code="9"/>
          <w:pgMar w:top="1134" w:right="566" w:bottom="426" w:left="709" w:header="567" w:footer="95" w:gutter="0"/>
          <w:cols w:space="708"/>
          <w:docGrid w:linePitch="360"/>
        </w:sectPr>
      </w:pPr>
      <w:bookmarkStart w:id="81" w:name="_Toc377642875"/>
    </w:p>
    <w:p w14:paraId="4D933DB8" w14:textId="3C722742" w:rsidR="00BF00E2" w:rsidRDefault="00BF00E2" w:rsidP="0008751D">
      <w:pPr>
        <w:pStyle w:val="Heading2"/>
      </w:pPr>
      <w:bookmarkStart w:id="82" w:name="_Toc46236029"/>
      <w:r w:rsidRPr="005F763D">
        <w:lastRenderedPageBreak/>
        <w:t>Social Security</w:t>
      </w:r>
      <w:bookmarkEnd w:id="37"/>
      <w:bookmarkEnd w:id="81"/>
      <w:bookmarkEnd w:id="82"/>
    </w:p>
    <w:p w14:paraId="6FB42C00" w14:textId="0D97F71B" w:rsidR="002B6160" w:rsidRDefault="002B6160" w:rsidP="002B6160"/>
    <w:p w14:paraId="5B72512E" w14:textId="77777777" w:rsidR="002B6160" w:rsidRPr="005F763D" w:rsidRDefault="002B6160" w:rsidP="0008751D">
      <w:pPr>
        <w:pStyle w:val="Heading2"/>
      </w:pPr>
      <w:bookmarkStart w:id="83" w:name="_Toc46236030"/>
      <w:r w:rsidRPr="005F763D">
        <w:t>Aged Care</w:t>
      </w:r>
      <w:bookmarkEnd w:id="83"/>
    </w:p>
    <w:p w14:paraId="4BA14A0C" w14:textId="77777777" w:rsidR="002B6160" w:rsidRPr="005F763D" w:rsidRDefault="002B6160" w:rsidP="002B6160">
      <w:pPr>
        <w:jc w:val="left"/>
      </w:pPr>
    </w:p>
    <w:p w14:paraId="05A27D43" w14:textId="77777777" w:rsidR="002B6160" w:rsidRPr="005F763D" w:rsidRDefault="002B6160" w:rsidP="002B6160">
      <w:pPr>
        <w:jc w:val="left"/>
        <w:rPr>
          <w:color w:val="002060"/>
          <w:sz w:val="24"/>
        </w:rPr>
      </w:pPr>
      <w:r w:rsidRPr="005F763D">
        <w:rPr>
          <w:color w:val="002060"/>
          <w:sz w:val="24"/>
        </w:rPr>
        <w:t>Home Care</w:t>
      </w:r>
    </w:p>
    <w:p w14:paraId="45AC3115" w14:textId="77777777" w:rsidR="002B6160" w:rsidRPr="005F763D" w:rsidRDefault="002B6160" w:rsidP="002B6160">
      <w:pPr>
        <w:jc w:val="left"/>
      </w:pPr>
    </w:p>
    <w:tbl>
      <w:tblPr>
        <w:tblStyle w:val="TableGrid"/>
        <w:tblW w:w="0" w:type="auto"/>
        <w:tblInd w:w="76" w:type="dxa"/>
        <w:tblLook w:val="04A0" w:firstRow="1" w:lastRow="0" w:firstColumn="1" w:lastColumn="0" w:noHBand="0" w:noVBand="1"/>
      </w:tblPr>
      <w:tblGrid>
        <w:gridCol w:w="2754"/>
        <w:gridCol w:w="6798"/>
      </w:tblGrid>
      <w:tr w:rsidR="002B6160" w:rsidRPr="00E51BEA" w14:paraId="3EF7319D" w14:textId="77777777" w:rsidTr="00C82037">
        <w:tc>
          <w:tcPr>
            <w:tcW w:w="2754" w:type="dxa"/>
          </w:tcPr>
          <w:p w14:paraId="79E3BFE0" w14:textId="77777777" w:rsidR="002B6160" w:rsidRPr="00EA0A06" w:rsidRDefault="002B6160" w:rsidP="00C82037">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144FEFE" w14:textId="77777777" w:rsidR="002B6160" w:rsidRPr="00E51BEA" w:rsidRDefault="002B6160" w:rsidP="00C82037">
            <w:pPr>
              <w:pStyle w:val="TableHeader2"/>
              <w:rPr>
                <w:rFonts w:ascii="Calibri Light" w:hAnsi="Calibri Light"/>
              </w:rPr>
            </w:pPr>
          </w:p>
        </w:tc>
      </w:tr>
      <w:tr w:rsidR="002B6160" w:rsidRPr="00E51BEA" w14:paraId="74751838" w14:textId="77777777" w:rsidTr="00C82037">
        <w:tc>
          <w:tcPr>
            <w:tcW w:w="2754" w:type="dxa"/>
          </w:tcPr>
          <w:p w14:paraId="2C37179F" w14:textId="77777777" w:rsidR="002B6160" w:rsidRPr="00EA0A06" w:rsidRDefault="002B6160" w:rsidP="00E164DA">
            <w:pPr>
              <w:pStyle w:val="Instructions"/>
            </w:pPr>
            <w:r w:rsidRPr="00EA0A06">
              <w:t>Title</w:t>
            </w:r>
          </w:p>
        </w:tc>
        <w:tc>
          <w:tcPr>
            <w:tcW w:w="6798" w:type="dxa"/>
          </w:tcPr>
          <w:p w14:paraId="58920275" w14:textId="77777777" w:rsidR="002B6160" w:rsidRPr="00E51BEA" w:rsidRDefault="002B6160" w:rsidP="00C82037">
            <w:pPr>
              <w:jc w:val="left"/>
            </w:pPr>
            <w:r>
              <w:t>Aged Care at Home</w:t>
            </w:r>
          </w:p>
        </w:tc>
      </w:tr>
      <w:tr w:rsidR="002B6160" w:rsidRPr="00E51BEA" w14:paraId="61C12E09" w14:textId="77777777" w:rsidTr="00C82037">
        <w:tc>
          <w:tcPr>
            <w:tcW w:w="2754" w:type="dxa"/>
          </w:tcPr>
          <w:p w14:paraId="4B2F14C1" w14:textId="77777777" w:rsidR="002B6160" w:rsidRPr="00EA0A06" w:rsidRDefault="002B6160" w:rsidP="00E164DA">
            <w:pPr>
              <w:pStyle w:val="Instructions"/>
            </w:pPr>
            <w:r w:rsidRPr="00EA0A06">
              <w:t>Explanation</w:t>
            </w:r>
          </w:p>
        </w:tc>
        <w:tc>
          <w:tcPr>
            <w:tcW w:w="6798" w:type="dxa"/>
          </w:tcPr>
          <w:p w14:paraId="683C060E" w14:textId="03FDBC6A" w:rsidR="002B6160" w:rsidRPr="00E51BEA" w:rsidRDefault="002B6160" w:rsidP="00E164DA">
            <w:pPr>
              <w:pStyle w:val="Instructions"/>
            </w:pPr>
          </w:p>
        </w:tc>
      </w:tr>
      <w:tr w:rsidR="002B6160" w:rsidRPr="00E51BEA" w14:paraId="212DDBB7" w14:textId="77777777" w:rsidTr="00C82037">
        <w:tc>
          <w:tcPr>
            <w:tcW w:w="2754" w:type="dxa"/>
          </w:tcPr>
          <w:p w14:paraId="4B0FFF23" w14:textId="77777777" w:rsidR="002B6160" w:rsidRPr="00EA0A06" w:rsidRDefault="002B6160" w:rsidP="00E164DA">
            <w:pPr>
              <w:pStyle w:val="Instructions"/>
            </w:pPr>
            <w:r w:rsidRPr="00EA0A06">
              <w:t>In your Best Interest</w:t>
            </w:r>
          </w:p>
        </w:tc>
        <w:tc>
          <w:tcPr>
            <w:tcW w:w="6798" w:type="dxa"/>
          </w:tcPr>
          <w:p w14:paraId="3FBBC2D2" w14:textId="77777777" w:rsidR="002B6160" w:rsidRPr="00E51BEA" w:rsidRDefault="002B6160" w:rsidP="00E164DA">
            <w:pPr>
              <w:pStyle w:val="Instructions"/>
            </w:pPr>
          </w:p>
        </w:tc>
      </w:tr>
      <w:tr w:rsidR="002B6160" w:rsidRPr="00E51BEA" w14:paraId="4ED5BF76" w14:textId="77777777" w:rsidTr="00C82037">
        <w:tc>
          <w:tcPr>
            <w:tcW w:w="2754" w:type="dxa"/>
          </w:tcPr>
          <w:p w14:paraId="7752C4C2" w14:textId="77777777" w:rsidR="002B6160" w:rsidRPr="00EA0A06" w:rsidRDefault="002B6160" w:rsidP="00E164DA">
            <w:pPr>
              <w:pStyle w:val="Instructions"/>
            </w:pPr>
            <w:r w:rsidRPr="00EA0A06">
              <w:t>Further Detail</w:t>
            </w:r>
          </w:p>
        </w:tc>
        <w:tc>
          <w:tcPr>
            <w:tcW w:w="6798" w:type="dxa"/>
          </w:tcPr>
          <w:p w14:paraId="3D53390B" w14:textId="77777777" w:rsidR="002B6160" w:rsidRPr="005F763D" w:rsidRDefault="002B6160" w:rsidP="00C82037">
            <w:pPr>
              <w:jc w:val="left"/>
            </w:pPr>
            <w:r w:rsidRPr="005F763D">
              <w:t>Based on the information outlined, we estimate you will be liable for the following amounts if you implement a home care package:</w:t>
            </w:r>
          </w:p>
          <w:p w14:paraId="3CC02A7F" w14:textId="77777777" w:rsidR="002B6160" w:rsidRPr="003F045A" w:rsidRDefault="002B6160" w:rsidP="003812CB">
            <w:pPr>
              <w:pStyle w:val="InterPracBullet1"/>
              <w:numPr>
                <w:ilvl w:val="0"/>
                <w:numId w:val="60"/>
              </w:numPr>
              <w:rPr>
                <w:b w:val="0"/>
              </w:rPr>
            </w:pPr>
            <w:r w:rsidRPr="003F045A">
              <w:rPr>
                <w:b w:val="0"/>
              </w:rPr>
              <w:t>A basic daily care fee of $</w:t>
            </w:r>
            <w:r w:rsidRPr="003F045A">
              <w:rPr>
                <w:b w:val="0"/>
                <w:color w:val="FF0000"/>
              </w:rPr>
              <w:t>[___,___]</w:t>
            </w:r>
            <w:r w:rsidRPr="003F045A">
              <w:rPr>
                <w:b w:val="0"/>
              </w:rPr>
              <w:t xml:space="preserve"> per day, $</w:t>
            </w:r>
            <w:r w:rsidRPr="003F045A">
              <w:rPr>
                <w:b w:val="0"/>
                <w:color w:val="FF0000"/>
              </w:rPr>
              <w:t>[___,___]</w:t>
            </w:r>
            <w:r w:rsidRPr="003F045A">
              <w:rPr>
                <w:b w:val="0"/>
              </w:rPr>
              <w:t xml:space="preserve"> per annum.</w:t>
            </w:r>
          </w:p>
          <w:p w14:paraId="332B1943" w14:textId="77777777" w:rsidR="002B6160" w:rsidRPr="003F045A" w:rsidRDefault="002B6160" w:rsidP="003812CB">
            <w:pPr>
              <w:pStyle w:val="InterPracBullet1"/>
              <w:numPr>
                <w:ilvl w:val="0"/>
                <w:numId w:val="60"/>
              </w:numPr>
              <w:rPr>
                <w:b w:val="0"/>
              </w:rPr>
            </w:pPr>
            <w:r w:rsidRPr="003F045A">
              <w:rPr>
                <w:b w:val="0"/>
              </w:rPr>
              <w:t>An income tested daily care fee of $</w:t>
            </w:r>
            <w:r w:rsidRPr="003F045A">
              <w:rPr>
                <w:b w:val="0"/>
                <w:color w:val="FF0000"/>
              </w:rPr>
              <w:t>[___,___]</w:t>
            </w:r>
            <w:r w:rsidRPr="003F045A">
              <w:rPr>
                <w:b w:val="0"/>
              </w:rPr>
              <w:t xml:space="preserve"> per day, $</w:t>
            </w:r>
            <w:r w:rsidRPr="003F045A">
              <w:rPr>
                <w:b w:val="0"/>
                <w:color w:val="FF0000"/>
              </w:rPr>
              <w:t>[___,___]</w:t>
            </w:r>
            <w:r w:rsidRPr="003F045A">
              <w:rPr>
                <w:b w:val="0"/>
              </w:rPr>
              <w:t xml:space="preserve"> per annum.</w:t>
            </w:r>
          </w:p>
          <w:p w14:paraId="1774F1FD" w14:textId="77777777" w:rsidR="002B6160" w:rsidRPr="005F763D" w:rsidRDefault="002B6160" w:rsidP="00C82037">
            <w:pPr>
              <w:jc w:val="left"/>
            </w:pPr>
          </w:p>
          <w:p w14:paraId="7C7437CB" w14:textId="77777777" w:rsidR="002B6160" w:rsidRDefault="002B6160" w:rsidP="00C82037">
            <w:pPr>
              <w:jc w:val="left"/>
            </w:pPr>
            <w:r w:rsidRPr="005F763D">
              <w:t>Therefore, we estimate your total home care package costs of living requirements will be approximately $</w:t>
            </w:r>
            <w:r w:rsidRPr="005F763D">
              <w:rPr>
                <w:color w:val="FF0000"/>
              </w:rPr>
              <w:t>[__</w:t>
            </w:r>
            <w:proofErr w:type="gramStart"/>
            <w:r w:rsidRPr="005F763D">
              <w:rPr>
                <w:color w:val="FF0000"/>
              </w:rPr>
              <w:t>_,_</w:t>
            </w:r>
            <w:proofErr w:type="gramEnd"/>
            <w:r w:rsidRPr="005F763D">
              <w:rPr>
                <w:color w:val="FF0000"/>
              </w:rPr>
              <w:t>__]</w:t>
            </w:r>
            <w:r w:rsidRPr="005F763D">
              <w:t xml:space="preserve"> per annum.</w:t>
            </w:r>
          </w:p>
          <w:p w14:paraId="118D727E" w14:textId="77777777" w:rsidR="002B6160" w:rsidRPr="005F763D" w:rsidRDefault="002B6160" w:rsidP="00C82037">
            <w:pPr>
              <w:jc w:val="left"/>
            </w:pPr>
          </w:p>
          <w:p w14:paraId="7A6DF61B" w14:textId="77777777" w:rsidR="002B6160" w:rsidRPr="005F763D" w:rsidRDefault="002B6160" w:rsidP="00C82037">
            <w:pPr>
              <w:jc w:val="left"/>
            </w:pPr>
            <w:r w:rsidRPr="005F763D">
              <w:t xml:space="preserve">Please refer the </w:t>
            </w:r>
            <w:r>
              <w:t>A</w:t>
            </w:r>
            <w:r w:rsidRPr="005F763D">
              <w:t xml:space="preserve">ppendix </w:t>
            </w:r>
            <w:r>
              <w:t>section</w:t>
            </w:r>
            <w:r w:rsidRPr="005F763D">
              <w:t xml:space="preserve"> titled </w:t>
            </w:r>
            <w:r>
              <w:t>‘Aged Care</w:t>
            </w:r>
            <w:r w:rsidRPr="005F763D">
              <w:t xml:space="preserve"> – </w:t>
            </w:r>
            <w:r>
              <w:t>Home Care Packages’</w:t>
            </w:r>
            <w:r w:rsidRPr="005F763D">
              <w:t xml:space="preserve"> for </w:t>
            </w:r>
            <w:r>
              <w:t>more information.</w:t>
            </w:r>
          </w:p>
          <w:p w14:paraId="67875BB3" w14:textId="77777777" w:rsidR="002B6160" w:rsidRPr="00E51BEA" w:rsidRDefault="002B6160" w:rsidP="00E164DA">
            <w:pPr>
              <w:pStyle w:val="Instructions"/>
            </w:pPr>
          </w:p>
        </w:tc>
      </w:tr>
    </w:tbl>
    <w:p w14:paraId="791EFF1C" w14:textId="77777777" w:rsidR="002B6160" w:rsidRDefault="002B6160" w:rsidP="002B6160">
      <w:pPr>
        <w:jc w:val="left"/>
      </w:pPr>
    </w:p>
    <w:p w14:paraId="352DCEEE" w14:textId="77777777" w:rsidR="002B6160" w:rsidRPr="005F763D" w:rsidRDefault="002B6160" w:rsidP="002B6160">
      <w:pPr>
        <w:jc w:val="left"/>
      </w:pPr>
    </w:p>
    <w:p w14:paraId="396860BF" w14:textId="77777777" w:rsidR="002B6160" w:rsidRPr="005F763D" w:rsidRDefault="002B6160" w:rsidP="002B6160">
      <w:pPr>
        <w:jc w:val="left"/>
      </w:pPr>
    </w:p>
    <w:p w14:paraId="74544285" w14:textId="77777777" w:rsidR="002B6160" w:rsidRPr="005F763D" w:rsidRDefault="002B6160" w:rsidP="002B6160">
      <w:pPr>
        <w:jc w:val="left"/>
        <w:rPr>
          <w:color w:val="002060"/>
          <w:sz w:val="24"/>
        </w:rPr>
      </w:pPr>
      <w:r w:rsidRPr="005F763D">
        <w:rPr>
          <w:color w:val="002060"/>
          <w:sz w:val="24"/>
        </w:rPr>
        <w:t>Residential Care</w:t>
      </w:r>
    </w:p>
    <w:p w14:paraId="5F88DEED" w14:textId="77777777" w:rsidR="002B6160" w:rsidRPr="005F763D" w:rsidRDefault="002B6160" w:rsidP="002B6160">
      <w:pPr>
        <w:jc w:val="left"/>
      </w:pPr>
    </w:p>
    <w:tbl>
      <w:tblPr>
        <w:tblStyle w:val="TableGrid"/>
        <w:tblW w:w="0" w:type="auto"/>
        <w:tblInd w:w="76" w:type="dxa"/>
        <w:tblLook w:val="04A0" w:firstRow="1" w:lastRow="0" w:firstColumn="1" w:lastColumn="0" w:noHBand="0" w:noVBand="1"/>
      </w:tblPr>
      <w:tblGrid>
        <w:gridCol w:w="2754"/>
        <w:gridCol w:w="6798"/>
      </w:tblGrid>
      <w:tr w:rsidR="002B6160" w:rsidRPr="00E51BEA" w14:paraId="533EFE22" w14:textId="77777777" w:rsidTr="00C82037">
        <w:tc>
          <w:tcPr>
            <w:tcW w:w="2754" w:type="dxa"/>
          </w:tcPr>
          <w:p w14:paraId="20DD189E" w14:textId="77777777" w:rsidR="002B6160" w:rsidRPr="00EA0A06" w:rsidRDefault="002B6160" w:rsidP="00C82037">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5D063C2A" w14:textId="77777777" w:rsidR="002B6160" w:rsidRPr="00E51BEA" w:rsidRDefault="002B6160" w:rsidP="00C82037">
            <w:pPr>
              <w:pStyle w:val="TableHeader2"/>
              <w:rPr>
                <w:rFonts w:ascii="Calibri Light" w:hAnsi="Calibri Light"/>
              </w:rPr>
            </w:pPr>
          </w:p>
        </w:tc>
      </w:tr>
      <w:tr w:rsidR="002B6160" w:rsidRPr="00E51BEA" w14:paraId="443CFC5F" w14:textId="77777777" w:rsidTr="00C82037">
        <w:tc>
          <w:tcPr>
            <w:tcW w:w="2754" w:type="dxa"/>
          </w:tcPr>
          <w:p w14:paraId="32A84741" w14:textId="77777777" w:rsidR="002B6160" w:rsidRPr="00EA0A06" w:rsidRDefault="002B6160" w:rsidP="00E164DA">
            <w:pPr>
              <w:pStyle w:val="Instructions"/>
            </w:pPr>
            <w:r w:rsidRPr="00EA0A06">
              <w:t>Title</w:t>
            </w:r>
          </w:p>
        </w:tc>
        <w:tc>
          <w:tcPr>
            <w:tcW w:w="6798" w:type="dxa"/>
          </w:tcPr>
          <w:p w14:paraId="7CC2477A" w14:textId="77777777" w:rsidR="002B6160" w:rsidRPr="00E51BEA" w:rsidRDefault="002B6160" w:rsidP="00C82037">
            <w:pPr>
              <w:jc w:val="left"/>
            </w:pPr>
            <w:r>
              <w:t>Residential Aged Care</w:t>
            </w:r>
          </w:p>
        </w:tc>
      </w:tr>
      <w:tr w:rsidR="002B6160" w:rsidRPr="00E51BEA" w14:paraId="2381527F" w14:textId="77777777" w:rsidTr="00C82037">
        <w:tc>
          <w:tcPr>
            <w:tcW w:w="2754" w:type="dxa"/>
          </w:tcPr>
          <w:p w14:paraId="72AA9576" w14:textId="77777777" w:rsidR="002B6160" w:rsidRPr="00EA0A06" w:rsidRDefault="002B6160" w:rsidP="00E164DA">
            <w:pPr>
              <w:pStyle w:val="Instructions"/>
            </w:pPr>
            <w:r w:rsidRPr="00EA0A06">
              <w:t>Explanation</w:t>
            </w:r>
          </w:p>
        </w:tc>
        <w:tc>
          <w:tcPr>
            <w:tcW w:w="6798" w:type="dxa"/>
          </w:tcPr>
          <w:p w14:paraId="1534BE9D" w14:textId="77777777" w:rsidR="002B6160" w:rsidRPr="00E51BEA" w:rsidRDefault="002B6160" w:rsidP="00E164DA">
            <w:pPr>
              <w:pStyle w:val="Instructions"/>
            </w:pPr>
          </w:p>
        </w:tc>
      </w:tr>
      <w:tr w:rsidR="002B6160" w:rsidRPr="00E51BEA" w14:paraId="699E06D2" w14:textId="77777777" w:rsidTr="00C82037">
        <w:tc>
          <w:tcPr>
            <w:tcW w:w="2754" w:type="dxa"/>
          </w:tcPr>
          <w:p w14:paraId="33469439" w14:textId="77777777" w:rsidR="002B6160" w:rsidRPr="00EA0A06" w:rsidRDefault="002B6160" w:rsidP="00E164DA">
            <w:pPr>
              <w:pStyle w:val="Instructions"/>
            </w:pPr>
            <w:r w:rsidRPr="00EA0A06">
              <w:t>In your Best Interest</w:t>
            </w:r>
          </w:p>
        </w:tc>
        <w:tc>
          <w:tcPr>
            <w:tcW w:w="6798" w:type="dxa"/>
          </w:tcPr>
          <w:p w14:paraId="35B1307D" w14:textId="77777777" w:rsidR="002B6160" w:rsidRPr="00E51BEA" w:rsidRDefault="002B6160" w:rsidP="00E164DA">
            <w:pPr>
              <w:pStyle w:val="Instructions"/>
            </w:pPr>
          </w:p>
        </w:tc>
      </w:tr>
      <w:tr w:rsidR="002B6160" w:rsidRPr="00E51BEA" w14:paraId="3870A9BE" w14:textId="77777777" w:rsidTr="00C82037">
        <w:tc>
          <w:tcPr>
            <w:tcW w:w="2754" w:type="dxa"/>
          </w:tcPr>
          <w:p w14:paraId="6E789734" w14:textId="77777777" w:rsidR="002B6160" w:rsidRPr="00EA0A06" w:rsidRDefault="002B6160" w:rsidP="00E164DA">
            <w:pPr>
              <w:pStyle w:val="Instructions"/>
            </w:pPr>
            <w:r w:rsidRPr="00EA0A06">
              <w:t>Further Detail</w:t>
            </w:r>
          </w:p>
        </w:tc>
        <w:tc>
          <w:tcPr>
            <w:tcW w:w="6798" w:type="dxa"/>
          </w:tcPr>
          <w:p w14:paraId="234D9BD4" w14:textId="77777777" w:rsidR="002B6160" w:rsidRDefault="002B6160" w:rsidP="00C82037">
            <w:pPr>
              <w:jc w:val="left"/>
            </w:pPr>
            <w:r w:rsidRPr="005F763D">
              <w:t xml:space="preserve">Based on the information outlined, we estimate you will be liable for the following amounts if you move into </w:t>
            </w:r>
            <w:r>
              <w:t>institutional care</w:t>
            </w:r>
            <w:r w:rsidRPr="005F763D">
              <w:t>:</w:t>
            </w:r>
          </w:p>
          <w:p w14:paraId="735FEA41" w14:textId="77777777" w:rsidR="002B6160" w:rsidRDefault="002B6160" w:rsidP="00C82037">
            <w:pPr>
              <w:jc w:val="left"/>
            </w:pPr>
          </w:p>
          <w:p w14:paraId="41AAC270" w14:textId="77777777" w:rsidR="002B6160" w:rsidRPr="00A5134E" w:rsidRDefault="002B6160" w:rsidP="003812CB">
            <w:pPr>
              <w:pStyle w:val="InterPracBullet1"/>
              <w:numPr>
                <w:ilvl w:val="0"/>
                <w:numId w:val="60"/>
              </w:numPr>
              <w:rPr>
                <w:b w:val="0"/>
              </w:rPr>
            </w:pPr>
            <w:r w:rsidRPr="00A5134E">
              <w:rPr>
                <w:b w:val="0"/>
              </w:rPr>
              <w:t>An initial accommodation payment of $</w:t>
            </w:r>
            <w:r w:rsidRPr="00A5134E">
              <w:rPr>
                <w:b w:val="0"/>
                <w:color w:val="FF0000"/>
              </w:rPr>
              <w:t xml:space="preserve">[___,___] </w:t>
            </w:r>
            <w:r w:rsidRPr="00A5134E">
              <w:rPr>
                <w:b w:val="0"/>
              </w:rPr>
              <w:t xml:space="preserve">   [when client is paying a RAD, RAC]</w:t>
            </w:r>
          </w:p>
          <w:p w14:paraId="4EF22238" w14:textId="77777777" w:rsidR="002B6160" w:rsidRPr="00A5134E" w:rsidRDefault="002B6160" w:rsidP="003812CB">
            <w:pPr>
              <w:pStyle w:val="InterPracBullet1"/>
              <w:numPr>
                <w:ilvl w:val="0"/>
                <w:numId w:val="60"/>
              </w:numPr>
              <w:rPr>
                <w:b w:val="0"/>
              </w:rPr>
            </w:pPr>
            <w:r w:rsidRPr="00A5134E">
              <w:rPr>
                <w:b w:val="0"/>
              </w:rPr>
              <w:t>A basic daily care fee of $</w:t>
            </w:r>
            <w:r w:rsidRPr="00A5134E">
              <w:rPr>
                <w:b w:val="0"/>
                <w:color w:val="FF0000"/>
              </w:rPr>
              <w:t>[___,___]</w:t>
            </w:r>
            <w:r w:rsidRPr="00A5134E">
              <w:rPr>
                <w:b w:val="0"/>
              </w:rPr>
              <w:t xml:space="preserve"> per day, $</w:t>
            </w:r>
            <w:r w:rsidRPr="00A5134E">
              <w:rPr>
                <w:b w:val="0"/>
                <w:color w:val="FF0000"/>
              </w:rPr>
              <w:t xml:space="preserve">[___,___] </w:t>
            </w:r>
            <w:r w:rsidRPr="00A5134E">
              <w:rPr>
                <w:b w:val="0"/>
              </w:rPr>
              <w:t>per annum.</w:t>
            </w:r>
          </w:p>
          <w:p w14:paraId="3A17AEE3" w14:textId="77777777" w:rsidR="002B6160" w:rsidRPr="00A5134E" w:rsidRDefault="002B6160" w:rsidP="003812CB">
            <w:pPr>
              <w:pStyle w:val="InterPracBullet1"/>
              <w:numPr>
                <w:ilvl w:val="0"/>
                <w:numId w:val="60"/>
              </w:numPr>
              <w:rPr>
                <w:b w:val="0"/>
              </w:rPr>
            </w:pPr>
            <w:r w:rsidRPr="00A5134E">
              <w:rPr>
                <w:b w:val="0"/>
              </w:rPr>
              <w:t>A means tested fee of $</w:t>
            </w:r>
            <w:r w:rsidRPr="00A5134E">
              <w:rPr>
                <w:b w:val="0"/>
                <w:color w:val="FF0000"/>
              </w:rPr>
              <w:t xml:space="preserve">[___,___] </w:t>
            </w:r>
            <w:r w:rsidRPr="00A5134E">
              <w:rPr>
                <w:b w:val="0"/>
              </w:rPr>
              <w:t>per day, $</w:t>
            </w:r>
            <w:r w:rsidRPr="00A5134E">
              <w:rPr>
                <w:b w:val="0"/>
                <w:color w:val="FF0000"/>
              </w:rPr>
              <w:t>[___,___]</w:t>
            </w:r>
            <w:r w:rsidRPr="00A5134E">
              <w:rPr>
                <w:b w:val="0"/>
              </w:rPr>
              <w:t xml:space="preserve"> per annum.</w:t>
            </w:r>
          </w:p>
          <w:p w14:paraId="399D0D90" w14:textId="77777777" w:rsidR="002B6160" w:rsidRPr="00A5134E" w:rsidRDefault="002B6160" w:rsidP="003812CB">
            <w:pPr>
              <w:pStyle w:val="InterPracBullet1"/>
              <w:numPr>
                <w:ilvl w:val="0"/>
                <w:numId w:val="60"/>
              </w:numPr>
              <w:rPr>
                <w:b w:val="0"/>
              </w:rPr>
            </w:pPr>
            <w:r w:rsidRPr="00A5134E">
              <w:rPr>
                <w:b w:val="0"/>
              </w:rPr>
              <w:t>An accommodation payment of $</w:t>
            </w:r>
            <w:r w:rsidRPr="00A5134E">
              <w:rPr>
                <w:b w:val="0"/>
                <w:color w:val="FF0000"/>
              </w:rPr>
              <w:t xml:space="preserve">[___,___] </w:t>
            </w:r>
            <w:r w:rsidRPr="00A5134E">
              <w:rPr>
                <w:b w:val="0"/>
              </w:rPr>
              <w:t>per day.  [when client is paying a DAP, DAC]</w:t>
            </w:r>
          </w:p>
          <w:p w14:paraId="591E11A5" w14:textId="77777777" w:rsidR="002B6160" w:rsidRPr="005F763D" w:rsidRDefault="002B6160" w:rsidP="00C82037">
            <w:pPr>
              <w:jc w:val="left"/>
            </w:pPr>
          </w:p>
          <w:p w14:paraId="7197D9F4" w14:textId="54C7EF44" w:rsidR="002B6160" w:rsidRPr="005F763D" w:rsidRDefault="002B6160" w:rsidP="00C82037">
            <w:pPr>
              <w:jc w:val="left"/>
            </w:pPr>
            <w:r w:rsidRPr="005F763D">
              <w:t xml:space="preserve">Therefore, we estimate your total cost of living requirements after moving into the </w:t>
            </w:r>
            <w:r w:rsidRPr="002A5787">
              <w:rPr>
                <w:color w:val="auto"/>
              </w:rPr>
              <w:t xml:space="preserve">residential </w:t>
            </w:r>
            <w:r w:rsidR="005A6242" w:rsidRPr="002A5787">
              <w:rPr>
                <w:color w:val="auto"/>
              </w:rPr>
              <w:t>care will</w:t>
            </w:r>
            <w:r w:rsidRPr="005F763D">
              <w:t xml:space="preserve"> be approximately $</w:t>
            </w:r>
            <w:r w:rsidRPr="005F763D">
              <w:rPr>
                <w:color w:val="FF0000"/>
              </w:rPr>
              <w:t>[__</w:t>
            </w:r>
            <w:proofErr w:type="gramStart"/>
            <w:r w:rsidRPr="005F763D">
              <w:rPr>
                <w:color w:val="FF0000"/>
              </w:rPr>
              <w:t>_,_</w:t>
            </w:r>
            <w:proofErr w:type="gramEnd"/>
            <w:r w:rsidRPr="005F763D">
              <w:rPr>
                <w:color w:val="FF0000"/>
              </w:rPr>
              <w:t>__]</w:t>
            </w:r>
            <w:r w:rsidRPr="005F763D">
              <w:t xml:space="preserve"> per annum.</w:t>
            </w:r>
          </w:p>
          <w:p w14:paraId="69915EDF" w14:textId="77777777" w:rsidR="002B6160" w:rsidRPr="005F763D" w:rsidRDefault="002B6160" w:rsidP="00C82037">
            <w:pPr>
              <w:jc w:val="left"/>
            </w:pPr>
          </w:p>
          <w:p w14:paraId="08F18D52" w14:textId="77777777" w:rsidR="002B6160" w:rsidRDefault="002B6160" w:rsidP="00C82037">
            <w:pPr>
              <w:jc w:val="left"/>
            </w:pPr>
            <w:r w:rsidRPr="005F763D">
              <w:t xml:space="preserve">Please refer the </w:t>
            </w:r>
            <w:r>
              <w:t>A</w:t>
            </w:r>
            <w:r w:rsidRPr="005F763D">
              <w:t xml:space="preserve">ppendix </w:t>
            </w:r>
            <w:r>
              <w:t xml:space="preserve">section </w:t>
            </w:r>
            <w:r w:rsidRPr="005F763D">
              <w:t xml:space="preserve">titled </w:t>
            </w:r>
            <w:r>
              <w:t xml:space="preserve">‘Aged Care - </w:t>
            </w:r>
            <w:r w:rsidRPr="005F763D">
              <w:t>Residential Care</w:t>
            </w:r>
            <w:r>
              <w:t>’</w:t>
            </w:r>
            <w:r w:rsidRPr="005F763D">
              <w:t xml:space="preserve"> for </w:t>
            </w:r>
            <w:r>
              <w:t>more information</w:t>
            </w:r>
            <w:r w:rsidRPr="005F763D">
              <w:t xml:space="preserve">. </w:t>
            </w:r>
          </w:p>
          <w:p w14:paraId="35C74361" w14:textId="77777777" w:rsidR="002B6160" w:rsidRPr="00E51BEA" w:rsidRDefault="002B6160" w:rsidP="00E164DA">
            <w:pPr>
              <w:pStyle w:val="Instructions"/>
            </w:pPr>
          </w:p>
        </w:tc>
      </w:tr>
    </w:tbl>
    <w:p w14:paraId="552CBF21" w14:textId="77777777" w:rsidR="002B6160" w:rsidRDefault="002B6160" w:rsidP="002B6160">
      <w:pPr>
        <w:jc w:val="left"/>
      </w:pPr>
    </w:p>
    <w:p w14:paraId="30AD3E6A" w14:textId="77777777" w:rsidR="002B6160" w:rsidRPr="005F763D" w:rsidRDefault="002B6160" w:rsidP="002B6160">
      <w:pPr>
        <w:pStyle w:val="Coding"/>
      </w:pPr>
    </w:p>
    <w:p w14:paraId="19EF7EC8" w14:textId="77777777" w:rsidR="002B6160" w:rsidRPr="002B6160" w:rsidRDefault="002B6160" w:rsidP="00671B67"/>
    <w:p w14:paraId="24B39D2D" w14:textId="1CB5AA28" w:rsidR="00BF00E2" w:rsidRDefault="00BF00E2" w:rsidP="008C7CE9">
      <w:pPr>
        <w:jc w:val="left"/>
      </w:pPr>
    </w:p>
    <w:p w14:paraId="004D8C4A" w14:textId="77777777" w:rsidR="00671B67" w:rsidRPr="005F763D" w:rsidRDefault="00671B67" w:rsidP="008C7CE9">
      <w:pPr>
        <w:jc w:val="left"/>
      </w:pPr>
    </w:p>
    <w:p w14:paraId="19A19F51" w14:textId="77777777" w:rsidR="007F19BE" w:rsidRPr="005F763D" w:rsidRDefault="007F19BE" w:rsidP="008C7CE9">
      <w:pPr>
        <w:jc w:val="left"/>
        <w:rPr>
          <w:color w:val="002060"/>
          <w:sz w:val="24"/>
        </w:rPr>
      </w:pPr>
      <w:r w:rsidRPr="005F763D">
        <w:rPr>
          <w:color w:val="002060"/>
          <w:sz w:val="24"/>
        </w:rPr>
        <w:lastRenderedPageBreak/>
        <w:t>Age Pension</w:t>
      </w:r>
    </w:p>
    <w:p w14:paraId="6869A357" w14:textId="77777777" w:rsidR="007F19BE" w:rsidRPr="005F763D" w:rsidRDefault="007F19BE" w:rsidP="008C7CE9">
      <w:pPr>
        <w:jc w:val="left"/>
      </w:pPr>
    </w:p>
    <w:tbl>
      <w:tblPr>
        <w:tblW w:w="0" w:type="auto"/>
        <w:tblInd w:w="76" w:type="dxa"/>
        <w:tblLook w:val="04A0" w:firstRow="1" w:lastRow="0" w:firstColumn="1" w:lastColumn="0" w:noHBand="0" w:noVBand="1"/>
      </w:tblPr>
      <w:tblGrid>
        <w:gridCol w:w="2754"/>
        <w:gridCol w:w="6798"/>
      </w:tblGrid>
      <w:tr w:rsidR="00671B67" w:rsidRPr="00E51BEA" w14:paraId="3DAE3842"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3069B3B" w14:textId="77777777" w:rsidR="00671B67" w:rsidRPr="00AA2CC6" w:rsidRDefault="00671B67"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F7DF1B4" w14:textId="77777777" w:rsidR="00671B67" w:rsidRPr="00E51BEA" w:rsidRDefault="00671B67" w:rsidP="00CD1098">
            <w:pPr>
              <w:pStyle w:val="TableHeader2"/>
              <w:rPr>
                <w:rFonts w:ascii="Calibri Light" w:hAnsi="Calibri Light"/>
              </w:rPr>
            </w:pPr>
          </w:p>
        </w:tc>
      </w:tr>
      <w:tr w:rsidR="00671B67" w:rsidRPr="0088114A" w14:paraId="3ADC8083"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B0FE19" w14:textId="77777777" w:rsidR="00671B67" w:rsidRPr="00E87AAA" w:rsidRDefault="00671B67" w:rsidP="00E164DA">
            <w:pPr>
              <w:pStyle w:val="Instructions"/>
            </w:pPr>
            <w:r w:rsidRPr="00E87AAA">
              <w:t>Title</w:t>
            </w:r>
          </w:p>
        </w:tc>
        <w:tc>
          <w:tcPr>
            <w:tcW w:w="6798" w:type="dxa"/>
            <w:shd w:val="clear" w:color="auto" w:fill="auto"/>
          </w:tcPr>
          <w:p w14:paraId="2410FD92" w14:textId="58841672" w:rsidR="00671B67" w:rsidRPr="0088114A" w:rsidRDefault="00671B67" w:rsidP="00CD1098">
            <w:pPr>
              <w:spacing w:before="120"/>
            </w:pPr>
            <w:r>
              <w:t>Age Pension</w:t>
            </w:r>
          </w:p>
        </w:tc>
      </w:tr>
      <w:tr w:rsidR="00671B67" w:rsidRPr="0088114A" w14:paraId="66435749"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3AFD74" w14:textId="77777777" w:rsidR="00671B67" w:rsidRPr="00E87AAA" w:rsidRDefault="00671B67" w:rsidP="00E164DA">
            <w:pPr>
              <w:pStyle w:val="Instructions"/>
            </w:pPr>
            <w:r w:rsidRPr="00E87AAA">
              <w:t>Explanation</w:t>
            </w:r>
          </w:p>
        </w:tc>
        <w:tc>
          <w:tcPr>
            <w:tcW w:w="6798" w:type="dxa"/>
            <w:shd w:val="clear" w:color="auto" w:fill="auto"/>
          </w:tcPr>
          <w:p w14:paraId="4A1A1924" w14:textId="77777777" w:rsidR="00671B67" w:rsidRPr="0088114A" w:rsidRDefault="00671B67" w:rsidP="00CD1098">
            <w:pPr>
              <w:spacing w:before="120"/>
              <w:rPr>
                <w:sz w:val="18"/>
                <w:szCs w:val="18"/>
                <w:highlight w:val="yellow"/>
              </w:rPr>
            </w:pPr>
          </w:p>
        </w:tc>
      </w:tr>
      <w:tr w:rsidR="00671B67" w:rsidRPr="00E87AAA" w14:paraId="32289051"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0788A39" w14:textId="77777777" w:rsidR="00671B67" w:rsidRPr="00E87AAA" w:rsidRDefault="00671B67" w:rsidP="00E164DA">
            <w:pPr>
              <w:pStyle w:val="Instructions"/>
            </w:pPr>
            <w:r w:rsidRPr="00E87AAA">
              <w:t>In your Best Interest</w:t>
            </w:r>
          </w:p>
        </w:tc>
        <w:tc>
          <w:tcPr>
            <w:tcW w:w="6798" w:type="dxa"/>
            <w:shd w:val="clear" w:color="auto" w:fill="auto"/>
          </w:tcPr>
          <w:p w14:paraId="6B5B8C77" w14:textId="77777777" w:rsidR="00671B67" w:rsidRPr="00E87AAA" w:rsidRDefault="00671B67" w:rsidP="00CD1098">
            <w:pPr>
              <w:spacing w:before="120"/>
              <w:jc w:val="left"/>
              <w:rPr>
                <w:sz w:val="18"/>
                <w:szCs w:val="18"/>
                <w:highlight w:val="yellow"/>
              </w:rPr>
            </w:pPr>
          </w:p>
        </w:tc>
      </w:tr>
      <w:tr w:rsidR="00671B67" w:rsidRPr="00E87AAA" w14:paraId="4A985B09"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9353A3B" w14:textId="77777777" w:rsidR="00671B67" w:rsidRPr="00E87AAA" w:rsidRDefault="00671B67" w:rsidP="00E164DA">
            <w:pPr>
              <w:pStyle w:val="Instructions"/>
            </w:pPr>
            <w:r>
              <w:t>Further Detail</w:t>
            </w:r>
          </w:p>
        </w:tc>
        <w:tc>
          <w:tcPr>
            <w:tcW w:w="6798" w:type="dxa"/>
            <w:shd w:val="clear" w:color="auto" w:fill="auto"/>
          </w:tcPr>
          <w:p w14:paraId="6CA3637D" w14:textId="77777777" w:rsidR="00671B67" w:rsidRPr="005F763D" w:rsidRDefault="00671B67" w:rsidP="00671B67">
            <w:pPr>
              <w:jc w:val="left"/>
            </w:pPr>
            <w:r w:rsidRPr="005F763D">
              <w:t xml:space="preserve">Centrelink determines your Age Pension entitlement based on an income and asset test.  They apply the result of the test which gives you the lowest pension entitlement.  As such your Age Pension entitlement will be determined under the </w:t>
            </w:r>
            <w:r w:rsidRPr="000D0191">
              <w:rPr>
                <w:color w:val="7030A0"/>
                <w:highlight w:val="yellow"/>
              </w:rPr>
              <w:t>[assets][income]</w:t>
            </w:r>
            <w:r w:rsidRPr="000D0191">
              <w:rPr>
                <w:color w:val="7030A0"/>
              </w:rPr>
              <w:t xml:space="preserve"> </w:t>
            </w:r>
            <w:r w:rsidRPr="005F763D">
              <w:t>test.</w:t>
            </w:r>
          </w:p>
          <w:p w14:paraId="532C9790" w14:textId="77777777" w:rsidR="00671B67" w:rsidRPr="005F763D" w:rsidRDefault="00671B67" w:rsidP="00671B67">
            <w:pPr>
              <w:jc w:val="left"/>
            </w:pPr>
          </w:p>
          <w:p w14:paraId="70BF518A" w14:textId="77777777" w:rsidR="00671B67" w:rsidRDefault="00671B67" w:rsidP="00671B67">
            <w:pPr>
              <w:jc w:val="left"/>
            </w:pPr>
            <w:r w:rsidRPr="005F763D">
              <w:t>We estimate your entitlement will be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rPr>
                <w:color w:val="auto"/>
              </w:rPr>
              <w:t xml:space="preserve"> </w:t>
            </w:r>
            <w:r w:rsidRPr="005F763D">
              <w:t>per annum), including Pharmaceutical Allowance.</w:t>
            </w:r>
          </w:p>
          <w:p w14:paraId="76A8205A" w14:textId="77777777" w:rsidR="00671B67" w:rsidRPr="005F763D" w:rsidRDefault="00671B67" w:rsidP="00671B67">
            <w:pPr>
              <w:jc w:val="left"/>
            </w:pPr>
          </w:p>
          <w:p w14:paraId="2AEE1B67" w14:textId="77777777" w:rsidR="00671B67" w:rsidRPr="005F763D" w:rsidRDefault="00671B67" w:rsidP="00671B67">
            <w:pPr>
              <w:pStyle w:val="NormalBoldItalic"/>
              <w:jc w:val="left"/>
            </w:pPr>
            <w:r w:rsidRPr="005F763D">
              <w:t xml:space="preserve">Please refer the appendix projection titled ‘Centrelink Entitlements’ for a detailed calculation. </w:t>
            </w:r>
          </w:p>
          <w:p w14:paraId="6A07DC39" w14:textId="77777777" w:rsidR="00671B67" w:rsidRPr="00E87AAA" w:rsidRDefault="00671B67" w:rsidP="00CD1098">
            <w:pPr>
              <w:spacing w:before="120"/>
              <w:jc w:val="left"/>
              <w:rPr>
                <w:sz w:val="18"/>
                <w:szCs w:val="18"/>
                <w:highlight w:val="yellow"/>
              </w:rPr>
            </w:pPr>
          </w:p>
        </w:tc>
      </w:tr>
    </w:tbl>
    <w:p w14:paraId="7700E5C7" w14:textId="77777777" w:rsidR="007F19BE" w:rsidRPr="005F763D" w:rsidRDefault="007F19BE" w:rsidP="008C7CE9">
      <w:pPr>
        <w:jc w:val="left"/>
      </w:pPr>
    </w:p>
    <w:p w14:paraId="48685344" w14:textId="77777777" w:rsidR="007F19BE" w:rsidRPr="005F763D" w:rsidRDefault="007F19BE" w:rsidP="008C7CE9">
      <w:pPr>
        <w:jc w:val="left"/>
      </w:pPr>
    </w:p>
    <w:p w14:paraId="654F32BD" w14:textId="77777777" w:rsidR="007F19BE" w:rsidRPr="005F763D" w:rsidRDefault="007F19BE" w:rsidP="008C7CE9">
      <w:pPr>
        <w:jc w:val="left"/>
        <w:rPr>
          <w:color w:val="002060"/>
          <w:sz w:val="24"/>
        </w:rPr>
      </w:pPr>
      <w:r w:rsidRPr="005F763D">
        <w:rPr>
          <w:color w:val="002060"/>
          <w:sz w:val="24"/>
        </w:rPr>
        <w:t>Carer Allowance</w:t>
      </w:r>
    </w:p>
    <w:tbl>
      <w:tblPr>
        <w:tblW w:w="0" w:type="auto"/>
        <w:tblInd w:w="76" w:type="dxa"/>
        <w:tblLook w:val="04A0" w:firstRow="1" w:lastRow="0" w:firstColumn="1" w:lastColumn="0" w:noHBand="0" w:noVBand="1"/>
      </w:tblPr>
      <w:tblGrid>
        <w:gridCol w:w="2754"/>
        <w:gridCol w:w="6798"/>
      </w:tblGrid>
      <w:tr w:rsidR="008370F0" w:rsidRPr="00E51BEA" w14:paraId="32047B35" w14:textId="77777777" w:rsidTr="00AE7DFE">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273FAD7" w14:textId="77777777" w:rsidR="008370F0" w:rsidRPr="00AA2CC6" w:rsidRDefault="008370F0" w:rsidP="00AE7DFE">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66B00A4" w14:textId="77777777" w:rsidR="008370F0" w:rsidRPr="00E51BEA" w:rsidRDefault="008370F0" w:rsidP="00AE7DFE">
            <w:pPr>
              <w:pStyle w:val="TableHeader2"/>
              <w:rPr>
                <w:rFonts w:ascii="Calibri Light" w:hAnsi="Calibri Light"/>
              </w:rPr>
            </w:pPr>
          </w:p>
        </w:tc>
      </w:tr>
      <w:tr w:rsidR="008370F0" w:rsidRPr="0088114A" w14:paraId="57C99C13"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0F75BBF" w14:textId="77777777" w:rsidR="008370F0" w:rsidRPr="00E87AAA" w:rsidRDefault="008370F0" w:rsidP="00E164DA">
            <w:pPr>
              <w:pStyle w:val="Instructions"/>
            </w:pPr>
            <w:r w:rsidRPr="00E87AAA">
              <w:t>Title</w:t>
            </w:r>
          </w:p>
        </w:tc>
        <w:tc>
          <w:tcPr>
            <w:tcW w:w="6798" w:type="dxa"/>
            <w:shd w:val="clear" w:color="auto" w:fill="auto"/>
          </w:tcPr>
          <w:p w14:paraId="5C8790C4" w14:textId="307AA0A7" w:rsidR="008370F0" w:rsidRPr="0088114A" w:rsidRDefault="00671B67" w:rsidP="00AE7DFE">
            <w:pPr>
              <w:spacing w:before="120"/>
            </w:pPr>
            <w:r>
              <w:t>Carer Allowance</w:t>
            </w:r>
          </w:p>
        </w:tc>
      </w:tr>
      <w:tr w:rsidR="008370F0" w:rsidRPr="0088114A" w14:paraId="3DF61465"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755BD1" w14:textId="77777777" w:rsidR="008370F0" w:rsidRPr="00E87AAA" w:rsidRDefault="008370F0" w:rsidP="00E164DA">
            <w:pPr>
              <w:pStyle w:val="Instructions"/>
            </w:pPr>
            <w:r w:rsidRPr="00E87AAA">
              <w:t>Explanation</w:t>
            </w:r>
          </w:p>
        </w:tc>
        <w:tc>
          <w:tcPr>
            <w:tcW w:w="6798" w:type="dxa"/>
            <w:shd w:val="clear" w:color="auto" w:fill="auto"/>
          </w:tcPr>
          <w:p w14:paraId="6D5055BD" w14:textId="77777777" w:rsidR="008370F0" w:rsidRPr="0088114A" w:rsidRDefault="008370F0" w:rsidP="00AE7DFE">
            <w:pPr>
              <w:spacing w:before="120"/>
              <w:rPr>
                <w:sz w:val="18"/>
                <w:szCs w:val="18"/>
                <w:highlight w:val="yellow"/>
              </w:rPr>
            </w:pPr>
          </w:p>
        </w:tc>
      </w:tr>
      <w:tr w:rsidR="008370F0" w:rsidRPr="00E87AAA" w14:paraId="04BABBA6"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4792D5A" w14:textId="77777777" w:rsidR="008370F0" w:rsidRPr="00E87AAA" w:rsidRDefault="008370F0" w:rsidP="00E164DA">
            <w:pPr>
              <w:pStyle w:val="Instructions"/>
            </w:pPr>
            <w:r w:rsidRPr="00E87AAA">
              <w:t>In your Best Interest</w:t>
            </w:r>
          </w:p>
        </w:tc>
        <w:tc>
          <w:tcPr>
            <w:tcW w:w="6798" w:type="dxa"/>
            <w:shd w:val="clear" w:color="auto" w:fill="auto"/>
          </w:tcPr>
          <w:p w14:paraId="57CD942F" w14:textId="77777777" w:rsidR="008370F0" w:rsidRPr="00E87AAA" w:rsidRDefault="008370F0" w:rsidP="00AE7DFE">
            <w:pPr>
              <w:spacing w:before="120"/>
              <w:jc w:val="left"/>
              <w:rPr>
                <w:sz w:val="18"/>
                <w:szCs w:val="18"/>
                <w:highlight w:val="yellow"/>
              </w:rPr>
            </w:pPr>
          </w:p>
        </w:tc>
      </w:tr>
      <w:tr w:rsidR="008370F0" w:rsidRPr="00E87AAA" w14:paraId="2B2DAADD"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ABD8A5A" w14:textId="77777777" w:rsidR="008370F0" w:rsidRPr="00E87AAA" w:rsidRDefault="008370F0" w:rsidP="00E164DA">
            <w:pPr>
              <w:pStyle w:val="Instructions"/>
            </w:pPr>
            <w:r>
              <w:t>Further Detail</w:t>
            </w:r>
          </w:p>
        </w:tc>
        <w:tc>
          <w:tcPr>
            <w:tcW w:w="6798" w:type="dxa"/>
            <w:shd w:val="clear" w:color="auto" w:fill="auto"/>
          </w:tcPr>
          <w:p w14:paraId="373BBC93" w14:textId="77777777" w:rsidR="00671B67" w:rsidRPr="005F763D" w:rsidRDefault="00671B67" w:rsidP="00671B67">
            <w:pPr>
              <w:jc w:val="left"/>
            </w:pPr>
            <w:r w:rsidRPr="005F763D">
              <w:t xml:space="preserve">We estimate that </w:t>
            </w:r>
            <w:r w:rsidRPr="005F763D">
              <w:rPr>
                <w:color w:val="FF0000"/>
              </w:rPr>
              <w:t>[Client Name]</w:t>
            </w:r>
            <w:r w:rsidRPr="005F763D">
              <w:t xml:space="preserve"> would be entitled to the Carer Allowance due to the fact that </w:t>
            </w:r>
            <w:r w:rsidRPr="005F763D">
              <w:rPr>
                <w:color w:val="FF0000"/>
              </w:rPr>
              <w:t>[he][she]</w:t>
            </w:r>
            <w:r w:rsidRPr="005F763D">
              <w:t xml:space="preserve"> provides daily care and attention for </w:t>
            </w:r>
            <w:r w:rsidRPr="005F763D">
              <w:rPr>
                <w:color w:val="FF0000"/>
              </w:rPr>
              <w:t>[name]</w:t>
            </w:r>
            <w:r w:rsidRPr="005F763D">
              <w:t>.</w:t>
            </w:r>
          </w:p>
          <w:p w14:paraId="09BE2C45" w14:textId="77777777" w:rsidR="00671B67" w:rsidRPr="005F763D" w:rsidRDefault="00671B67" w:rsidP="00671B67">
            <w:pPr>
              <w:jc w:val="left"/>
            </w:pPr>
          </w:p>
          <w:p w14:paraId="5FB516E0" w14:textId="77777777" w:rsidR="00671B67" w:rsidRPr="005F763D" w:rsidRDefault="00671B67" w:rsidP="00671B67">
            <w:pPr>
              <w:jc w:val="left"/>
            </w:pPr>
            <w:r w:rsidRPr="005F763D">
              <w:t>The basic rate for the Carer Allowance is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413B77FA" w14:textId="77777777" w:rsidR="00671B67" w:rsidRPr="005F763D" w:rsidRDefault="00671B67" w:rsidP="00671B67">
            <w:pPr>
              <w:jc w:val="left"/>
            </w:pPr>
          </w:p>
          <w:p w14:paraId="21767B2D" w14:textId="77777777" w:rsidR="00671B67" w:rsidRDefault="00671B67" w:rsidP="00671B67">
            <w:pPr>
              <w:jc w:val="left"/>
            </w:pPr>
            <w:r w:rsidRPr="005F763D">
              <w:t>In addition, a</w:t>
            </w:r>
            <w:r>
              <w:t>:</w:t>
            </w:r>
          </w:p>
          <w:p w14:paraId="59604084" w14:textId="77777777" w:rsidR="00671B67" w:rsidRPr="00A5134E" w:rsidRDefault="00671B67" w:rsidP="001B7654">
            <w:pPr>
              <w:pStyle w:val="InterPracBullet1"/>
              <w:rPr>
                <w:b w:val="0"/>
              </w:rPr>
            </w:pPr>
            <w:r w:rsidRPr="00A5134E">
              <w:rPr>
                <w:b w:val="0"/>
              </w:rPr>
              <w:t>Child Disability Assistance payment $</w:t>
            </w:r>
            <w:r w:rsidRPr="00A5134E">
              <w:rPr>
                <w:rFonts w:eastAsia="MS Mincho"/>
                <w:b w:val="0"/>
                <w:color w:val="FF0000"/>
                <w:szCs w:val="24"/>
                <w:lang w:val="en-AU" w:eastAsia="ar-SA"/>
              </w:rPr>
              <w:t xml:space="preserve">[__,___] </w:t>
            </w:r>
            <w:r w:rsidRPr="00A5134E">
              <w:rPr>
                <w:b w:val="0"/>
              </w:rPr>
              <w:t>is paid annually for each child under the age of 16.</w:t>
            </w:r>
          </w:p>
          <w:p w14:paraId="5C97F99E" w14:textId="77777777" w:rsidR="00671B67" w:rsidRPr="00A5134E" w:rsidRDefault="00671B67" w:rsidP="00E60A10">
            <w:pPr>
              <w:pStyle w:val="InterPracBullet1"/>
              <w:rPr>
                <w:b w:val="0"/>
              </w:rPr>
            </w:pPr>
            <w:r w:rsidRPr="00A5134E">
              <w:rPr>
                <w:b w:val="0"/>
              </w:rPr>
              <w:t>Carer Supplement payment $</w:t>
            </w:r>
            <w:r w:rsidRPr="00A5134E">
              <w:rPr>
                <w:rFonts w:eastAsia="MS Mincho"/>
                <w:b w:val="0"/>
                <w:color w:val="FF0000"/>
                <w:szCs w:val="24"/>
                <w:lang w:val="en-AU" w:eastAsia="ar-SA"/>
              </w:rPr>
              <w:t>[__,___]</w:t>
            </w:r>
            <w:r w:rsidRPr="00A5134E">
              <w:rPr>
                <w:b w:val="0"/>
              </w:rPr>
              <w:t xml:space="preserve"> is paid annually on 1 July for each eligible child.</w:t>
            </w:r>
          </w:p>
          <w:p w14:paraId="4D50114B" w14:textId="77777777" w:rsidR="00671B67" w:rsidRPr="005F763D" w:rsidRDefault="00671B67" w:rsidP="00671B67">
            <w:pPr>
              <w:jc w:val="left"/>
            </w:pPr>
          </w:p>
          <w:p w14:paraId="13B43D7F" w14:textId="0DE68B16" w:rsidR="00671B67" w:rsidRDefault="00671B67" w:rsidP="00671B67">
            <w:pPr>
              <w:jc w:val="left"/>
            </w:pPr>
            <w:r w:rsidRPr="005F763D">
              <w:t xml:space="preserve">The Carer Allowance is not subject to tax.  The Carer Allowance may also be paid in addition to other Centrelink support payments. </w:t>
            </w:r>
          </w:p>
          <w:p w14:paraId="6072952B" w14:textId="77777777" w:rsidR="00671B67" w:rsidRPr="005F763D" w:rsidRDefault="00671B67" w:rsidP="00671B67">
            <w:pPr>
              <w:jc w:val="left"/>
            </w:pPr>
          </w:p>
          <w:p w14:paraId="437CF5DD" w14:textId="77777777" w:rsidR="00671B67" w:rsidRPr="005F763D" w:rsidRDefault="00671B67" w:rsidP="00671B67">
            <w:pPr>
              <w:jc w:val="left"/>
              <w:rPr>
                <w:b/>
                <w:i/>
              </w:rPr>
            </w:pPr>
            <w:r w:rsidRPr="005F763D">
              <w:rPr>
                <w:b/>
                <w:i/>
              </w:rPr>
              <w:t>Please refer to the appendix projection titled ‘Centrelink Entitlements’ for more information on the Carer Allowance.</w:t>
            </w:r>
          </w:p>
          <w:p w14:paraId="24715745" w14:textId="77777777" w:rsidR="008370F0" w:rsidRPr="00E87AAA" w:rsidRDefault="008370F0" w:rsidP="00790219">
            <w:pPr>
              <w:pStyle w:val="NormalBoldItalic"/>
              <w:jc w:val="left"/>
              <w:rPr>
                <w:sz w:val="18"/>
                <w:szCs w:val="18"/>
                <w:highlight w:val="yellow"/>
              </w:rPr>
            </w:pPr>
          </w:p>
        </w:tc>
      </w:tr>
    </w:tbl>
    <w:p w14:paraId="2A5A711A" w14:textId="77777777" w:rsidR="007F19BE" w:rsidRPr="005F763D" w:rsidRDefault="007F19BE" w:rsidP="008C7CE9">
      <w:pPr>
        <w:jc w:val="left"/>
      </w:pPr>
    </w:p>
    <w:p w14:paraId="2529D528" w14:textId="77777777" w:rsidR="007F19BE" w:rsidRPr="005F763D" w:rsidRDefault="007F19BE" w:rsidP="008C7CE9">
      <w:pPr>
        <w:jc w:val="left"/>
      </w:pPr>
    </w:p>
    <w:p w14:paraId="3400B285" w14:textId="77777777" w:rsidR="007F19BE" w:rsidRPr="005F763D" w:rsidRDefault="007F19BE" w:rsidP="008C7CE9">
      <w:pPr>
        <w:jc w:val="left"/>
      </w:pPr>
    </w:p>
    <w:p w14:paraId="19CD577C" w14:textId="77777777" w:rsidR="007F19BE" w:rsidRPr="005F763D" w:rsidRDefault="007F19BE" w:rsidP="008C7CE9">
      <w:pPr>
        <w:jc w:val="left"/>
        <w:rPr>
          <w:color w:val="002060"/>
          <w:sz w:val="24"/>
        </w:rPr>
      </w:pPr>
      <w:r w:rsidRPr="005F763D">
        <w:rPr>
          <w:color w:val="002060"/>
          <w:sz w:val="24"/>
        </w:rPr>
        <w:t>Carer Payment</w:t>
      </w:r>
    </w:p>
    <w:p w14:paraId="75A1E83D" w14:textId="42B758C2"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1F822813"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296732F" w14:textId="77777777" w:rsidR="004C0245" w:rsidRPr="00AA2CC6" w:rsidRDefault="004C0245"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0CDBABF" w14:textId="77777777" w:rsidR="004C0245" w:rsidRPr="00E51BEA" w:rsidRDefault="004C0245" w:rsidP="00CD1098">
            <w:pPr>
              <w:pStyle w:val="TableHeader2"/>
              <w:rPr>
                <w:rFonts w:ascii="Calibri Light" w:hAnsi="Calibri Light"/>
              </w:rPr>
            </w:pPr>
          </w:p>
        </w:tc>
      </w:tr>
      <w:tr w:rsidR="004C0245" w:rsidRPr="0088114A" w14:paraId="7B0F61CB"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482FF3" w14:textId="77777777" w:rsidR="004C0245" w:rsidRPr="00E87AAA" w:rsidRDefault="004C0245" w:rsidP="00E164DA">
            <w:pPr>
              <w:pStyle w:val="Instructions"/>
            </w:pPr>
            <w:r w:rsidRPr="00E87AAA">
              <w:t>Title</w:t>
            </w:r>
          </w:p>
        </w:tc>
        <w:tc>
          <w:tcPr>
            <w:tcW w:w="6798" w:type="dxa"/>
            <w:shd w:val="clear" w:color="auto" w:fill="auto"/>
          </w:tcPr>
          <w:p w14:paraId="6F646F51" w14:textId="382E9406" w:rsidR="004C0245" w:rsidRPr="0088114A" w:rsidRDefault="00CD1098" w:rsidP="00CD1098">
            <w:pPr>
              <w:spacing w:before="120"/>
            </w:pPr>
            <w:r>
              <w:t>Care</w:t>
            </w:r>
            <w:r w:rsidR="001162EC">
              <w:t>r</w:t>
            </w:r>
            <w:r>
              <w:t xml:space="preserve"> Payment</w:t>
            </w:r>
          </w:p>
        </w:tc>
      </w:tr>
      <w:tr w:rsidR="004C0245" w:rsidRPr="0088114A" w14:paraId="7E458622"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827B431" w14:textId="77777777" w:rsidR="004C0245" w:rsidRPr="00E87AAA" w:rsidRDefault="004C0245" w:rsidP="00E164DA">
            <w:pPr>
              <w:pStyle w:val="Instructions"/>
            </w:pPr>
            <w:r w:rsidRPr="00E87AAA">
              <w:t>Explanation</w:t>
            </w:r>
          </w:p>
        </w:tc>
        <w:tc>
          <w:tcPr>
            <w:tcW w:w="6798" w:type="dxa"/>
            <w:shd w:val="clear" w:color="auto" w:fill="auto"/>
          </w:tcPr>
          <w:p w14:paraId="463870A0" w14:textId="77777777" w:rsidR="004C0245" w:rsidRPr="0088114A" w:rsidRDefault="004C0245" w:rsidP="00CD1098">
            <w:pPr>
              <w:spacing w:before="120"/>
              <w:rPr>
                <w:sz w:val="18"/>
                <w:szCs w:val="18"/>
                <w:highlight w:val="yellow"/>
              </w:rPr>
            </w:pPr>
          </w:p>
        </w:tc>
      </w:tr>
      <w:tr w:rsidR="004C0245" w:rsidRPr="00E87AAA" w14:paraId="54DEBD2D"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C37C8A7" w14:textId="77777777" w:rsidR="004C0245" w:rsidRPr="00E87AAA" w:rsidRDefault="004C0245" w:rsidP="00E164DA">
            <w:pPr>
              <w:pStyle w:val="Instructions"/>
            </w:pPr>
            <w:r w:rsidRPr="00E87AAA">
              <w:t>In your Best Interest</w:t>
            </w:r>
          </w:p>
        </w:tc>
        <w:tc>
          <w:tcPr>
            <w:tcW w:w="6798" w:type="dxa"/>
            <w:shd w:val="clear" w:color="auto" w:fill="auto"/>
          </w:tcPr>
          <w:p w14:paraId="131983B7" w14:textId="77777777" w:rsidR="004C0245" w:rsidRPr="00E87AAA" w:rsidRDefault="004C0245" w:rsidP="00CD1098">
            <w:pPr>
              <w:spacing w:before="120"/>
              <w:jc w:val="left"/>
              <w:rPr>
                <w:sz w:val="18"/>
                <w:szCs w:val="18"/>
                <w:highlight w:val="yellow"/>
              </w:rPr>
            </w:pPr>
          </w:p>
        </w:tc>
      </w:tr>
      <w:tr w:rsidR="004C0245" w:rsidRPr="00E87AAA" w14:paraId="57233737"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0C3BF2" w14:textId="77777777" w:rsidR="004C0245" w:rsidRPr="00E87AAA" w:rsidRDefault="004C0245" w:rsidP="00E164DA">
            <w:pPr>
              <w:pStyle w:val="Instructions"/>
            </w:pPr>
            <w:r>
              <w:lastRenderedPageBreak/>
              <w:t>Further Detail</w:t>
            </w:r>
          </w:p>
        </w:tc>
        <w:tc>
          <w:tcPr>
            <w:tcW w:w="6798" w:type="dxa"/>
            <w:shd w:val="clear" w:color="auto" w:fill="auto"/>
          </w:tcPr>
          <w:p w14:paraId="6EA2A1A3" w14:textId="77777777" w:rsidR="001162EC" w:rsidRPr="005F763D" w:rsidRDefault="001162EC" w:rsidP="001162EC">
            <w:pPr>
              <w:jc w:val="left"/>
            </w:pPr>
            <w:r w:rsidRPr="005F763D">
              <w:t xml:space="preserve">Centrelink determine your Carer Payment entitlement based on the test which will result in the lowest payment. As such your carer payment entitlement will be determined under the </w:t>
            </w:r>
            <w:r w:rsidRPr="000D0191">
              <w:rPr>
                <w:color w:val="7030A0"/>
                <w:highlight w:val="yellow"/>
              </w:rPr>
              <w:t>[assets][income</w:t>
            </w:r>
            <w:r w:rsidRPr="005F763D">
              <w:rPr>
                <w:color w:val="FF0000"/>
              </w:rPr>
              <w:t>]</w:t>
            </w:r>
            <w:r w:rsidRPr="005F763D">
              <w:t xml:space="preserve"> test.</w:t>
            </w:r>
          </w:p>
          <w:p w14:paraId="701FDA01" w14:textId="77777777" w:rsidR="001162EC" w:rsidRPr="005F763D" w:rsidRDefault="001162EC" w:rsidP="001162EC">
            <w:pPr>
              <w:jc w:val="left"/>
            </w:pPr>
          </w:p>
          <w:p w14:paraId="10FB58DE" w14:textId="77777777" w:rsidR="001162EC" w:rsidRPr="005F763D" w:rsidRDefault="001162EC" w:rsidP="001162EC">
            <w:pPr>
              <w:jc w:val="left"/>
            </w:pPr>
            <w:r w:rsidRPr="005F763D">
              <w:t>We estimate your entitlement will be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rPr>
                <w:color w:val="auto"/>
              </w:rPr>
              <w:t xml:space="preserve"> </w:t>
            </w:r>
            <w:r w:rsidRPr="005F763D">
              <w:t>per annum), including Pharmaceutical Allowance.</w:t>
            </w:r>
          </w:p>
          <w:p w14:paraId="70646929" w14:textId="77777777" w:rsidR="004C0245" w:rsidRPr="00E87AAA" w:rsidRDefault="004C0245" w:rsidP="00CD1098">
            <w:pPr>
              <w:spacing w:before="120"/>
              <w:jc w:val="left"/>
              <w:rPr>
                <w:sz w:val="18"/>
                <w:szCs w:val="18"/>
                <w:highlight w:val="yellow"/>
              </w:rPr>
            </w:pPr>
          </w:p>
        </w:tc>
      </w:tr>
    </w:tbl>
    <w:p w14:paraId="0ED4E6B7" w14:textId="77777777" w:rsidR="004C0245" w:rsidRPr="005F763D" w:rsidRDefault="004C0245" w:rsidP="008C7CE9">
      <w:pPr>
        <w:jc w:val="left"/>
      </w:pPr>
    </w:p>
    <w:p w14:paraId="1FA5633C" w14:textId="77777777" w:rsidR="007F19BE" w:rsidRPr="005F763D" w:rsidRDefault="007F19BE" w:rsidP="008C7CE9">
      <w:pPr>
        <w:jc w:val="left"/>
      </w:pPr>
    </w:p>
    <w:p w14:paraId="7ED9416E" w14:textId="77777777" w:rsidR="007F19BE" w:rsidRPr="005F763D" w:rsidRDefault="007F19BE" w:rsidP="008C7CE9">
      <w:pPr>
        <w:jc w:val="left"/>
      </w:pPr>
    </w:p>
    <w:p w14:paraId="6FB00275" w14:textId="4BC601DD" w:rsidR="007F19BE" w:rsidRPr="005F763D" w:rsidRDefault="007F19BE" w:rsidP="008C7CE9">
      <w:pPr>
        <w:jc w:val="left"/>
        <w:rPr>
          <w:color w:val="002060"/>
          <w:sz w:val="24"/>
        </w:rPr>
      </w:pPr>
      <w:r w:rsidRPr="005F763D">
        <w:rPr>
          <w:color w:val="002060"/>
          <w:sz w:val="24"/>
        </w:rPr>
        <w:t>Child Support</w:t>
      </w:r>
      <w:r w:rsidR="00C8445F">
        <w:rPr>
          <w:color w:val="002060"/>
          <w:sz w:val="24"/>
        </w:rPr>
        <w:t xml:space="preserve"> Payment</w:t>
      </w:r>
    </w:p>
    <w:p w14:paraId="4E5B391D" w14:textId="16F79DD2"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6D7A466B"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70DA076" w14:textId="77777777" w:rsidR="004C0245" w:rsidRPr="00AA2CC6" w:rsidRDefault="004C0245"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0D1D8E2" w14:textId="77777777" w:rsidR="004C0245" w:rsidRPr="00E51BEA" w:rsidRDefault="004C0245" w:rsidP="00CD1098">
            <w:pPr>
              <w:pStyle w:val="TableHeader2"/>
              <w:rPr>
                <w:rFonts w:ascii="Calibri Light" w:hAnsi="Calibri Light"/>
              </w:rPr>
            </w:pPr>
          </w:p>
        </w:tc>
      </w:tr>
      <w:tr w:rsidR="004C0245" w:rsidRPr="0088114A" w14:paraId="1C1B2FE2"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6EC5B6E" w14:textId="77777777" w:rsidR="004C0245" w:rsidRPr="00E87AAA" w:rsidRDefault="004C0245" w:rsidP="00E164DA">
            <w:pPr>
              <w:pStyle w:val="Instructions"/>
            </w:pPr>
            <w:r w:rsidRPr="00E87AAA">
              <w:t>Title</w:t>
            </w:r>
          </w:p>
        </w:tc>
        <w:tc>
          <w:tcPr>
            <w:tcW w:w="6798" w:type="dxa"/>
            <w:shd w:val="clear" w:color="auto" w:fill="auto"/>
          </w:tcPr>
          <w:p w14:paraId="347C3572" w14:textId="46134D8C" w:rsidR="004C0245" w:rsidRPr="0088114A" w:rsidRDefault="001162EC" w:rsidP="00CD1098">
            <w:pPr>
              <w:spacing w:before="120"/>
            </w:pPr>
            <w:r>
              <w:t>Child Support Payment</w:t>
            </w:r>
          </w:p>
        </w:tc>
      </w:tr>
      <w:tr w:rsidR="004C0245" w:rsidRPr="0088114A" w14:paraId="617D63DB"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A089FEE" w14:textId="77777777" w:rsidR="004C0245" w:rsidRPr="00E87AAA" w:rsidRDefault="004C0245" w:rsidP="00E164DA">
            <w:pPr>
              <w:pStyle w:val="Instructions"/>
            </w:pPr>
            <w:r w:rsidRPr="00E87AAA">
              <w:t>Explanation</w:t>
            </w:r>
          </w:p>
        </w:tc>
        <w:tc>
          <w:tcPr>
            <w:tcW w:w="6798" w:type="dxa"/>
            <w:shd w:val="clear" w:color="auto" w:fill="auto"/>
          </w:tcPr>
          <w:p w14:paraId="17EC5B75" w14:textId="77777777" w:rsidR="004C0245" w:rsidRPr="0088114A" w:rsidRDefault="004C0245" w:rsidP="00CD1098">
            <w:pPr>
              <w:spacing w:before="120"/>
              <w:rPr>
                <w:sz w:val="18"/>
                <w:szCs w:val="18"/>
                <w:highlight w:val="yellow"/>
              </w:rPr>
            </w:pPr>
          </w:p>
        </w:tc>
      </w:tr>
      <w:tr w:rsidR="004C0245" w:rsidRPr="00E87AAA" w14:paraId="780CCDD1"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26CA5EC" w14:textId="77777777" w:rsidR="004C0245" w:rsidRPr="00E87AAA" w:rsidRDefault="004C0245" w:rsidP="00E164DA">
            <w:pPr>
              <w:pStyle w:val="Instructions"/>
            </w:pPr>
            <w:r w:rsidRPr="00E87AAA">
              <w:t>In your Best Interest</w:t>
            </w:r>
          </w:p>
        </w:tc>
        <w:tc>
          <w:tcPr>
            <w:tcW w:w="6798" w:type="dxa"/>
            <w:shd w:val="clear" w:color="auto" w:fill="auto"/>
          </w:tcPr>
          <w:p w14:paraId="3D260EA6" w14:textId="77777777" w:rsidR="004C0245" w:rsidRPr="00E87AAA" w:rsidRDefault="004C0245" w:rsidP="00CD1098">
            <w:pPr>
              <w:spacing w:before="120"/>
              <w:jc w:val="left"/>
              <w:rPr>
                <w:sz w:val="18"/>
                <w:szCs w:val="18"/>
                <w:highlight w:val="yellow"/>
              </w:rPr>
            </w:pPr>
          </w:p>
        </w:tc>
      </w:tr>
      <w:tr w:rsidR="004C0245" w:rsidRPr="00E87AAA" w14:paraId="154E5DE9"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40D120" w14:textId="77777777" w:rsidR="004C0245" w:rsidRPr="00E87AAA" w:rsidRDefault="004C0245" w:rsidP="00E164DA">
            <w:pPr>
              <w:pStyle w:val="Instructions"/>
            </w:pPr>
            <w:r>
              <w:t>Further Detail</w:t>
            </w:r>
          </w:p>
        </w:tc>
        <w:tc>
          <w:tcPr>
            <w:tcW w:w="6798" w:type="dxa"/>
            <w:shd w:val="clear" w:color="auto" w:fill="auto"/>
          </w:tcPr>
          <w:p w14:paraId="325254F8" w14:textId="77777777" w:rsidR="001162EC" w:rsidRPr="005F763D" w:rsidRDefault="001162EC" w:rsidP="001162EC">
            <w:pPr>
              <w:jc w:val="left"/>
            </w:pPr>
            <w:r w:rsidRPr="005F763D">
              <w:t>We estimate that if you reduce your taxable income by $</w:t>
            </w:r>
            <w:r w:rsidRPr="005F763D">
              <w:rPr>
                <w:color w:val="FF0000"/>
              </w:rPr>
              <w:t>[__</w:t>
            </w:r>
            <w:proofErr w:type="gramStart"/>
            <w:r w:rsidRPr="005F763D">
              <w:rPr>
                <w:color w:val="FF0000"/>
              </w:rPr>
              <w:t>_,_</w:t>
            </w:r>
            <w:proofErr w:type="gramEnd"/>
            <w:r w:rsidRPr="005F763D">
              <w:rPr>
                <w:color w:val="FF0000"/>
              </w:rPr>
              <w:t>__]</w:t>
            </w:r>
            <w:r w:rsidRPr="005F763D">
              <w:t xml:space="preserve"> through salary sacrifice into superannuation, you may be entitled to a reduction of child support payments of approximately $</w:t>
            </w:r>
            <w:r w:rsidRPr="005F763D">
              <w:rPr>
                <w:color w:val="FF0000"/>
              </w:rPr>
              <w:t>[___,___]</w:t>
            </w:r>
            <w:r w:rsidRPr="005F763D">
              <w:t xml:space="preserve"> in the first financial year.</w:t>
            </w:r>
          </w:p>
          <w:p w14:paraId="37A37864" w14:textId="77777777" w:rsidR="004C0245" w:rsidRPr="00E87AAA" w:rsidRDefault="004C0245" w:rsidP="00CD1098">
            <w:pPr>
              <w:spacing w:before="120"/>
              <w:jc w:val="left"/>
              <w:rPr>
                <w:sz w:val="18"/>
                <w:szCs w:val="18"/>
                <w:highlight w:val="yellow"/>
              </w:rPr>
            </w:pPr>
          </w:p>
        </w:tc>
      </w:tr>
    </w:tbl>
    <w:p w14:paraId="346E4E65" w14:textId="77777777" w:rsidR="004C0245" w:rsidRPr="005F763D" w:rsidRDefault="004C0245" w:rsidP="008C7CE9">
      <w:pPr>
        <w:jc w:val="left"/>
      </w:pPr>
    </w:p>
    <w:p w14:paraId="66947BDA" w14:textId="77777777" w:rsidR="007F19BE" w:rsidRPr="005F763D" w:rsidRDefault="007F19BE" w:rsidP="008C7CE9">
      <w:pPr>
        <w:jc w:val="left"/>
      </w:pPr>
    </w:p>
    <w:p w14:paraId="69604112" w14:textId="77777777" w:rsidR="007F19BE" w:rsidRPr="005F763D" w:rsidRDefault="007F19BE" w:rsidP="008C7CE9">
      <w:pPr>
        <w:jc w:val="left"/>
        <w:rPr>
          <w:color w:val="002060"/>
          <w:sz w:val="24"/>
        </w:rPr>
      </w:pPr>
      <w:r w:rsidRPr="005F763D">
        <w:rPr>
          <w:color w:val="002060"/>
          <w:sz w:val="24"/>
        </w:rPr>
        <w:t>Disability Support Pension</w:t>
      </w:r>
    </w:p>
    <w:p w14:paraId="2CAD3871" w14:textId="36202EE6"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735AE484"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FF28C31" w14:textId="77777777" w:rsidR="004C0245" w:rsidRPr="00AA2CC6" w:rsidRDefault="004C0245"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6F941B8" w14:textId="77777777" w:rsidR="004C0245" w:rsidRPr="00E51BEA" w:rsidRDefault="004C0245" w:rsidP="00CD1098">
            <w:pPr>
              <w:pStyle w:val="TableHeader2"/>
              <w:rPr>
                <w:rFonts w:ascii="Calibri Light" w:hAnsi="Calibri Light"/>
              </w:rPr>
            </w:pPr>
          </w:p>
        </w:tc>
      </w:tr>
      <w:tr w:rsidR="004C0245" w:rsidRPr="0088114A" w14:paraId="01EC7F31"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FD9065" w14:textId="77777777" w:rsidR="004C0245" w:rsidRPr="00E87AAA" w:rsidRDefault="004C0245" w:rsidP="00E164DA">
            <w:pPr>
              <w:pStyle w:val="Instructions"/>
            </w:pPr>
            <w:r w:rsidRPr="00E87AAA">
              <w:t>Title</w:t>
            </w:r>
          </w:p>
        </w:tc>
        <w:tc>
          <w:tcPr>
            <w:tcW w:w="6798" w:type="dxa"/>
            <w:shd w:val="clear" w:color="auto" w:fill="auto"/>
          </w:tcPr>
          <w:p w14:paraId="1A9930A9" w14:textId="61CBB15B" w:rsidR="004C0245" w:rsidRPr="0088114A" w:rsidRDefault="0046085E" w:rsidP="00CD1098">
            <w:pPr>
              <w:spacing w:before="120"/>
            </w:pPr>
            <w:r>
              <w:t>Disability Support Pension</w:t>
            </w:r>
          </w:p>
        </w:tc>
      </w:tr>
      <w:tr w:rsidR="004C0245" w:rsidRPr="0088114A" w14:paraId="17C621A6"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8D837D4" w14:textId="77777777" w:rsidR="004C0245" w:rsidRPr="00E87AAA" w:rsidRDefault="004C0245" w:rsidP="00E164DA">
            <w:pPr>
              <w:pStyle w:val="Instructions"/>
            </w:pPr>
            <w:r w:rsidRPr="00E87AAA">
              <w:t>Explanation</w:t>
            </w:r>
          </w:p>
        </w:tc>
        <w:tc>
          <w:tcPr>
            <w:tcW w:w="6798" w:type="dxa"/>
            <w:shd w:val="clear" w:color="auto" w:fill="auto"/>
          </w:tcPr>
          <w:p w14:paraId="49E2AAFA" w14:textId="77777777" w:rsidR="004C0245" w:rsidRPr="0088114A" w:rsidRDefault="004C0245" w:rsidP="00CD1098">
            <w:pPr>
              <w:spacing w:before="120"/>
              <w:rPr>
                <w:sz w:val="18"/>
                <w:szCs w:val="18"/>
                <w:highlight w:val="yellow"/>
              </w:rPr>
            </w:pPr>
          </w:p>
        </w:tc>
      </w:tr>
      <w:tr w:rsidR="004C0245" w:rsidRPr="00E87AAA" w14:paraId="6C894974"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7059534" w14:textId="77777777" w:rsidR="004C0245" w:rsidRPr="00E87AAA" w:rsidRDefault="004C0245" w:rsidP="00E164DA">
            <w:pPr>
              <w:pStyle w:val="Instructions"/>
            </w:pPr>
            <w:r w:rsidRPr="00E87AAA">
              <w:t>In your Best Interest</w:t>
            </w:r>
          </w:p>
        </w:tc>
        <w:tc>
          <w:tcPr>
            <w:tcW w:w="6798" w:type="dxa"/>
            <w:shd w:val="clear" w:color="auto" w:fill="auto"/>
          </w:tcPr>
          <w:p w14:paraId="1C39B2B3" w14:textId="77777777" w:rsidR="004C0245" w:rsidRPr="00E87AAA" w:rsidRDefault="004C0245" w:rsidP="00CD1098">
            <w:pPr>
              <w:spacing w:before="120"/>
              <w:jc w:val="left"/>
              <w:rPr>
                <w:sz w:val="18"/>
                <w:szCs w:val="18"/>
                <w:highlight w:val="yellow"/>
              </w:rPr>
            </w:pPr>
          </w:p>
        </w:tc>
      </w:tr>
      <w:tr w:rsidR="004C0245" w:rsidRPr="00E87AAA" w14:paraId="735A2982"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9D3CB78" w14:textId="77777777" w:rsidR="004C0245" w:rsidRPr="00E87AAA" w:rsidRDefault="004C0245" w:rsidP="00E164DA">
            <w:pPr>
              <w:pStyle w:val="Instructions"/>
            </w:pPr>
            <w:r>
              <w:t>Further Detail</w:t>
            </w:r>
          </w:p>
        </w:tc>
        <w:tc>
          <w:tcPr>
            <w:tcW w:w="6798" w:type="dxa"/>
            <w:shd w:val="clear" w:color="auto" w:fill="auto"/>
          </w:tcPr>
          <w:p w14:paraId="765B2637" w14:textId="77777777" w:rsidR="0046085E" w:rsidRPr="005F763D" w:rsidRDefault="0046085E" w:rsidP="0046085E">
            <w:pPr>
              <w:jc w:val="left"/>
            </w:pPr>
            <w:r w:rsidRPr="005F763D">
              <w:t xml:space="preserve">Centrelink determine your entitlement based on the test which will result in the lowest payment.  As such your Disability Support Pension entitlement, will be determined under the </w:t>
            </w:r>
            <w:r w:rsidRPr="000D0191">
              <w:rPr>
                <w:color w:val="7030A0"/>
                <w:highlight w:val="yellow"/>
              </w:rPr>
              <w:t>[assets][income]</w:t>
            </w:r>
            <w:r w:rsidRPr="005F763D">
              <w:t xml:space="preserve"> test.</w:t>
            </w:r>
          </w:p>
          <w:p w14:paraId="21D60D75" w14:textId="77777777" w:rsidR="0046085E" w:rsidRPr="005F763D" w:rsidRDefault="0046085E" w:rsidP="0046085E">
            <w:pPr>
              <w:jc w:val="left"/>
            </w:pPr>
          </w:p>
          <w:p w14:paraId="2BCF168D" w14:textId="77777777" w:rsidR="0046085E" w:rsidRPr="005F763D" w:rsidRDefault="0046085E" w:rsidP="0046085E">
            <w:pPr>
              <w:jc w:val="left"/>
            </w:pPr>
            <w:r w:rsidRPr="005F763D">
              <w:t>We estimate your entitlement will be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rPr>
                <w:color w:val="auto"/>
              </w:rPr>
              <w:t xml:space="preserve"> </w:t>
            </w:r>
            <w:r w:rsidRPr="005F763D">
              <w:t>per annum), including Pharmaceutical Allowance.</w:t>
            </w:r>
          </w:p>
          <w:p w14:paraId="42A0D8EB" w14:textId="77777777" w:rsidR="0046085E" w:rsidRPr="005F763D" w:rsidRDefault="0046085E" w:rsidP="0046085E">
            <w:pPr>
              <w:jc w:val="left"/>
            </w:pPr>
          </w:p>
          <w:p w14:paraId="2FAE83F7" w14:textId="77777777" w:rsidR="0046085E" w:rsidRPr="005F763D" w:rsidRDefault="0046085E" w:rsidP="0046085E">
            <w:pPr>
              <w:jc w:val="left"/>
              <w:rPr>
                <w:b/>
                <w:i/>
              </w:rPr>
            </w:pPr>
            <w:r w:rsidRPr="005F763D">
              <w:rPr>
                <w:b/>
                <w:i/>
              </w:rPr>
              <w:t>Please refer to the appendix projection titled ‘Centrelink Entitlements’ for more information in relation to Disability Support Pension.</w:t>
            </w:r>
          </w:p>
          <w:p w14:paraId="7D319CD2" w14:textId="77777777" w:rsidR="004C0245" w:rsidRPr="00E87AAA" w:rsidRDefault="004C0245" w:rsidP="00CD1098">
            <w:pPr>
              <w:spacing w:before="120"/>
              <w:jc w:val="left"/>
              <w:rPr>
                <w:sz w:val="18"/>
                <w:szCs w:val="18"/>
                <w:highlight w:val="yellow"/>
              </w:rPr>
            </w:pPr>
          </w:p>
        </w:tc>
      </w:tr>
    </w:tbl>
    <w:p w14:paraId="0BB408AC" w14:textId="77777777" w:rsidR="004C0245" w:rsidRPr="005F763D" w:rsidRDefault="004C0245" w:rsidP="008C7CE9">
      <w:pPr>
        <w:jc w:val="left"/>
      </w:pPr>
    </w:p>
    <w:p w14:paraId="290AC1D7" w14:textId="77777777" w:rsidR="007F19BE" w:rsidRPr="005F763D" w:rsidRDefault="007F19BE" w:rsidP="008C7CE9">
      <w:pPr>
        <w:jc w:val="left"/>
      </w:pPr>
    </w:p>
    <w:p w14:paraId="1CBB26DB" w14:textId="77777777" w:rsidR="007F19BE" w:rsidRPr="005F763D" w:rsidRDefault="007F19BE" w:rsidP="008C7CE9">
      <w:pPr>
        <w:jc w:val="left"/>
        <w:rPr>
          <w:color w:val="002060"/>
          <w:sz w:val="24"/>
        </w:rPr>
      </w:pPr>
      <w:r w:rsidRPr="005F763D">
        <w:rPr>
          <w:color w:val="002060"/>
          <w:sz w:val="24"/>
        </w:rPr>
        <w:t>Family Tax Benefit Part A</w:t>
      </w:r>
    </w:p>
    <w:p w14:paraId="52CE598D" w14:textId="05B7230C"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262371C6"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0D6060A" w14:textId="3C621B5A" w:rsidR="004C0245" w:rsidRPr="00AA2CC6" w:rsidRDefault="004C0245" w:rsidP="00CD1098">
            <w:pPr>
              <w:pStyle w:val="TableHeader2"/>
              <w:rPr>
                <w:szCs w:val="20"/>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DB28EF7" w14:textId="77777777" w:rsidR="004C0245" w:rsidRPr="00E51BEA" w:rsidRDefault="004C0245" w:rsidP="00CD1098">
            <w:pPr>
              <w:pStyle w:val="TableHeader2"/>
              <w:rPr>
                <w:rFonts w:ascii="Calibri Light" w:hAnsi="Calibri Light"/>
              </w:rPr>
            </w:pPr>
          </w:p>
        </w:tc>
      </w:tr>
      <w:tr w:rsidR="004C0245" w:rsidRPr="0088114A" w14:paraId="11570897"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D07CD1" w14:textId="1AC024CA" w:rsidR="004C0245" w:rsidRPr="00E87AAA" w:rsidRDefault="004C0245" w:rsidP="00E164DA">
            <w:pPr>
              <w:pStyle w:val="Instructions"/>
            </w:pPr>
          </w:p>
        </w:tc>
        <w:tc>
          <w:tcPr>
            <w:tcW w:w="6798" w:type="dxa"/>
            <w:shd w:val="clear" w:color="auto" w:fill="auto"/>
          </w:tcPr>
          <w:p w14:paraId="31512722" w14:textId="58500BBC" w:rsidR="004C0245" w:rsidRPr="0088114A" w:rsidRDefault="004C0245" w:rsidP="00CD1098">
            <w:pPr>
              <w:spacing w:before="120"/>
            </w:pPr>
          </w:p>
        </w:tc>
      </w:tr>
      <w:tr w:rsidR="004C0245" w:rsidRPr="0088114A" w14:paraId="0C17EDCD"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2F13609" w14:textId="11DF0789" w:rsidR="004C0245" w:rsidRPr="00E87AAA" w:rsidRDefault="004C0245" w:rsidP="00E164DA">
            <w:pPr>
              <w:pStyle w:val="Instructions"/>
            </w:pPr>
          </w:p>
        </w:tc>
        <w:tc>
          <w:tcPr>
            <w:tcW w:w="6798" w:type="dxa"/>
            <w:shd w:val="clear" w:color="auto" w:fill="auto"/>
          </w:tcPr>
          <w:p w14:paraId="0AB2E56B" w14:textId="77777777" w:rsidR="004C0245" w:rsidRPr="0088114A" w:rsidRDefault="004C0245" w:rsidP="00CD1098">
            <w:pPr>
              <w:spacing w:before="120"/>
              <w:rPr>
                <w:sz w:val="18"/>
                <w:szCs w:val="18"/>
                <w:highlight w:val="yellow"/>
              </w:rPr>
            </w:pPr>
          </w:p>
        </w:tc>
      </w:tr>
      <w:tr w:rsidR="004C0245" w:rsidRPr="00E87AAA" w14:paraId="2437478F"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0A803B" w14:textId="3430DD40" w:rsidR="004C0245" w:rsidRPr="00E87AAA" w:rsidRDefault="004C0245" w:rsidP="00E164DA">
            <w:pPr>
              <w:pStyle w:val="Instructions"/>
            </w:pPr>
          </w:p>
        </w:tc>
        <w:tc>
          <w:tcPr>
            <w:tcW w:w="6798" w:type="dxa"/>
            <w:shd w:val="clear" w:color="auto" w:fill="auto"/>
          </w:tcPr>
          <w:p w14:paraId="66E61818" w14:textId="77777777" w:rsidR="004C0245" w:rsidRPr="00E87AAA" w:rsidRDefault="004C0245" w:rsidP="00CD1098">
            <w:pPr>
              <w:spacing w:before="120"/>
              <w:jc w:val="left"/>
              <w:rPr>
                <w:sz w:val="18"/>
                <w:szCs w:val="18"/>
                <w:highlight w:val="yellow"/>
              </w:rPr>
            </w:pPr>
          </w:p>
        </w:tc>
      </w:tr>
      <w:tr w:rsidR="004C0245" w:rsidRPr="00E87AAA" w14:paraId="68BB06DD"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C0EF92" w14:textId="51A4A8DB" w:rsidR="004C0245" w:rsidRPr="00E87AAA" w:rsidRDefault="004C0245" w:rsidP="00E164DA">
            <w:pPr>
              <w:pStyle w:val="Instructions"/>
            </w:pPr>
          </w:p>
        </w:tc>
        <w:tc>
          <w:tcPr>
            <w:tcW w:w="6798" w:type="dxa"/>
            <w:shd w:val="clear" w:color="auto" w:fill="auto"/>
          </w:tcPr>
          <w:p w14:paraId="5EB61AA3" w14:textId="77777777" w:rsidR="0046085E" w:rsidRPr="005F763D" w:rsidRDefault="0046085E" w:rsidP="0046085E">
            <w:pPr>
              <w:jc w:val="left"/>
            </w:pPr>
            <w:r w:rsidRPr="005F763D">
              <w:t>We estimate your taxable income is approximately $</w:t>
            </w:r>
            <w:r w:rsidRPr="005F763D">
              <w:rPr>
                <w:color w:val="FF0000"/>
              </w:rPr>
              <w:t>[_</w:t>
            </w:r>
            <w:proofErr w:type="gramStart"/>
            <w:r w:rsidRPr="005F763D">
              <w:rPr>
                <w:color w:val="FF0000"/>
              </w:rPr>
              <w:t>_,_</w:t>
            </w:r>
            <w:proofErr w:type="gramEnd"/>
            <w:r w:rsidRPr="005F763D">
              <w:rPr>
                <w:color w:val="FF0000"/>
              </w:rPr>
              <w:t>__]</w:t>
            </w:r>
            <w:r w:rsidRPr="005F763D">
              <w:t>.  Therefore, we determine that you should be entitled to a Family Tax Benefit Part A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 – including the Family Tax Benefit Part A supplement).  However, we recommend you consult your local Centrelink office in this regard.</w:t>
            </w:r>
          </w:p>
          <w:p w14:paraId="0B28DA40" w14:textId="77777777" w:rsidR="0046085E" w:rsidRPr="005F763D" w:rsidRDefault="0046085E" w:rsidP="0046085E">
            <w:pPr>
              <w:jc w:val="left"/>
            </w:pPr>
          </w:p>
          <w:p w14:paraId="39498678" w14:textId="77777777" w:rsidR="0046085E" w:rsidRPr="005F763D" w:rsidRDefault="0046085E" w:rsidP="0046085E">
            <w:pPr>
              <w:jc w:val="left"/>
              <w:rPr>
                <w:b/>
                <w:i/>
              </w:rPr>
            </w:pPr>
            <w:r w:rsidRPr="005F763D">
              <w:rPr>
                <w:b/>
                <w:i/>
              </w:rPr>
              <w:lastRenderedPageBreak/>
              <w:t>Please refer to the appendix projection titled ‘Centrelink Entitlements’ for more information in relation to Family Tax Benefit Part A.</w:t>
            </w:r>
          </w:p>
          <w:p w14:paraId="3FB39DD7" w14:textId="77777777" w:rsidR="004C0245" w:rsidRPr="00E87AAA" w:rsidRDefault="004C0245" w:rsidP="00CD1098">
            <w:pPr>
              <w:spacing w:before="120"/>
              <w:jc w:val="left"/>
              <w:rPr>
                <w:sz w:val="18"/>
                <w:szCs w:val="18"/>
                <w:highlight w:val="yellow"/>
              </w:rPr>
            </w:pPr>
          </w:p>
        </w:tc>
      </w:tr>
    </w:tbl>
    <w:p w14:paraId="5DC84286" w14:textId="77777777" w:rsidR="004C0245" w:rsidRPr="005F763D" w:rsidRDefault="004C0245" w:rsidP="008C7CE9">
      <w:pPr>
        <w:jc w:val="left"/>
      </w:pPr>
    </w:p>
    <w:p w14:paraId="3C77E926" w14:textId="77777777" w:rsidR="007F19BE" w:rsidRPr="005F763D" w:rsidRDefault="007F19BE" w:rsidP="008C7CE9">
      <w:pPr>
        <w:jc w:val="left"/>
      </w:pPr>
    </w:p>
    <w:p w14:paraId="5F382D32" w14:textId="77777777" w:rsidR="007F19BE" w:rsidRPr="005F763D" w:rsidRDefault="007F19BE" w:rsidP="008C7CE9">
      <w:pPr>
        <w:jc w:val="left"/>
        <w:rPr>
          <w:color w:val="002060"/>
          <w:sz w:val="24"/>
        </w:rPr>
      </w:pPr>
      <w:r w:rsidRPr="005F763D">
        <w:rPr>
          <w:color w:val="002060"/>
          <w:sz w:val="24"/>
        </w:rPr>
        <w:t>Family Tax Benefit Part B</w:t>
      </w:r>
    </w:p>
    <w:p w14:paraId="092AC191" w14:textId="36DBB8DA" w:rsidR="007F19BE" w:rsidRDefault="007F19BE"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4C0245" w:rsidRPr="00E87AAA" w14:paraId="44D79943" w14:textId="77777777" w:rsidTr="00CD1098">
        <w:tc>
          <w:tcPr>
            <w:tcW w:w="2754" w:type="dxa"/>
            <w:shd w:val="clear" w:color="auto" w:fill="auto"/>
          </w:tcPr>
          <w:p w14:paraId="2C4CA836" w14:textId="34EEB3C6" w:rsidR="004C0245" w:rsidRPr="00E87AAA" w:rsidRDefault="004C0245" w:rsidP="00E164DA">
            <w:pPr>
              <w:pStyle w:val="Instructions"/>
            </w:pPr>
          </w:p>
        </w:tc>
        <w:tc>
          <w:tcPr>
            <w:tcW w:w="6798" w:type="dxa"/>
            <w:shd w:val="clear" w:color="auto" w:fill="auto"/>
          </w:tcPr>
          <w:p w14:paraId="5C9A5EDB" w14:textId="77777777" w:rsidR="008E1E68" w:rsidRPr="005F763D" w:rsidRDefault="008E1E68" w:rsidP="008E1E68">
            <w:pPr>
              <w:jc w:val="left"/>
            </w:pPr>
            <w:r w:rsidRPr="005F763D">
              <w:t>We estimate you will be entitled to a Family Tax Benefit Part B payment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 However, we recommend you consult your local Centrelink office in this regard.</w:t>
            </w:r>
          </w:p>
          <w:p w14:paraId="2935CFC0" w14:textId="77777777" w:rsidR="008E1E68" w:rsidRPr="005F763D" w:rsidRDefault="008E1E68" w:rsidP="008E1E68">
            <w:pPr>
              <w:jc w:val="left"/>
            </w:pPr>
          </w:p>
          <w:p w14:paraId="106FCA93" w14:textId="77777777" w:rsidR="008E1E68" w:rsidRPr="005F763D" w:rsidRDefault="008E1E68" w:rsidP="008E1E68">
            <w:pPr>
              <w:jc w:val="left"/>
              <w:rPr>
                <w:b/>
                <w:i/>
              </w:rPr>
            </w:pPr>
            <w:r w:rsidRPr="005F763D">
              <w:rPr>
                <w:b/>
                <w:i/>
              </w:rPr>
              <w:t>Please refer to the appendix projection titled ‘Centrelink Entitlements’ for more information in relation to Family Tax Benefit Part B.</w:t>
            </w:r>
          </w:p>
          <w:p w14:paraId="13DDF39D" w14:textId="77777777" w:rsidR="004C0245" w:rsidRPr="00E87AAA" w:rsidRDefault="004C0245" w:rsidP="00CD1098">
            <w:pPr>
              <w:spacing w:before="120"/>
              <w:jc w:val="left"/>
              <w:rPr>
                <w:sz w:val="18"/>
                <w:szCs w:val="18"/>
                <w:highlight w:val="yellow"/>
              </w:rPr>
            </w:pPr>
          </w:p>
        </w:tc>
      </w:tr>
    </w:tbl>
    <w:p w14:paraId="264F491B" w14:textId="77777777" w:rsidR="004C0245" w:rsidRPr="005F763D" w:rsidRDefault="004C0245" w:rsidP="008C7CE9">
      <w:pPr>
        <w:jc w:val="left"/>
      </w:pPr>
    </w:p>
    <w:p w14:paraId="3AE02410" w14:textId="77777777" w:rsidR="007F19BE" w:rsidRPr="005F763D" w:rsidRDefault="007F19BE" w:rsidP="008C7CE9">
      <w:pPr>
        <w:jc w:val="left"/>
      </w:pPr>
    </w:p>
    <w:p w14:paraId="43D45141" w14:textId="77777777" w:rsidR="007F19BE" w:rsidRPr="005F763D" w:rsidRDefault="007F19BE" w:rsidP="008C7CE9">
      <w:pPr>
        <w:jc w:val="left"/>
        <w:rPr>
          <w:color w:val="002060"/>
          <w:sz w:val="24"/>
        </w:rPr>
      </w:pPr>
      <w:r w:rsidRPr="005F763D">
        <w:rPr>
          <w:color w:val="002060"/>
          <w:sz w:val="24"/>
        </w:rPr>
        <w:t>Funeral Bonds</w:t>
      </w:r>
      <w:r w:rsidR="000E4A05" w:rsidRPr="005F763D">
        <w:rPr>
          <w:color w:val="002060"/>
          <w:sz w:val="24"/>
        </w:rPr>
        <w:t xml:space="preserve"> &amp; Social Security</w:t>
      </w:r>
    </w:p>
    <w:p w14:paraId="433E037A" w14:textId="5F71A92A"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573BEF4"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3C4DF51"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2B7EFB6" w14:textId="77777777" w:rsidR="000A3121" w:rsidRPr="00E51BEA" w:rsidRDefault="000A3121" w:rsidP="002819EF">
            <w:pPr>
              <w:pStyle w:val="TableHeader2"/>
              <w:rPr>
                <w:rFonts w:ascii="Calibri Light" w:hAnsi="Calibri Light"/>
              </w:rPr>
            </w:pPr>
          </w:p>
        </w:tc>
      </w:tr>
      <w:tr w:rsidR="000A3121" w:rsidRPr="0088114A" w14:paraId="35C06DF7"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4718C6F" w14:textId="77777777" w:rsidR="000A3121" w:rsidRPr="00E87AAA" w:rsidRDefault="000A3121" w:rsidP="00E164DA">
            <w:pPr>
              <w:pStyle w:val="Instructions"/>
            </w:pPr>
            <w:r w:rsidRPr="00E87AAA">
              <w:t>Title</w:t>
            </w:r>
          </w:p>
        </w:tc>
        <w:tc>
          <w:tcPr>
            <w:tcW w:w="6798" w:type="dxa"/>
            <w:shd w:val="clear" w:color="auto" w:fill="auto"/>
          </w:tcPr>
          <w:p w14:paraId="3325371F" w14:textId="46B1E4FD" w:rsidR="000A3121" w:rsidRPr="0088114A" w:rsidRDefault="008E1E68" w:rsidP="002819EF">
            <w:pPr>
              <w:spacing w:before="120"/>
            </w:pPr>
            <w:r>
              <w:t>Funeral Bonds and Social Security</w:t>
            </w:r>
          </w:p>
        </w:tc>
      </w:tr>
      <w:tr w:rsidR="000A3121" w:rsidRPr="0088114A" w14:paraId="07772D4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2475E12" w14:textId="77777777" w:rsidR="000A3121" w:rsidRPr="00E87AAA" w:rsidRDefault="000A3121" w:rsidP="00E164DA">
            <w:pPr>
              <w:pStyle w:val="Instructions"/>
            </w:pPr>
            <w:r w:rsidRPr="00E87AAA">
              <w:t>Explanation</w:t>
            </w:r>
          </w:p>
        </w:tc>
        <w:tc>
          <w:tcPr>
            <w:tcW w:w="6798" w:type="dxa"/>
            <w:shd w:val="clear" w:color="auto" w:fill="auto"/>
          </w:tcPr>
          <w:p w14:paraId="2F84B9A4" w14:textId="77777777" w:rsidR="008E1E68" w:rsidRPr="005F763D" w:rsidRDefault="008E1E68" w:rsidP="008E1E68">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invest $</w:t>
            </w:r>
            <w:r w:rsidRPr="005F763D">
              <w:rPr>
                <w:color w:val="FF0000"/>
              </w:rPr>
              <w:t>[_</w:t>
            </w:r>
            <w:proofErr w:type="gramStart"/>
            <w:r w:rsidRPr="005F763D">
              <w:rPr>
                <w:color w:val="FF0000"/>
              </w:rPr>
              <w:t>_,_</w:t>
            </w:r>
            <w:proofErr w:type="gramEnd"/>
            <w:r w:rsidRPr="005F763D">
              <w:rPr>
                <w:color w:val="FF0000"/>
              </w:rPr>
              <w:t>__]</w:t>
            </w:r>
            <w:r w:rsidRPr="005F763D">
              <w:t xml:space="preserve"> into a funeral bond.  The funds will be sourced from </w:t>
            </w:r>
            <w:r w:rsidRPr="000D0191">
              <w:rPr>
                <w:color w:val="7030A0"/>
                <w:highlight w:val="yellow"/>
              </w:rPr>
              <w:t>[insert source of funds]</w:t>
            </w:r>
            <w:r w:rsidRPr="005F763D">
              <w:t>.</w:t>
            </w:r>
          </w:p>
          <w:p w14:paraId="76F09AFF" w14:textId="77777777" w:rsidR="000A3121" w:rsidRPr="0088114A" w:rsidRDefault="000A3121" w:rsidP="002819EF">
            <w:pPr>
              <w:spacing w:before="120"/>
              <w:rPr>
                <w:sz w:val="18"/>
                <w:szCs w:val="18"/>
                <w:highlight w:val="yellow"/>
              </w:rPr>
            </w:pPr>
          </w:p>
        </w:tc>
      </w:tr>
      <w:tr w:rsidR="000A3121" w:rsidRPr="00E87AAA" w14:paraId="6FC14F8B"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2102A4D" w14:textId="77777777" w:rsidR="000A3121" w:rsidRPr="00E87AAA" w:rsidRDefault="000A3121" w:rsidP="00E164DA">
            <w:pPr>
              <w:pStyle w:val="Instructions"/>
            </w:pPr>
            <w:r w:rsidRPr="00E87AAA">
              <w:t>In your Best Interest</w:t>
            </w:r>
          </w:p>
        </w:tc>
        <w:tc>
          <w:tcPr>
            <w:tcW w:w="6798" w:type="dxa"/>
            <w:shd w:val="clear" w:color="auto" w:fill="auto"/>
          </w:tcPr>
          <w:p w14:paraId="41337FF9" w14:textId="77777777" w:rsidR="000A3121" w:rsidRPr="00E87AAA" w:rsidRDefault="000A3121" w:rsidP="002819EF">
            <w:pPr>
              <w:spacing w:before="120"/>
              <w:jc w:val="left"/>
              <w:rPr>
                <w:sz w:val="18"/>
                <w:szCs w:val="18"/>
                <w:highlight w:val="yellow"/>
              </w:rPr>
            </w:pPr>
          </w:p>
        </w:tc>
      </w:tr>
      <w:tr w:rsidR="000A3121" w:rsidRPr="00E87AAA" w14:paraId="7060607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6158167" w14:textId="77777777" w:rsidR="000A3121" w:rsidRPr="00E87AAA" w:rsidRDefault="000A3121" w:rsidP="00E164DA">
            <w:pPr>
              <w:pStyle w:val="Instructions"/>
            </w:pPr>
            <w:r>
              <w:t>Further Detail</w:t>
            </w:r>
          </w:p>
        </w:tc>
        <w:tc>
          <w:tcPr>
            <w:tcW w:w="6798" w:type="dxa"/>
            <w:shd w:val="clear" w:color="auto" w:fill="auto"/>
          </w:tcPr>
          <w:p w14:paraId="39694BB7" w14:textId="63165624" w:rsidR="008E1E68" w:rsidRPr="001345C5" w:rsidRDefault="008E1E68" w:rsidP="008E1E68">
            <w:pPr>
              <w:jc w:val="left"/>
            </w:pPr>
            <w:r w:rsidRPr="001345C5">
              <w:t>The</w:t>
            </w:r>
            <w:r w:rsidR="005C04E8" w:rsidRPr="001345C5">
              <w:t xml:space="preserve"> typical</w:t>
            </w:r>
            <w:r w:rsidRPr="001345C5">
              <w:t xml:space="preserve"> benefits of this recommendation are:</w:t>
            </w:r>
          </w:p>
          <w:p w14:paraId="178A8FE3" w14:textId="77777777" w:rsidR="008E1E68" w:rsidRPr="001345C5" w:rsidRDefault="008E1E68" w:rsidP="003812CB">
            <w:pPr>
              <w:numPr>
                <w:ilvl w:val="0"/>
                <w:numId w:val="32"/>
              </w:numPr>
              <w:spacing w:after="120"/>
              <w:ind w:left="458" w:hanging="283"/>
              <w:jc w:val="left"/>
            </w:pPr>
            <w:r w:rsidRPr="001345C5">
              <w:t>Your funeral expenses will be pre-paid and therefore organised.</w:t>
            </w:r>
          </w:p>
          <w:p w14:paraId="39BEBA3A" w14:textId="1E2BC76A" w:rsidR="008E1E68" w:rsidRPr="001345C5" w:rsidRDefault="008E1E68" w:rsidP="003812CB">
            <w:pPr>
              <w:numPr>
                <w:ilvl w:val="0"/>
                <w:numId w:val="32"/>
              </w:numPr>
              <w:spacing w:after="120"/>
              <w:ind w:left="458" w:hanging="283"/>
              <w:jc w:val="left"/>
            </w:pPr>
            <w:r w:rsidRPr="001345C5">
              <w:t>These investments are exempt from Centrelink’s Assets Test, up to the limit of $1</w:t>
            </w:r>
            <w:r w:rsidR="006B4BC3">
              <w:t>3</w:t>
            </w:r>
            <w:r w:rsidRPr="001345C5">
              <w:t>,500 each (however, you can each purchase a funeral bond, reducing your Centrelink assessable assets by a combined amount of $2</w:t>
            </w:r>
            <w:r w:rsidR="006B4BC3">
              <w:t>7</w:t>
            </w:r>
            <w:r w:rsidRPr="001345C5">
              <w:t>,000).</w:t>
            </w:r>
          </w:p>
          <w:p w14:paraId="64FB16D7" w14:textId="77777777" w:rsidR="008E1E68" w:rsidRPr="001345C5" w:rsidRDefault="008E1E68" w:rsidP="003812CB">
            <w:pPr>
              <w:numPr>
                <w:ilvl w:val="0"/>
                <w:numId w:val="32"/>
              </w:numPr>
              <w:spacing w:after="120"/>
              <w:ind w:left="458" w:hanging="283"/>
              <w:jc w:val="left"/>
            </w:pPr>
            <w:r w:rsidRPr="001345C5">
              <w:t>We estimate that this will increase your Centrelink Age Pension by approximately $</w:t>
            </w:r>
            <w:r w:rsidRPr="001345C5">
              <w:rPr>
                <w:color w:val="FF0000"/>
              </w:rPr>
              <w:t>[_</w:t>
            </w:r>
            <w:proofErr w:type="gramStart"/>
            <w:r w:rsidRPr="001345C5">
              <w:rPr>
                <w:color w:val="FF0000"/>
              </w:rPr>
              <w:t>_,_</w:t>
            </w:r>
            <w:proofErr w:type="gramEnd"/>
            <w:r w:rsidRPr="001345C5">
              <w:rPr>
                <w:color w:val="FF0000"/>
              </w:rPr>
              <w:t>__]</w:t>
            </w:r>
            <w:r w:rsidRPr="001345C5">
              <w:t xml:space="preserve"> per annum.</w:t>
            </w:r>
          </w:p>
          <w:p w14:paraId="20837A90" w14:textId="25901981" w:rsidR="005C04E8" w:rsidRPr="005F763D" w:rsidRDefault="005C04E8" w:rsidP="005C04E8">
            <w:pPr>
              <w:jc w:val="left"/>
            </w:pPr>
            <w:r w:rsidRPr="001345C5">
              <w:t>The typical risks associated with this recommendation are:</w:t>
            </w:r>
          </w:p>
          <w:p w14:paraId="6F019E48" w14:textId="324703D1" w:rsidR="005C04E8" w:rsidRDefault="00A60E59" w:rsidP="003812CB">
            <w:pPr>
              <w:numPr>
                <w:ilvl w:val="0"/>
                <w:numId w:val="32"/>
              </w:numPr>
              <w:spacing w:after="120"/>
              <w:ind w:left="458" w:hanging="283"/>
              <w:jc w:val="left"/>
            </w:pPr>
            <w:r>
              <w:t xml:space="preserve">Immediate </w:t>
            </w:r>
            <w:r w:rsidR="005C04E8" w:rsidRPr="005F763D">
              <w:t>access to the capital invested</w:t>
            </w:r>
            <w:r>
              <w:t xml:space="preserve"> may result in taxation consequences.</w:t>
            </w:r>
          </w:p>
          <w:p w14:paraId="1A1B064B" w14:textId="3A2AD788" w:rsidR="00A60E59" w:rsidRPr="005F763D" w:rsidRDefault="00A60E59" w:rsidP="003812CB">
            <w:pPr>
              <w:numPr>
                <w:ilvl w:val="0"/>
                <w:numId w:val="32"/>
              </w:numPr>
              <w:spacing w:after="120"/>
              <w:ind w:left="458" w:hanging="283"/>
              <w:jc w:val="left"/>
            </w:pPr>
            <w:r>
              <w:t>If investing cash savings, you will lose the government bank guarantee on amounts under $250,000.</w:t>
            </w:r>
          </w:p>
          <w:p w14:paraId="2C22244C" w14:textId="77777777" w:rsidR="005C04E8" w:rsidRPr="005F763D" w:rsidRDefault="005C04E8" w:rsidP="003812CB">
            <w:pPr>
              <w:numPr>
                <w:ilvl w:val="0"/>
                <w:numId w:val="32"/>
              </w:numPr>
              <w:spacing w:after="120"/>
              <w:ind w:left="458" w:hanging="283"/>
              <w:jc w:val="left"/>
            </w:pPr>
            <w:r w:rsidRPr="005F763D">
              <w:t>Historically poor investment returns.</w:t>
            </w:r>
          </w:p>
          <w:p w14:paraId="62123AA3" w14:textId="77777777" w:rsidR="000A3121" w:rsidRPr="00E87AAA" w:rsidRDefault="000A3121" w:rsidP="002819EF">
            <w:pPr>
              <w:spacing w:before="120"/>
              <w:jc w:val="left"/>
              <w:rPr>
                <w:sz w:val="18"/>
                <w:szCs w:val="18"/>
                <w:highlight w:val="yellow"/>
              </w:rPr>
            </w:pPr>
          </w:p>
        </w:tc>
      </w:tr>
    </w:tbl>
    <w:p w14:paraId="26739171" w14:textId="77777777" w:rsidR="000A3121" w:rsidRPr="005F763D" w:rsidRDefault="000A3121" w:rsidP="008C7CE9">
      <w:pPr>
        <w:jc w:val="left"/>
      </w:pPr>
    </w:p>
    <w:p w14:paraId="67C84F5F" w14:textId="77777777" w:rsidR="007F19BE" w:rsidRPr="005F763D" w:rsidRDefault="007F19BE" w:rsidP="008C7CE9">
      <w:pPr>
        <w:jc w:val="left"/>
      </w:pPr>
    </w:p>
    <w:p w14:paraId="7F9A8EEB" w14:textId="77777777" w:rsidR="007F19BE" w:rsidRPr="005F763D" w:rsidRDefault="007F19BE" w:rsidP="008C7CE9">
      <w:pPr>
        <w:jc w:val="left"/>
      </w:pPr>
    </w:p>
    <w:p w14:paraId="677346C5" w14:textId="77777777" w:rsidR="007F19BE" w:rsidRPr="005F763D" w:rsidRDefault="007F19BE" w:rsidP="008C7CE9">
      <w:pPr>
        <w:jc w:val="left"/>
      </w:pPr>
    </w:p>
    <w:p w14:paraId="4C6EF0D9" w14:textId="77777777" w:rsidR="007F19BE" w:rsidRPr="005F763D" w:rsidRDefault="007F19BE" w:rsidP="008C7CE9">
      <w:pPr>
        <w:jc w:val="left"/>
        <w:rPr>
          <w:color w:val="002060"/>
          <w:sz w:val="24"/>
        </w:rPr>
      </w:pPr>
      <w:r w:rsidRPr="005F763D">
        <w:rPr>
          <w:color w:val="002060"/>
          <w:sz w:val="24"/>
        </w:rPr>
        <w:t>Gifting</w:t>
      </w:r>
    </w:p>
    <w:p w14:paraId="571A8348" w14:textId="3C5323C5"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40C8C4A"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2F8F2AD"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38297F6" w14:textId="77777777" w:rsidR="000A3121" w:rsidRPr="00E51BEA" w:rsidRDefault="000A3121" w:rsidP="002819EF">
            <w:pPr>
              <w:pStyle w:val="TableHeader2"/>
              <w:rPr>
                <w:rFonts w:ascii="Calibri Light" w:hAnsi="Calibri Light"/>
              </w:rPr>
            </w:pPr>
          </w:p>
        </w:tc>
      </w:tr>
      <w:tr w:rsidR="000A3121" w:rsidRPr="0088114A" w14:paraId="5438BB0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06ECE25" w14:textId="77777777" w:rsidR="000A3121" w:rsidRPr="00E87AAA" w:rsidRDefault="000A3121" w:rsidP="00E164DA">
            <w:pPr>
              <w:pStyle w:val="Instructions"/>
            </w:pPr>
            <w:r w:rsidRPr="00E87AAA">
              <w:t>Title</w:t>
            </w:r>
          </w:p>
        </w:tc>
        <w:tc>
          <w:tcPr>
            <w:tcW w:w="6798" w:type="dxa"/>
            <w:shd w:val="clear" w:color="auto" w:fill="auto"/>
          </w:tcPr>
          <w:p w14:paraId="45E7446C" w14:textId="06700DB1" w:rsidR="000A3121" w:rsidRPr="0088114A" w:rsidRDefault="00E24859" w:rsidP="002819EF">
            <w:pPr>
              <w:spacing w:before="120"/>
            </w:pPr>
            <w:r>
              <w:t>Gifting</w:t>
            </w:r>
          </w:p>
        </w:tc>
      </w:tr>
      <w:tr w:rsidR="000A3121" w:rsidRPr="0088114A" w14:paraId="309C4F7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F6CB711" w14:textId="77777777" w:rsidR="000A3121" w:rsidRPr="00E87AAA" w:rsidRDefault="000A3121" w:rsidP="00E164DA">
            <w:pPr>
              <w:pStyle w:val="Instructions"/>
            </w:pPr>
            <w:r w:rsidRPr="00E87AAA">
              <w:t>Explanation</w:t>
            </w:r>
          </w:p>
        </w:tc>
        <w:tc>
          <w:tcPr>
            <w:tcW w:w="6798" w:type="dxa"/>
            <w:shd w:val="clear" w:color="auto" w:fill="auto"/>
          </w:tcPr>
          <w:p w14:paraId="1DB6510E" w14:textId="5B2FBF63" w:rsidR="00E24859" w:rsidRPr="005F763D" w:rsidRDefault="00E24859" w:rsidP="00E24859">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xml:space="preserve">, </w:t>
            </w:r>
            <w:r>
              <w:t>a</w:t>
            </w:r>
            <w:r w:rsidRPr="005F763D">
              <w:t xml:space="preserve"> gift $</w:t>
            </w:r>
            <w:r w:rsidRPr="005F763D">
              <w:rPr>
                <w:color w:val="FF0000"/>
              </w:rPr>
              <w:t>[__,___]</w:t>
            </w:r>
            <w:r w:rsidRPr="005F763D">
              <w:t xml:space="preserve"> </w:t>
            </w:r>
            <w:r>
              <w:t xml:space="preserve">is recommended </w:t>
            </w:r>
            <w:r w:rsidRPr="005F763D">
              <w:t xml:space="preserve">from your </w:t>
            </w:r>
            <w:r w:rsidR="00D14D67" w:rsidRPr="00D14D67">
              <w:rPr>
                <w:color w:val="7030A0"/>
                <w:highlight w:val="yellow"/>
              </w:rPr>
              <w:t>[</w:t>
            </w:r>
            <w:r w:rsidRPr="00D14D67">
              <w:rPr>
                <w:color w:val="7030A0"/>
                <w:highlight w:val="yellow"/>
              </w:rPr>
              <w:t>cash</w:t>
            </w:r>
            <w:r w:rsidR="00D14D67" w:rsidRPr="00D14D67">
              <w:rPr>
                <w:color w:val="7030A0"/>
                <w:highlight w:val="yellow"/>
              </w:rPr>
              <w:t>/shares in specie]</w:t>
            </w:r>
            <w:r w:rsidRPr="005F763D">
              <w:t xml:space="preserve"> to </w:t>
            </w:r>
            <w:r w:rsidRPr="005F763D">
              <w:rPr>
                <w:color w:val="FF0000"/>
              </w:rPr>
              <w:t>[</w:t>
            </w:r>
            <w:r w:rsidR="00D14D67">
              <w:rPr>
                <w:color w:val="FF0000"/>
              </w:rPr>
              <w:t>N</w:t>
            </w:r>
            <w:r w:rsidRPr="005F763D">
              <w:rPr>
                <w:color w:val="FF0000"/>
              </w:rPr>
              <w:t>ame]</w:t>
            </w:r>
            <w:r w:rsidRPr="005F763D">
              <w:t>, which will result in a reduction of your Centrelink assessable assets by $</w:t>
            </w:r>
            <w:r w:rsidRPr="005F763D">
              <w:rPr>
                <w:color w:val="FF0000"/>
              </w:rPr>
              <w:t>[__,___]</w:t>
            </w:r>
            <w:r w:rsidR="00213681">
              <w:t xml:space="preserve"> and a reduction in your Centrelink assessable income of </w:t>
            </w:r>
            <w:r w:rsidR="00213681" w:rsidRPr="005F763D">
              <w:t>$</w:t>
            </w:r>
            <w:r w:rsidR="00213681" w:rsidRPr="005F763D">
              <w:rPr>
                <w:color w:val="FF0000"/>
              </w:rPr>
              <w:t>[__,___]</w:t>
            </w:r>
          </w:p>
          <w:p w14:paraId="28B7DCBF" w14:textId="77777777" w:rsidR="000A3121" w:rsidRPr="0088114A" w:rsidRDefault="000A3121" w:rsidP="002819EF">
            <w:pPr>
              <w:spacing w:before="120"/>
              <w:rPr>
                <w:sz w:val="18"/>
                <w:szCs w:val="18"/>
                <w:highlight w:val="yellow"/>
              </w:rPr>
            </w:pPr>
          </w:p>
        </w:tc>
      </w:tr>
      <w:tr w:rsidR="000A3121" w:rsidRPr="00E87AAA" w14:paraId="62ABAB0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A2993E" w14:textId="77777777" w:rsidR="000A3121" w:rsidRPr="00E87AAA" w:rsidRDefault="000A3121" w:rsidP="00E164DA">
            <w:pPr>
              <w:pStyle w:val="Instructions"/>
            </w:pPr>
            <w:r w:rsidRPr="00E87AAA">
              <w:t>In your Best Interest</w:t>
            </w:r>
          </w:p>
        </w:tc>
        <w:tc>
          <w:tcPr>
            <w:tcW w:w="6798" w:type="dxa"/>
            <w:shd w:val="clear" w:color="auto" w:fill="auto"/>
          </w:tcPr>
          <w:p w14:paraId="33DDE51F" w14:textId="77777777" w:rsidR="000A3121" w:rsidRPr="00E87AAA" w:rsidRDefault="000A3121" w:rsidP="002819EF">
            <w:pPr>
              <w:spacing w:before="120"/>
              <w:jc w:val="left"/>
              <w:rPr>
                <w:sz w:val="18"/>
                <w:szCs w:val="18"/>
                <w:highlight w:val="yellow"/>
              </w:rPr>
            </w:pPr>
          </w:p>
        </w:tc>
      </w:tr>
      <w:tr w:rsidR="000A3121" w:rsidRPr="00E87AAA" w14:paraId="6244AE6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ECC2FE9" w14:textId="77777777" w:rsidR="000A3121" w:rsidRPr="00E87AAA" w:rsidRDefault="000A3121" w:rsidP="00E164DA">
            <w:pPr>
              <w:pStyle w:val="Instructions"/>
            </w:pPr>
            <w:r>
              <w:lastRenderedPageBreak/>
              <w:t>Further Detail</w:t>
            </w:r>
          </w:p>
        </w:tc>
        <w:tc>
          <w:tcPr>
            <w:tcW w:w="6798" w:type="dxa"/>
            <w:shd w:val="clear" w:color="auto" w:fill="auto"/>
          </w:tcPr>
          <w:p w14:paraId="4FB24584" w14:textId="77777777" w:rsidR="00E24859" w:rsidRDefault="00E24859" w:rsidP="00E24859">
            <w:pPr>
              <w:jc w:val="left"/>
            </w:pPr>
            <w:r w:rsidRPr="005F763D">
              <w:t xml:space="preserve">Based on our </w:t>
            </w:r>
            <w:r>
              <w:t xml:space="preserve">information, </w:t>
            </w:r>
            <w:r w:rsidRPr="005F763D">
              <w:t xml:space="preserve">you </w:t>
            </w:r>
            <w:r>
              <w:t xml:space="preserve">have not </w:t>
            </w:r>
            <w:r w:rsidRPr="005F763D">
              <w:t>gift</w:t>
            </w:r>
            <w:r>
              <w:t>ed</w:t>
            </w:r>
            <w:r w:rsidRPr="005F763D">
              <w:t xml:space="preserve"> in excess </w:t>
            </w:r>
            <w:r>
              <w:t xml:space="preserve">of the </w:t>
            </w:r>
            <w:r w:rsidRPr="005F763D">
              <w:t xml:space="preserve">rules. </w:t>
            </w:r>
            <w:r>
              <w:t xml:space="preserve">Consequently, </w:t>
            </w:r>
            <w:r w:rsidRPr="005F763D">
              <w:t xml:space="preserve">you should not be assessed for any deprived assets.  </w:t>
            </w:r>
          </w:p>
          <w:p w14:paraId="0521AE60" w14:textId="7F1A9301" w:rsidR="00E24859" w:rsidRDefault="00E24859" w:rsidP="00E24859">
            <w:pPr>
              <w:jc w:val="left"/>
            </w:pPr>
            <w:r w:rsidRPr="005F763D">
              <w:t xml:space="preserve">If you are aware of additional gifts you have made which may be considered </w:t>
            </w:r>
            <w:r>
              <w:t xml:space="preserve">to be </w:t>
            </w:r>
            <w:r w:rsidRPr="005F763D">
              <w:t>within the gifting rules</w:t>
            </w:r>
            <w:r>
              <w:t>,</w:t>
            </w:r>
            <w:r w:rsidRPr="005F763D">
              <w:t xml:space="preserve"> please advise us prior to making </w:t>
            </w:r>
            <w:r>
              <w:t xml:space="preserve">any further </w:t>
            </w:r>
            <w:r w:rsidRPr="005F763D">
              <w:t>gift</w:t>
            </w:r>
            <w:r>
              <w:t>s</w:t>
            </w:r>
            <w:r w:rsidRPr="005F763D">
              <w:t>.</w:t>
            </w:r>
          </w:p>
          <w:p w14:paraId="39867F8E" w14:textId="77D83D87" w:rsidR="006B4BC3" w:rsidRDefault="006B4BC3" w:rsidP="00E24859">
            <w:pPr>
              <w:jc w:val="left"/>
            </w:pPr>
          </w:p>
          <w:p w14:paraId="262BB1AB" w14:textId="4EBDFF5E" w:rsidR="006B4BC3" w:rsidRPr="001345C5" w:rsidRDefault="006B4BC3" w:rsidP="006B4BC3">
            <w:pPr>
              <w:numPr>
                <w:ilvl w:val="0"/>
                <w:numId w:val="32"/>
              </w:numPr>
              <w:spacing w:after="120"/>
              <w:ind w:left="458" w:hanging="283"/>
              <w:jc w:val="left"/>
            </w:pPr>
            <w:r w:rsidRPr="001345C5">
              <w:t xml:space="preserve">We estimate that this will increase your Centrelink </w:t>
            </w:r>
            <w:r w:rsidRPr="006B4BC3">
              <w:rPr>
                <w:color w:val="7030A0"/>
                <w:highlight w:val="yellow"/>
              </w:rPr>
              <w:t>[Benefit Name]</w:t>
            </w:r>
            <w:r w:rsidRPr="006B4BC3">
              <w:rPr>
                <w:color w:val="7030A0"/>
              </w:rPr>
              <w:t xml:space="preserve"> </w:t>
            </w:r>
            <w:r w:rsidRPr="001345C5">
              <w:t>by approximately $</w:t>
            </w:r>
            <w:r w:rsidRPr="001345C5">
              <w:rPr>
                <w:color w:val="FF0000"/>
              </w:rPr>
              <w:t>[_</w:t>
            </w:r>
            <w:proofErr w:type="gramStart"/>
            <w:r w:rsidRPr="001345C5">
              <w:rPr>
                <w:color w:val="FF0000"/>
              </w:rPr>
              <w:t>_,_</w:t>
            </w:r>
            <w:proofErr w:type="gramEnd"/>
            <w:r w:rsidRPr="001345C5">
              <w:rPr>
                <w:color w:val="FF0000"/>
              </w:rPr>
              <w:t>__]</w:t>
            </w:r>
            <w:r w:rsidRPr="001345C5">
              <w:t xml:space="preserve"> per annum.</w:t>
            </w:r>
          </w:p>
          <w:p w14:paraId="308465B6" w14:textId="77777777" w:rsidR="00E24859" w:rsidRPr="005F763D" w:rsidRDefault="00E24859" w:rsidP="00E24859">
            <w:pPr>
              <w:jc w:val="left"/>
              <w:rPr>
                <w:b/>
                <w:i/>
              </w:rPr>
            </w:pPr>
            <w:r w:rsidRPr="005F763D">
              <w:rPr>
                <w:b/>
                <w:i/>
              </w:rPr>
              <w:t>Please refer to the appendix projection titled ‘Centrelink Entitlements’ for more information on Gifting and the Gifting rules.</w:t>
            </w:r>
          </w:p>
          <w:p w14:paraId="2A56E2B9" w14:textId="77777777" w:rsidR="000A3121" w:rsidRPr="00E87AAA" w:rsidRDefault="000A3121" w:rsidP="002819EF">
            <w:pPr>
              <w:spacing w:before="120"/>
              <w:jc w:val="left"/>
              <w:rPr>
                <w:sz w:val="18"/>
                <w:szCs w:val="18"/>
                <w:highlight w:val="yellow"/>
              </w:rPr>
            </w:pPr>
          </w:p>
        </w:tc>
      </w:tr>
    </w:tbl>
    <w:p w14:paraId="5C9017D4" w14:textId="77777777" w:rsidR="000A3121" w:rsidRPr="005F763D" w:rsidRDefault="000A3121" w:rsidP="008C7CE9">
      <w:pPr>
        <w:jc w:val="left"/>
      </w:pPr>
    </w:p>
    <w:p w14:paraId="2988AE8B" w14:textId="77777777" w:rsidR="007F19BE" w:rsidRPr="005F763D" w:rsidRDefault="007F19BE" w:rsidP="008C7CE9">
      <w:pPr>
        <w:jc w:val="left"/>
      </w:pPr>
    </w:p>
    <w:p w14:paraId="5C637F6F" w14:textId="77777777" w:rsidR="007F19BE" w:rsidRPr="005F763D" w:rsidRDefault="007F19BE" w:rsidP="008C7CE9">
      <w:pPr>
        <w:jc w:val="left"/>
      </w:pPr>
    </w:p>
    <w:p w14:paraId="701CB317" w14:textId="77777777" w:rsidR="007F19BE" w:rsidRPr="005F763D" w:rsidRDefault="007F19BE" w:rsidP="008C7CE9">
      <w:pPr>
        <w:jc w:val="left"/>
        <w:rPr>
          <w:color w:val="002060"/>
          <w:sz w:val="24"/>
        </w:rPr>
      </w:pPr>
      <w:r w:rsidRPr="005F763D">
        <w:rPr>
          <w:color w:val="002060"/>
          <w:sz w:val="24"/>
        </w:rPr>
        <w:t>Newstart Allowance</w:t>
      </w:r>
    </w:p>
    <w:p w14:paraId="180F7D88" w14:textId="2D6177D1"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52261230"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8E2CF26"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031D0DA" w14:textId="77777777" w:rsidR="000A3121" w:rsidRPr="00E51BEA" w:rsidRDefault="000A3121" w:rsidP="002819EF">
            <w:pPr>
              <w:pStyle w:val="TableHeader2"/>
              <w:rPr>
                <w:rFonts w:ascii="Calibri Light" w:hAnsi="Calibri Light"/>
              </w:rPr>
            </w:pPr>
          </w:p>
        </w:tc>
      </w:tr>
      <w:tr w:rsidR="000A3121" w:rsidRPr="0088114A" w14:paraId="7671C51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99490DC" w14:textId="77777777" w:rsidR="000A3121" w:rsidRPr="00E87AAA" w:rsidRDefault="000A3121" w:rsidP="00E164DA">
            <w:pPr>
              <w:pStyle w:val="Instructions"/>
            </w:pPr>
            <w:r w:rsidRPr="00E87AAA">
              <w:t>Title</w:t>
            </w:r>
          </w:p>
        </w:tc>
        <w:tc>
          <w:tcPr>
            <w:tcW w:w="6798" w:type="dxa"/>
            <w:shd w:val="clear" w:color="auto" w:fill="auto"/>
          </w:tcPr>
          <w:p w14:paraId="7385FE18" w14:textId="4981C5EA" w:rsidR="000A3121" w:rsidRPr="0088114A" w:rsidRDefault="00E24859" w:rsidP="002819EF">
            <w:pPr>
              <w:spacing w:before="120"/>
            </w:pPr>
            <w:r>
              <w:t>Newstart Allowance</w:t>
            </w:r>
          </w:p>
        </w:tc>
      </w:tr>
      <w:tr w:rsidR="000A3121" w:rsidRPr="0088114A" w14:paraId="53CA93E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5A2222D" w14:textId="77777777" w:rsidR="000A3121" w:rsidRPr="00E87AAA" w:rsidRDefault="000A3121" w:rsidP="00E164DA">
            <w:pPr>
              <w:pStyle w:val="Instructions"/>
            </w:pPr>
            <w:r w:rsidRPr="00E87AAA">
              <w:t>Explanation</w:t>
            </w:r>
          </w:p>
        </w:tc>
        <w:tc>
          <w:tcPr>
            <w:tcW w:w="6798" w:type="dxa"/>
            <w:shd w:val="clear" w:color="auto" w:fill="auto"/>
          </w:tcPr>
          <w:p w14:paraId="3805DBB6" w14:textId="77777777" w:rsidR="000A3121" w:rsidRPr="0088114A" w:rsidRDefault="000A3121" w:rsidP="002819EF">
            <w:pPr>
              <w:spacing w:before="120"/>
              <w:rPr>
                <w:sz w:val="18"/>
                <w:szCs w:val="18"/>
                <w:highlight w:val="yellow"/>
              </w:rPr>
            </w:pPr>
          </w:p>
        </w:tc>
      </w:tr>
      <w:tr w:rsidR="000A3121" w:rsidRPr="00E87AAA" w14:paraId="5B23F52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D990D5D" w14:textId="77777777" w:rsidR="000A3121" w:rsidRPr="00E87AAA" w:rsidRDefault="000A3121" w:rsidP="00E164DA">
            <w:pPr>
              <w:pStyle w:val="Instructions"/>
            </w:pPr>
            <w:r w:rsidRPr="00E87AAA">
              <w:t>In your Best Interest</w:t>
            </w:r>
          </w:p>
        </w:tc>
        <w:tc>
          <w:tcPr>
            <w:tcW w:w="6798" w:type="dxa"/>
            <w:shd w:val="clear" w:color="auto" w:fill="auto"/>
          </w:tcPr>
          <w:p w14:paraId="13A279B6" w14:textId="77777777" w:rsidR="000A3121" w:rsidRPr="00E87AAA" w:rsidRDefault="000A3121" w:rsidP="002819EF">
            <w:pPr>
              <w:spacing w:before="120"/>
              <w:jc w:val="left"/>
              <w:rPr>
                <w:sz w:val="18"/>
                <w:szCs w:val="18"/>
                <w:highlight w:val="yellow"/>
              </w:rPr>
            </w:pPr>
          </w:p>
        </w:tc>
      </w:tr>
      <w:tr w:rsidR="000A3121" w:rsidRPr="00E87AAA" w14:paraId="19CB366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820383" w14:textId="77777777" w:rsidR="000A3121" w:rsidRPr="00E87AAA" w:rsidRDefault="000A3121" w:rsidP="00E164DA">
            <w:pPr>
              <w:pStyle w:val="Instructions"/>
            </w:pPr>
            <w:r>
              <w:t>Further Detail</w:t>
            </w:r>
          </w:p>
        </w:tc>
        <w:tc>
          <w:tcPr>
            <w:tcW w:w="6798" w:type="dxa"/>
            <w:shd w:val="clear" w:color="auto" w:fill="auto"/>
          </w:tcPr>
          <w:p w14:paraId="62122D8E" w14:textId="77777777" w:rsidR="00E24859" w:rsidRPr="005F763D" w:rsidRDefault="00E24859" w:rsidP="00E24859">
            <w:pPr>
              <w:jc w:val="left"/>
            </w:pPr>
            <w:r w:rsidRPr="005F763D">
              <w:t>Based on the information we have been provided, we estimate you will be entitled to a Newstart Allowance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6E6A9852" w14:textId="77777777" w:rsidR="00E24859" w:rsidRPr="005F763D" w:rsidRDefault="00E24859" w:rsidP="00E24859">
            <w:pPr>
              <w:jc w:val="left"/>
            </w:pPr>
          </w:p>
          <w:p w14:paraId="0A6265AC" w14:textId="77777777" w:rsidR="00E24859" w:rsidRPr="005F763D" w:rsidRDefault="00E24859" w:rsidP="00E24859">
            <w:pPr>
              <w:jc w:val="left"/>
              <w:rPr>
                <w:b/>
                <w:i/>
              </w:rPr>
            </w:pPr>
            <w:r w:rsidRPr="005F763D">
              <w:rPr>
                <w:b/>
                <w:i/>
              </w:rPr>
              <w:t>Please refer to the appendix projection titled ‘Centrelink Entitlements’ for a detailed calculation.</w:t>
            </w:r>
          </w:p>
          <w:p w14:paraId="4FCD8098" w14:textId="77777777" w:rsidR="000A3121" w:rsidRPr="00E87AAA" w:rsidRDefault="000A3121" w:rsidP="002819EF">
            <w:pPr>
              <w:spacing w:before="120"/>
              <w:jc w:val="left"/>
              <w:rPr>
                <w:sz w:val="18"/>
                <w:szCs w:val="18"/>
                <w:highlight w:val="yellow"/>
              </w:rPr>
            </w:pPr>
          </w:p>
        </w:tc>
      </w:tr>
    </w:tbl>
    <w:p w14:paraId="0F3E5503" w14:textId="77777777" w:rsidR="000A3121" w:rsidRPr="005F763D" w:rsidRDefault="000A3121" w:rsidP="008C7CE9">
      <w:pPr>
        <w:jc w:val="left"/>
      </w:pPr>
    </w:p>
    <w:p w14:paraId="3F8BAC13" w14:textId="77777777" w:rsidR="007F19BE" w:rsidRPr="005F763D" w:rsidRDefault="007F19BE" w:rsidP="008C7CE9">
      <w:pPr>
        <w:jc w:val="left"/>
      </w:pPr>
    </w:p>
    <w:p w14:paraId="6C553C60" w14:textId="77777777" w:rsidR="007F19BE" w:rsidRPr="005F763D" w:rsidRDefault="007F19BE" w:rsidP="008C7CE9">
      <w:pPr>
        <w:jc w:val="left"/>
        <w:rPr>
          <w:color w:val="002060"/>
          <w:sz w:val="24"/>
        </w:rPr>
      </w:pPr>
      <w:r w:rsidRPr="005F763D">
        <w:rPr>
          <w:color w:val="002060"/>
          <w:sz w:val="24"/>
        </w:rPr>
        <w:t>Parenting Payment</w:t>
      </w:r>
    </w:p>
    <w:p w14:paraId="1CFA2929" w14:textId="1B68A536"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77C9C6C8"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EBCA5DB"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633AEE8" w14:textId="77777777" w:rsidR="000A3121" w:rsidRPr="00E51BEA" w:rsidRDefault="000A3121" w:rsidP="002819EF">
            <w:pPr>
              <w:pStyle w:val="TableHeader2"/>
              <w:rPr>
                <w:rFonts w:ascii="Calibri Light" w:hAnsi="Calibri Light"/>
              </w:rPr>
            </w:pPr>
          </w:p>
        </w:tc>
      </w:tr>
      <w:tr w:rsidR="000A3121" w:rsidRPr="0088114A" w14:paraId="5953D41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2DBD1F5" w14:textId="77777777" w:rsidR="000A3121" w:rsidRPr="00E87AAA" w:rsidRDefault="000A3121" w:rsidP="00E164DA">
            <w:pPr>
              <w:pStyle w:val="Instructions"/>
            </w:pPr>
            <w:r w:rsidRPr="00E87AAA">
              <w:t>Title</w:t>
            </w:r>
          </w:p>
        </w:tc>
        <w:tc>
          <w:tcPr>
            <w:tcW w:w="6798" w:type="dxa"/>
            <w:shd w:val="clear" w:color="auto" w:fill="auto"/>
          </w:tcPr>
          <w:p w14:paraId="16125BAE" w14:textId="10BBF05D" w:rsidR="000A3121" w:rsidRPr="0088114A" w:rsidRDefault="00E24859" w:rsidP="002819EF">
            <w:pPr>
              <w:spacing w:before="120"/>
            </w:pPr>
            <w:r>
              <w:t>Parenting Payment</w:t>
            </w:r>
          </w:p>
        </w:tc>
      </w:tr>
      <w:tr w:rsidR="000A3121" w:rsidRPr="0088114A" w14:paraId="2E8F53C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FFD3552" w14:textId="77777777" w:rsidR="000A3121" w:rsidRPr="00E87AAA" w:rsidRDefault="000A3121" w:rsidP="00E164DA">
            <w:pPr>
              <w:pStyle w:val="Instructions"/>
            </w:pPr>
            <w:r w:rsidRPr="00E87AAA">
              <w:t>Explanation</w:t>
            </w:r>
          </w:p>
        </w:tc>
        <w:tc>
          <w:tcPr>
            <w:tcW w:w="6798" w:type="dxa"/>
            <w:shd w:val="clear" w:color="auto" w:fill="auto"/>
          </w:tcPr>
          <w:p w14:paraId="2FF3945C" w14:textId="77777777" w:rsidR="000A3121" w:rsidRPr="0088114A" w:rsidRDefault="000A3121" w:rsidP="002819EF">
            <w:pPr>
              <w:spacing w:before="120"/>
              <w:rPr>
                <w:sz w:val="18"/>
                <w:szCs w:val="18"/>
                <w:highlight w:val="yellow"/>
              </w:rPr>
            </w:pPr>
          </w:p>
        </w:tc>
      </w:tr>
      <w:tr w:rsidR="000A3121" w:rsidRPr="00E87AAA" w14:paraId="2E5E233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8DE8A3" w14:textId="77777777" w:rsidR="000A3121" w:rsidRPr="00E87AAA" w:rsidRDefault="000A3121" w:rsidP="00E164DA">
            <w:pPr>
              <w:pStyle w:val="Instructions"/>
            </w:pPr>
            <w:r w:rsidRPr="00E87AAA">
              <w:t>In your Best Interest</w:t>
            </w:r>
          </w:p>
        </w:tc>
        <w:tc>
          <w:tcPr>
            <w:tcW w:w="6798" w:type="dxa"/>
            <w:shd w:val="clear" w:color="auto" w:fill="auto"/>
          </w:tcPr>
          <w:p w14:paraId="1E228BE9" w14:textId="77777777" w:rsidR="000A3121" w:rsidRPr="00E87AAA" w:rsidRDefault="000A3121" w:rsidP="002819EF">
            <w:pPr>
              <w:spacing w:before="120"/>
              <w:jc w:val="left"/>
              <w:rPr>
                <w:sz w:val="18"/>
                <w:szCs w:val="18"/>
                <w:highlight w:val="yellow"/>
              </w:rPr>
            </w:pPr>
          </w:p>
        </w:tc>
      </w:tr>
      <w:tr w:rsidR="000A3121" w:rsidRPr="00E87AAA" w14:paraId="447665C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78D575" w14:textId="77777777" w:rsidR="000A3121" w:rsidRPr="00E87AAA" w:rsidRDefault="000A3121" w:rsidP="00E164DA">
            <w:pPr>
              <w:pStyle w:val="Instructions"/>
            </w:pPr>
            <w:r>
              <w:t>Further Detail</w:t>
            </w:r>
          </w:p>
        </w:tc>
        <w:tc>
          <w:tcPr>
            <w:tcW w:w="6798" w:type="dxa"/>
            <w:shd w:val="clear" w:color="auto" w:fill="auto"/>
          </w:tcPr>
          <w:p w14:paraId="6F5F3E2E" w14:textId="77777777" w:rsidR="00756B9F" w:rsidRPr="005F763D" w:rsidRDefault="00756B9F" w:rsidP="00756B9F">
            <w:pPr>
              <w:jc w:val="left"/>
            </w:pPr>
            <w:r w:rsidRPr="005F763D">
              <w:t>Based on the information we have been provided, we estimate you will be entitled to a Parenting Payment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33E14E37" w14:textId="77777777" w:rsidR="00756B9F" w:rsidRPr="005F763D" w:rsidRDefault="00756B9F" w:rsidP="00756B9F">
            <w:pPr>
              <w:jc w:val="left"/>
            </w:pPr>
          </w:p>
          <w:p w14:paraId="65827636" w14:textId="77777777" w:rsidR="00756B9F" w:rsidRPr="005F763D" w:rsidRDefault="00756B9F" w:rsidP="00756B9F">
            <w:pPr>
              <w:jc w:val="left"/>
              <w:rPr>
                <w:b/>
                <w:i/>
              </w:rPr>
            </w:pPr>
            <w:r w:rsidRPr="005F763D">
              <w:rPr>
                <w:b/>
                <w:i/>
              </w:rPr>
              <w:t>Please refer to the appendix projection titled ‘Centrelink Entitlements’ for more information relating to Parenting Payments.</w:t>
            </w:r>
          </w:p>
          <w:p w14:paraId="72A1CE5B" w14:textId="77777777" w:rsidR="000A3121" w:rsidRPr="00E87AAA" w:rsidRDefault="000A3121" w:rsidP="002819EF">
            <w:pPr>
              <w:spacing w:before="120"/>
              <w:jc w:val="left"/>
              <w:rPr>
                <w:sz w:val="18"/>
                <w:szCs w:val="18"/>
                <w:highlight w:val="yellow"/>
              </w:rPr>
            </w:pPr>
          </w:p>
        </w:tc>
      </w:tr>
    </w:tbl>
    <w:p w14:paraId="1896BCEB" w14:textId="77777777" w:rsidR="000A3121" w:rsidRPr="005F763D" w:rsidRDefault="000A3121" w:rsidP="008C7CE9">
      <w:pPr>
        <w:jc w:val="left"/>
      </w:pPr>
    </w:p>
    <w:p w14:paraId="326353E0" w14:textId="77777777" w:rsidR="007F19BE" w:rsidRPr="005F763D" w:rsidRDefault="007F19BE" w:rsidP="008C7CE9">
      <w:pPr>
        <w:jc w:val="left"/>
      </w:pPr>
    </w:p>
    <w:p w14:paraId="279594EA" w14:textId="064597FF" w:rsidR="007F19BE" w:rsidRPr="005F763D" w:rsidRDefault="007F19BE" w:rsidP="008C7CE9">
      <w:pPr>
        <w:jc w:val="left"/>
        <w:rPr>
          <w:color w:val="002060"/>
          <w:sz w:val="24"/>
        </w:rPr>
      </w:pPr>
      <w:r w:rsidRPr="005F763D">
        <w:rPr>
          <w:color w:val="002060"/>
          <w:sz w:val="24"/>
        </w:rPr>
        <w:t>Pension Bonus Scheme</w:t>
      </w:r>
      <w:r w:rsidR="0083078F">
        <w:rPr>
          <w:color w:val="002060"/>
          <w:sz w:val="24"/>
        </w:rPr>
        <w:t xml:space="preserve"> </w:t>
      </w:r>
    </w:p>
    <w:p w14:paraId="307E94FF" w14:textId="56C5E6EE" w:rsidR="007F19BE" w:rsidRDefault="007F19BE"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0A3121" w:rsidRPr="00E87AAA" w14:paraId="46794707" w14:textId="77777777" w:rsidTr="002819EF">
        <w:tc>
          <w:tcPr>
            <w:tcW w:w="2754" w:type="dxa"/>
            <w:shd w:val="clear" w:color="auto" w:fill="auto"/>
          </w:tcPr>
          <w:p w14:paraId="2989B7E4" w14:textId="51CE2490" w:rsidR="000A3121" w:rsidRPr="00E87AAA" w:rsidRDefault="000A3121" w:rsidP="00E164DA">
            <w:pPr>
              <w:pStyle w:val="Instructions"/>
            </w:pPr>
          </w:p>
        </w:tc>
        <w:tc>
          <w:tcPr>
            <w:tcW w:w="6798" w:type="dxa"/>
            <w:shd w:val="clear" w:color="auto" w:fill="auto"/>
          </w:tcPr>
          <w:p w14:paraId="2229AE69" w14:textId="77777777" w:rsidR="00756B9F" w:rsidRPr="005F763D" w:rsidRDefault="00756B9F" w:rsidP="00756B9F">
            <w:pPr>
              <w:jc w:val="left"/>
            </w:pPr>
            <w:r w:rsidRPr="005F763D">
              <w:t>Based on the information we have been provided, we estimate you will be entitled to a Pension Bonus Scheme payment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3414C2D8" w14:textId="77777777" w:rsidR="00756B9F" w:rsidRPr="005F763D" w:rsidRDefault="00756B9F" w:rsidP="00756B9F">
            <w:pPr>
              <w:jc w:val="left"/>
            </w:pPr>
          </w:p>
          <w:p w14:paraId="1B83A400" w14:textId="77777777" w:rsidR="00756B9F" w:rsidRPr="005F763D" w:rsidRDefault="00756B9F" w:rsidP="00756B9F">
            <w:pPr>
              <w:jc w:val="left"/>
              <w:rPr>
                <w:b/>
                <w:i/>
              </w:rPr>
            </w:pPr>
            <w:r w:rsidRPr="005F763D">
              <w:rPr>
                <w:b/>
                <w:i/>
              </w:rPr>
              <w:t>Please refer to the appendix projection titled ‘Centrelink Entitlements’ for more information relating to the Pension Bonus Scheme.</w:t>
            </w:r>
          </w:p>
          <w:p w14:paraId="2360751B" w14:textId="77777777" w:rsidR="000A3121" w:rsidRPr="00E87AAA" w:rsidRDefault="000A3121" w:rsidP="002819EF">
            <w:pPr>
              <w:spacing w:before="120"/>
              <w:jc w:val="left"/>
              <w:rPr>
                <w:sz w:val="18"/>
                <w:szCs w:val="18"/>
                <w:highlight w:val="yellow"/>
              </w:rPr>
            </w:pPr>
          </w:p>
        </w:tc>
      </w:tr>
    </w:tbl>
    <w:p w14:paraId="013922DD" w14:textId="77777777" w:rsidR="000A3121" w:rsidRPr="005F763D" w:rsidRDefault="000A3121" w:rsidP="008C7CE9">
      <w:pPr>
        <w:jc w:val="left"/>
      </w:pPr>
    </w:p>
    <w:p w14:paraId="60F8358C" w14:textId="77777777" w:rsidR="007F19BE" w:rsidRPr="005F763D" w:rsidRDefault="007F19BE" w:rsidP="008C7CE9">
      <w:pPr>
        <w:jc w:val="left"/>
      </w:pPr>
    </w:p>
    <w:p w14:paraId="2D2B2180" w14:textId="77777777" w:rsidR="007F19BE" w:rsidRPr="005F763D" w:rsidRDefault="007F19BE" w:rsidP="008C7CE9">
      <w:pPr>
        <w:jc w:val="left"/>
        <w:rPr>
          <w:color w:val="002060"/>
          <w:sz w:val="24"/>
        </w:rPr>
      </w:pPr>
      <w:r w:rsidRPr="005F763D">
        <w:rPr>
          <w:color w:val="002060"/>
          <w:sz w:val="24"/>
        </w:rPr>
        <w:t>Sickness Allowance</w:t>
      </w:r>
    </w:p>
    <w:p w14:paraId="6AB1015E" w14:textId="20F32672"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23F0B835"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0ABADAB"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53240E6" w14:textId="77777777" w:rsidR="000A3121" w:rsidRPr="00E51BEA" w:rsidRDefault="000A3121" w:rsidP="002819EF">
            <w:pPr>
              <w:pStyle w:val="TableHeader2"/>
              <w:rPr>
                <w:rFonts w:ascii="Calibri Light" w:hAnsi="Calibri Light"/>
              </w:rPr>
            </w:pPr>
          </w:p>
        </w:tc>
      </w:tr>
      <w:tr w:rsidR="000A3121" w:rsidRPr="0088114A" w14:paraId="2866AD8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4D79E72" w14:textId="77777777" w:rsidR="000A3121" w:rsidRPr="00E87AAA" w:rsidRDefault="000A3121" w:rsidP="00E164DA">
            <w:pPr>
              <w:pStyle w:val="Instructions"/>
            </w:pPr>
            <w:r w:rsidRPr="00E87AAA">
              <w:t>Title</w:t>
            </w:r>
          </w:p>
        </w:tc>
        <w:tc>
          <w:tcPr>
            <w:tcW w:w="6798" w:type="dxa"/>
            <w:shd w:val="clear" w:color="auto" w:fill="auto"/>
          </w:tcPr>
          <w:p w14:paraId="3EE66969" w14:textId="4ED4D47E" w:rsidR="000A3121" w:rsidRPr="0088114A" w:rsidRDefault="008F0CED" w:rsidP="002819EF">
            <w:pPr>
              <w:spacing w:before="120"/>
            </w:pPr>
            <w:r>
              <w:t>Sickness Allowance</w:t>
            </w:r>
          </w:p>
        </w:tc>
      </w:tr>
      <w:tr w:rsidR="000A3121" w:rsidRPr="0088114A" w14:paraId="7E4F5E0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61ABE80" w14:textId="77777777" w:rsidR="000A3121" w:rsidRPr="00E87AAA" w:rsidRDefault="000A3121" w:rsidP="00E164DA">
            <w:pPr>
              <w:pStyle w:val="Instructions"/>
            </w:pPr>
            <w:r w:rsidRPr="00E87AAA">
              <w:t>Explanation</w:t>
            </w:r>
          </w:p>
        </w:tc>
        <w:tc>
          <w:tcPr>
            <w:tcW w:w="6798" w:type="dxa"/>
            <w:shd w:val="clear" w:color="auto" w:fill="auto"/>
          </w:tcPr>
          <w:p w14:paraId="4B0AF46A" w14:textId="77777777" w:rsidR="000A3121" w:rsidRPr="0088114A" w:rsidRDefault="000A3121" w:rsidP="002819EF">
            <w:pPr>
              <w:spacing w:before="120"/>
              <w:rPr>
                <w:sz w:val="18"/>
                <w:szCs w:val="18"/>
                <w:highlight w:val="yellow"/>
              </w:rPr>
            </w:pPr>
          </w:p>
        </w:tc>
      </w:tr>
      <w:tr w:rsidR="000A3121" w:rsidRPr="00E87AAA" w14:paraId="001FCEE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5D6EC03" w14:textId="77777777" w:rsidR="000A3121" w:rsidRPr="00E87AAA" w:rsidRDefault="000A3121" w:rsidP="00E164DA">
            <w:pPr>
              <w:pStyle w:val="Instructions"/>
            </w:pPr>
            <w:r w:rsidRPr="00E87AAA">
              <w:t>In your Best Interest</w:t>
            </w:r>
          </w:p>
        </w:tc>
        <w:tc>
          <w:tcPr>
            <w:tcW w:w="6798" w:type="dxa"/>
            <w:shd w:val="clear" w:color="auto" w:fill="auto"/>
          </w:tcPr>
          <w:p w14:paraId="61291537" w14:textId="77777777" w:rsidR="000A3121" w:rsidRPr="00E87AAA" w:rsidRDefault="000A3121" w:rsidP="002819EF">
            <w:pPr>
              <w:spacing w:before="120"/>
              <w:jc w:val="left"/>
              <w:rPr>
                <w:sz w:val="18"/>
                <w:szCs w:val="18"/>
                <w:highlight w:val="yellow"/>
              </w:rPr>
            </w:pPr>
          </w:p>
        </w:tc>
      </w:tr>
      <w:tr w:rsidR="000A3121" w:rsidRPr="00E87AAA" w14:paraId="193661E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521BCF" w14:textId="77777777" w:rsidR="000A3121" w:rsidRPr="00E87AAA" w:rsidRDefault="000A3121" w:rsidP="00E164DA">
            <w:pPr>
              <w:pStyle w:val="Instructions"/>
            </w:pPr>
            <w:r>
              <w:t>Further Detail</w:t>
            </w:r>
          </w:p>
        </w:tc>
        <w:tc>
          <w:tcPr>
            <w:tcW w:w="6798" w:type="dxa"/>
            <w:shd w:val="clear" w:color="auto" w:fill="auto"/>
          </w:tcPr>
          <w:p w14:paraId="270BB38D" w14:textId="77777777" w:rsidR="008F0CED" w:rsidRPr="005F763D" w:rsidRDefault="008F0CED" w:rsidP="008F0CED">
            <w:pPr>
              <w:jc w:val="left"/>
            </w:pPr>
            <w:r w:rsidRPr="005F763D">
              <w:t>Based on the information we have been provided, we estimate you will be entitled to a Sickness Allowance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06F3F733" w14:textId="77777777" w:rsidR="008F0CED" w:rsidRPr="005F763D" w:rsidRDefault="008F0CED" w:rsidP="008F0CED">
            <w:pPr>
              <w:jc w:val="left"/>
            </w:pPr>
          </w:p>
          <w:p w14:paraId="585F243C" w14:textId="77777777" w:rsidR="008F0CED" w:rsidRPr="005F763D" w:rsidRDefault="008F0CED" w:rsidP="008F0CED">
            <w:pPr>
              <w:jc w:val="left"/>
              <w:rPr>
                <w:b/>
                <w:i/>
              </w:rPr>
            </w:pPr>
            <w:r w:rsidRPr="005F763D">
              <w:rPr>
                <w:b/>
                <w:i/>
              </w:rPr>
              <w:t>Please refer to the appendix projection titled ‘Centrelink Entitlements’ for more information relating to Sickness Allowance.</w:t>
            </w:r>
          </w:p>
          <w:p w14:paraId="6C01B980" w14:textId="77777777" w:rsidR="000A3121" w:rsidRPr="00E87AAA" w:rsidRDefault="000A3121" w:rsidP="002819EF">
            <w:pPr>
              <w:spacing w:before="120"/>
              <w:jc w:val="left"/>
              <w:rPr>
                <w:sz w:val="18"/>
                <w:szCs w:val="18"/>
                <w:highlight w:val="yellow"/>
              </w:rPr>
            </w:pPr>
          </w:p>
        </w:tc>
      </w:tr>
    </w:tbl>
    <w:p w14:paraId="2B16A893" w14:textId="77777777" w:rsidR="000A3121" w:rsidRPr="005F763D" w:rsidRDefault="000A3121" w:rsidP="008C7CE9">
      <w:pPr>
        <w:jc w:val="left"/>
      </w:pPr>
    </w:p>
    <w:p w14:paraId="1313152C" w14:textId="77777777" w:rsidR="007F19BE" w:rsidRPr="005F763D" w:rsidRDefault="007F19BE" w:rsidP="008C7CE9">
      <w:pPr>
        <w:jc w:val="left"/>
      </w:pPr>
    </w:p>
    <w:p w14:paraId="5E1FF081" w14:textId="77777777" w:rsidR="007F19BE" w:rsidRPr="005F763D" w:rsidRDefault="007F19BE" w:rsidP="008C7CE9">
      <w:pPr>
        <w:jc w:val="left"/>
        <w:rPr>
          <w:color w:val="002060"/>
          <w:sz w:val="24"/>
        </w:rPr>
      </w:pPr>
      <w:r w:rsidRPr="005F763D">
        <w:rPr>
          <w:color w:val="002060"/>
          <w:sz w:val="24"/>
        </w:rPr>
        <w:t>Widow Allowance</w:t>
      </w:r>
    </w:p>
    <w:p w14:paraId="0A5A758F" w14:textId="09DC9F3D"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157060BE"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23D92D5"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F36D404" w14:textId="77777777" w:rsidR="000A3121" w:rsidRPr="00E51BEA" w:rsidRDefault="000A3121" w:rsidP="002819EF">
            <w:pPr>
              <w:pStyle w:val="TableHeader2"/>
              <w:rPr>
                <w:rFonts w:ascii="Calibri Light" w:hAnsi="Calibri Light"/>
              </w:rPr>
            </w:pPr>
          </w:p>
        </w:tc>
      </w:tr>
      <w:tr w:rsidR="000A3121" w:rsidRPr="0088114A" w14:paraId="14A8DB0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33C10D9" w14:textId="77777777" w:rsidR="000A3121" w:rsidRPr="00E87AAA" w:rsidRDefault="000A3121" w:rsidP="00E164DA">
            <w:pPr>
              <w:pStyle w:val="Instructions"/>
            </w:pPr>
            <w:r w:rsidRPr="00E87AAA">
              <w:t>Title</w:t>
            </w:r>
          </w:p>
        </w:tc>
        <w:tc>
          <w:tcPr>
            <w:tcW w:w="6798" w:type="dxa"/>
            <w:shd w:val="clear" w:color="auto" w:fill="auto"/>
          </w:tcPr>
          <w:p w14:paraId="025F14AD" w14:textId="1F69C488" w:rsidR="000A3121" w:rsidRPr="0088114A" w:rsidRDefault="008F0CED" w:rsidP="002819EF">
            <w:pPr>
              <w:spacing w:before="120"/>
            </w:pPr>
            <w:r>
              <w:t>Widow Allowance</w:t>
            </w:r>
          </w:p>
        </w:tc>
      </w:tr>
      <w:tr w:rsidR="000A3121" w:rsidRPr="0088114A" w14:paraId="2EBF286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CE7A5DD" w14:textId="77777777" w:rsidR="000A3121" w:rsidRPr="00E87AAA" w:rsidRDefault="000A3121" w:rsidP="00E164DA">
            <w:pPr>
              <w:pStyle w:val="Instructions"/>
            </w:pPr>
            <w:r w:rsidRPr="00E87AAA">
              <w:t>Explanation</w:t>
            </w:r>
          </w:p>
        </w:tc>
        <w:tc>
          <w:tcPr>
            <w:tcW w:w="6798" w:type="dxa"/>
            <w:shd w:val="clear" w:color="auto" w:fill="auto"/>
          </w:tcPr>
          <w:p w14:paraId="4DD2E59A" w14:textId="77777777" w:rsidR="000A3121" w:rsidRPr="0088114A" w:rsidRDefault="000A3121" w:rsidP="002819EF">
            <w:pPr>
              <w:spacing w:before="120"/>
              <w:rPr>
                <w:sz w:val="18"/>
                <w:szCs w:val="18"/>
                <w:highlight w:val="yellow"/>
              </w:rPr>
            </w:pPr>
          </w:p>
        </w:tc>
      </w:tr>
      <w:tr w:rsidR="000A3121" w:rsidRPr="00E87AAA" w14:paraId="01C8F78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7CC622" w14:textId="77777777" w:rsidR="000A3121" w:rsidRPr="00E87AAA" w:rsidRDefault="000A3121" w:rsidP="00E164DA">
            <w:pPr>
              <w:pStyle w:val="Instructions"/>
            </w:pPr>
            <w:r w:rsidRPr="00E87AAA">
              <w:t>In your Best Interest</w:t>
            </w:r>
          </w:p>
        </w:tc>
        <w:tc>
          <w:tcPr>
            <w:tcW w:w="6798" w:type="dxa"/>
            <w:shd w:val="clear" w:color="auto" w:fill="auto"/>
          </w:tcPr>
          <w:p w14:paraId="2BCA0FB2" w14:textId="77777777" w:rsidR="000A3121" w:rsidRPr="00E87AAA" w:rsidRDefault="000A3121" w:rsidP="002819EF">
            <w:pPr>
              <w:spacing w:before="120"/>
              <w:jc w:val="left"/>
              <w:rPr>
                <w:sz w:val="18"/>
                <w:szCs w:val="18"/>
                <w:highlight w:val="yellow"/>
              </w:rPr>
            </w:pPr>
          </w:p>
        </w:tc>
      </w:tr>
      <w:tr w:rsidR="000A3121" w:rsidRPr="00E87AAA" w14:paraId="3D99D4D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5CDDEE7" w14:textId="77777777" w:rsidR="000A3121" w:rsidRPr="00E87AAA" w:rsidRDefault="000A3121" w:rsidP="00E164DA">
            <w:pPr>
              <w:pStyle w:val="Instructions"/>
            </w:pPr>
            <w:r>
              <w:t>Further Detail</w:t>
            </w:r>
          </w:p>
        </w:tc>
        <w:tc>
          <w:tcPr>
            <w:tcW w:w="6798" w:type="dxa"/>
            <w:shd w:val="clear" w:color="auto" w:fill="auto"/>
          </w:tcPr>
          <w:p w14:paraId="3FEB8F88" w14:textId="77777777" w:rsidR="008F0CED" w:rsidRPr="005F763D" w:rsidRDefault="008F0CED" w:rsidP="008F0CED">
            <w:pPr>
              <w:jc w:val="left"/>
            </w:pPr>
            <w:r w:rsidRPr="005F763D">
              <w:t>Based on the information we have been provided, we estimate you will be entitled to a Widow Allowance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4AEE2EC5" w14:textId="77777777" w:rsidR="008F0CED" w:rsidRPr="005F763D" w:rsidRDefault="008F0CED" w:rsidP="008F0CED">
            <w:pPr>
              <w:jc w:val="left"/>
            </w:pPr>
          </w:p>
          <w:p w14:paraId="2E8517A8" w14:textId="77777777" w:rsidR="008F0CED" w:rsidRPr="005F763D" w:rsidRDefault="008F0CED" w:rsidP="008F0CED">
            <w:pPr>
              <w:jc w:val="left"/>
              <w:rPr>
                <w:b/>
                <w:i/>
              </w:rPr>
            </w:pPr>
            <w:r w:rsidRPr="005F763D">
              <w:rPr>
                <w:b/>
                <w:i/>
              </w:rPr>
              <w:t>Please refer to the appendix projection titled ‘Centrelink Entitlements’ for more information relating to Widow Allowance.</w:t>
            </w:r>
          </w:p>
          <w:p w14:paraId="15ECEF02" w14:textId="77777777" w:rsidR="000A3121" w:rsidRPr="00E87AAA" w:rsidRDefault="000A3121" w:rsidP="002819EF">
            <w:pPr>
              <w:spacing w:before="120"/>
              <w:jc w:val="left"/>
              <w:rPr>
                <w:sz w:val="18"/>
                <w:szCs w:val="18"/>
                <w:highlight w:val="yellow"/>
              </w:rPr>
            </w:pPr>
          </w:p>
        </w:tc>
      </w:tr>
    </w:tbl>
    <w:p w14:paraId="6FD5A1C0" w14:textId="77777777" w:rsidR="000A3121" w:rsidRPr="005F763D" w:rsidRDefault="000A3121" w:rsidP="008C7CE9">
      <w:pPr>
        <w:jc w:val="left"/>
      </w:pPr>
    </w:p>
    <w:p w14:paraId="6656A331" w14:textId="77777777" w:rsidR="007F19BE" w:rsidRPr="005F763D" w:rsidRDefault="007F19BE" w:rsidP="008C7CE9">
      <w:pPr>
        <w:jc w:val="left"/>
      </w:pPr>
    </w:p>
    <w:p w14:paraId="24BF881D" w14:textId="77777777" w:rsidR="007F19BE" w:rsidRPr="005F763D" w:rsidRDefault="007F19BE" w:rsidP="008C7CE9">
      <w:pPr>
        <w:jc w:val="left"/>
        <w:rPr>
          <w:color w:val="002060"/>
          <w:sz w:val="24"/>
        </w:rPr>
      </w:pPr>
      <w:r w:rsidRPr="005F763D">
        <w:rPr>
          <w:color w:val="002060"/>
          <w:sz w:val="24"/>
        </w:rPr>
        <w:t>Youth Allowance</w:t>
      </w:r>
    </w:p>
    <w:p w14:paraId="62D576EE" w14:textId="77ECC26F"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57E797E1"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DF7D4A5"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7A59F92" w14:textId="77777777" w:rsidR="000A3121" w:rsidRPr="00E51BEA" w:rsidRDefault="000A3121" w:rsidP="002819EF">
            <w:pPr>
              <w:pStyle w:val="TableHeader2"/>
              <w:rPr>
                <w:rFonts w:ascii="Calibri Light" w:hAnsi="Calibri Light"/>
              </w:rPr>
            </w:pPr>
          </w:p>
        </w:tc>
      </w:tr>
      <w:tr w:rsidR="000A3121" w:rsidRPr="0088114A" w14:paraId="2CEE2F5B"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ABA6588" w14:textId="77777777" w:rsidR="000A3121" w:rsidRPr="00E87AAA" w:rsidRDefault="000A3121" w:rsidP="00E164DA">
            <w:pPr>
              <w:pStyle w:val="Instructions"/>
            </w:pPr>
            <w:r w:rsidRPr="00E87AAA">
              <w:t>Title</w:t>
            </w:r>
          </w:p>
        </w:tc>
        <w:tc>
          <w:tcPr>
            <w:tcW w:w="6798" w:type="dxa"/>
            <w:shd w:val="clear" w:color="auto" w:fill="auto"/>
          </w:tcPr>
          <w:p w14:paraId="0BD60799" w14:textId="242233C4" w:rsidR="000A3121" w:rsidRPr="0088114A" w:rsidRDefault="008F0CED" w:rsidP="002819EF">
            <w:pPr>
              <w:spacing w:before="120"/>
            </w:pPr>
            <w:r>
              <w:t>Youth Allowance</w:t>
            </w:r>
          </w:p>
        </w:tc>
      </w:tr>
      <w:tr w:rsidR="000A3121" w:rsidRPr="0088114A" w14:paraId="5EBA98D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89B876E" w14:textId="77777777" w:rsidR="000A3121" w:rsidRPr="00E87AAA" w:rsidRDefault="000A3121" w:rsidP="00E164DA">
            <w:pPr>
              <w:pStyle w:val="Instructions"/>
            </w:pPr>
            <w:r w:rsidRPr="00E87AAA">
              <w:t>Explanation</w:t>
            </w:r>
          </w:p>
        </w:tc>
        <w:tc>
          <w:tcPr>
            <w:tcW w:w="6798" w:type="dxa"/>
            <w:shd w:val="clear" w:color="auto" w:fill="auto"/>
          </w:tcPr>
          <w:p w14:paraId="11A76AD8" w14:textId="77777777" w:rsidR="000A3121" w:rsidRPr="0088114A" w:rsidRDefault="000A3121" w:rsidP="002819EF">
            <w:pPr>
              <w:spacing w:before="120"/>
              <w:rPr>
                <w:sz w:val="18"/>
                <w:szCs w:val="18"/>
                <w:highlight w:val="yellow"/>
              </w:rPr>
            </w:pPr>
          </w:p>
        </w:tc>
      </w:tr>
      <w:tr w:rsidR="000A3121" w:rsidRPr="00E87AAA" w14:paraId="123D8C82"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785542E" w14:textId="77777777" w:rsidR="000A3121" w:rsidRPr="00E87AAA" w:rsidRDefault="000A3121" w:rsidP="00E164DA">
            <w:pPr>
              <w:pStyle w:val="Instructions"/>
            </w:pPr>
            <w:r w:rsidRPr="00E87AAA">
              <w:t>In your Best Interest</w:t>
            </w:r>
          </w:p>
        </w:tc>
        <w:tc>
          <w:tcPr>
            <w:tcW w:w="6798" w:type="dxa"/>
            <w:shd w:val="clear" w:color="auto" w:fill="auto"/>
          </w:tcPr>
          <w:p w14:paraId="10FB42C7" w14:textId="77777777" w:rsidR="000A3121" w:rsidRPr="00E87AAA" w:rsidRDefault="000A3121" w:rsidP="002819EF">
            <w:pPr>
              <w:spacing w:before="120"/>
              <w:jc w:val="left"/>
              <w:rPr>
                <w:sz w:val="18"/>
                <w:szCs w:val="18"/>
                <w:highlight w:val="yellow"/>
              </w:rPr>
            </w:pPr>
          </w:p>
        </w:tc>
      </w:tr>
      <w:tr w:rsidR="000A3121" w:rsidRPr="00E87AAA" w14:paraId="793EE4E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E442440" w14:textId="77777777" w:rsidR="000A3121" w:rsidRPr="00E87AAA" w:rsidRDefault="000A3121" w:rsidP="00E164DA">
            <w:pPr>
              <w:pStyle w:val="Instructions"/>
            </w:pPr>
            <w:r>
              <w:t>Further Detail</w:t>
            </w:r>
          </w:p>
        </w:tc>
        <w:tc>
          <w:tcPr>
            <w:tcW w:w="6798" w:type="dxa"/>
            <w:shd w:val="clear" w:color="auto" w:fill="auto"/>
          </w:tcPr>
          <w:p w14:paraId="7121710B" w14:textId="77777777" w:rsidR="008F0CED" w:rsidRPr="005F763D" w:rsidRDefault="008F0CED" w:rsidP="008F0CED">
            <w:pPr>
              <w:jc w:val="left"/>
            </w:pPr>
            <w:r w:rsidRPr="005F763D">
              <w:t>Based on the information we have been provided, we estimate you will be entitled to a Youth Allowance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2AFAAD21" w14:textId="77777777" w:rsidR="008F0CED" w:rsidRPr="005F763D" w:rsidRDefault="008F0CED" w:rsidP="008F0CED">
            <w:pPr>
              <w:jc w:val="left"/>
            </w:pPr>
          </w:p>
          <w:p w14:paraId="6DD0A7D2" w14:textId="77777777" w:rsidR="008F0CED" w:rsidRPr="005F763D" w:rsidRDefault="008F0CED" w:rsidP="008F0CED">
            <w:pPr>
              <w:jc w:val="left"/>
              <w:rPr>
                <w:b/>
                <w:i/>
              </w:rPr>
            </w:pPr>
            <w:r w:rsidRPr="005F763D">
              <w:rPr>
                <w:b/>
                <w:i/>
              </w:rPr>
              <w:t>Please refer to the appendix projection titled ‘Centrelink Entitlements’ for more information relating to Youth Allowance.</w:t>
            </w:r>
          </w:p>
          <w:p w14:paraId="772FA0F6" w14:textId="77777777" w:rsidR="000A3121" w:rsidRPr="00E87AAA" w:rsidRDefault="000A3121" w:rsidP="002819EF">
            <w:pPr>
              <w:spacing w:before="120"/>
              <w:jc w:val="left"/>
              <w:rPr>
                <w:sz w:val="18"/>
                <w:szCs w:val="18"/>
                <w:highlight w:val="yellow"/>
              </w:rPr>
            </w:pPr>
          </w:p>
        </w:tc>
      </w:tr>
    </w:tbl>
    <w:p w14:paraId="50EC1D5A" w14:textId="77777777" w:rsidR="000A3121" w:rsidRPr="005F763D" w:rsidRDefault="000A3121" w:rsidP="008C7CE9">
      <w:pPr>
        <w:jc w:val="left"/>
      </w:pPr>
    </w:p>
    <w:p w14:paraId="7EA6099C" w14:textId="77777777" w:rsidR="007F19BE" w:rsidRPr="005F763D" w:rsidRDefault="007F19BE" w:rsidP="008C7CE9">
      <w:pPr>
        <w:jc w:val="left"/>
      </w:pPr>
    </w:p>
    <w:p w14:paraId="42CBA101" w14:textId="77777777" w:rsidR="007F19BE" w:rsidRPr="005F763D" w:rsidRDefault="007F19BE" w:rsidP="008C7CE9">
      <w:pPr>
        <w:jc w:val="left"/>
        <w:rPr>
          <w:color w:val="002060"/>
          <w:sz w:val="24"/>
        </w:rPr>
      </w:pPr>
      <w:r w:rsidRPr="005F763D">
        <w:rPr>
          <w:color w:val="002060"/>
          <w:sz w:val="24"/>
        </w:rPr>
        <w:t>DVA Disability Pension</w:t>
      </w:r>
    </w:p>
    <w:p w14:paraId="18EC7C9B" w14:textId="1113357C"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558B434"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288EC20"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9D75805" w14:textId="77777777" w:rsidR="000A3121" w:rsidRPr="00E51BEA" w:rsidRDefault="000A3121" w:rsidP="002819EF">
            <w:pPr>
              <w:pStyle w:val="TableHeader2"/>
              <w:rPr>
                <w:rFonts w:ascii="Calibri Light" w:hAnsi="Calibri Light"/>
              </w:rPr>
            </w:pPr>
          </w:p>
        </w:tc>
      </w:tr>
      <w:tr w:rsidR="000A3121" w:rsidRPr="0088114A" w14:paraId="0097C15C"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705D016" w14:textId="77777777" w:rsidR="000A3121" w:rsidRPr="00E87AAA" w:rsidRDefault="000A3121" w:rsidP="00E164DA">
            <w:pPr>
              <w:pStyle w:val="Instructions"/>
            </w:pPr>
            <w:r w:rsidRPr="00E87AAA">
              <w:t>Title</w:t>
            </w:r>
          </w:p>
        </w:tc>
        <w:tc>
          <w:tcPr>
            <w:tcW w:w="6798" w:type="dxa"/>
            <w:shd w:val="clear" w:color="auto" w:fill="auto"/>
          </w:tcPr>
          <w:p w14:paraId="750CA15F" w14:textId="6E0B90EB" w:rsidR="000A3121" w:rsidRPr="0088114A" w:rsidRDefault="008F0CED" w:rsidP="002819EF">
            <w:pPr>
              <w:spacing w:before="120"/>
            </w:pPr>
            <w:r>
              <w:t>DVA Disability Pension</w:t>
            </w:r>
          </w:p>
        </w:tc>
      </w:tr>
      <w:tr w:rsidR="000A3121" w:rsidRPr="0088114A" w14:paraId="46BE3E36"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8E1A609" w14:textId="77777777" w:rsidR="000A3121" w:rsidRPr="00E87AAA" w:rsidRDefault="000A3121" w:rsidP="00E164DA">
            <w:pPr>
              <w:pStyle w:val="Instructions"/>
            </w:pPr>
            <w:r w:rsidRPr="00E87AAA">
              <w:t>Explanation</w:t>
            </w:r>
          </w:p>
        </w:tc>
        <w:tc>
          <w:tcPr>
            <w:tcW w:w="6798" w:type="dxa"/>
            <w:shd w:val="clear" w:color="auto" w:fill="auto"/>
          </w:tcPr>
          <w:p w14:paraId="63AB8946" w14:textId="77777777" w:rsidR="000A3121" w:rsidRPr="0088114A" w:rsidRDefault="000A3121" w:rsidP="002819EF">
            <w:pPr>
              <w:spacing w:before="120"/>
              <w:rPr>
                <w:sz w:val="18"/>
                <w:szCs w:val="18"/>
                <w:highlight w:val="yellow"/>
              </w:rPr>
            </w:pPr>
          </w:p>
        </w:tc>
      </w:tr>
      <w:tr w:rsidR="000A3121" w:rsidRPr="00E87AAA" w14:paraId="1CE29CC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657A28" w14:textId="77777777" w:rsidR="000A3121" w:rsidRPr="00E87AAA" w:rsidRDefault="000A3121" w:rsidP="00E164DA">
            <w:pPr>
              <w:pStyle w:val="Instructions"/>
            </w:pPr>
            <w:r w:rsidRPr="00E87AAA">
              <w:t>In your Best Interest</w:t>
            </w:r>
          </w:p>
        </w:tc>
        <w:tc>
          <w:tcPr>
            <w:tcW w:w="6798" w:type="dxa"/>
            <w:shd w:val="clear" w:color="auto" w:fill="auto"/>
          </w:tcPr>
          <w:p w14:paraId="4F0C1085" w14:textId="77777777" w:rsidR="000A3121" w:rsidRPr="00E87AAA" w:rsidRDefault="000A3121" w:rsidP="002819EF">
            <w:pPr>
              <w:spacing w:before="120"/>
              <w:jc w:val="left"/>
              <w:rPr>
                <w:sz w:val="18"/>
                <w:szCs w:val="18"/>
                <w:highlight w:val="yellow"/>
              </w:rPr>
            </w:pPr>
          </w:p>
        </w:tc>
      </w:tr>
      <w:tr w:rsidR="000A3121" w:rsidRPr="00E87AAA" w14:paraId="02ECE0F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CA6402F" w14:textId="77777777" w:rsidR="000A3121" w:rsidRPr="00E87AAA" w:rsidRDefault="000A3121" w:rsidP="00E164DA">
            <w:pPr>
              <w:pStyle w:val="Instructions"/>
            </w:pPr>
            <w:r>
              <w:t>Further Detail</w:t>
            </w:r>
          </w:p>
        </w:tc>
        <w:tc>
          <w:tcPr>
            <w:tcW w:w="6798" w:type="dxa"/>
            <w:shd w:val="clear" w:color="auto" w:fill="auto"/>
          </w:tcPr>
          <w:p w14:paraId="0D5D4F37" w14:textId="77777777" w:rsidR="008F0CED" w:rsidRPr="005F763D" w:rsidRDefault="008F0CED" w:rsidP="008F0CED">
            <w:pPr>
              <w:jc w:val="left"/>
            </w:pPr>
            <w:r w:rsidRPr="005F763D">
              <w:t>From the information that we have been provided, we have determined that you will be eligible for a DVA Disability Pension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w:t>
            </w:r>
          </w:p>
          <w:p w14:paraId="4FB4B3BE" w14:textId="77777777" w:rsidR="008F0CED" w:rsidRPr="005F763D" w:rsidRDefault="008F0CED" w:rsidP="008F0CED">
            <w:pPr>
              <w:jc w:val="left"/>
            </w:pPr>
          </w:p>
          <w:p w14:paraId="626053CB" w14:textId="77777777" w:rsidR="008F0CED" w:rsidRPr="005F763D" w:rsidRDefault="008F0CED" w:rsidP="008F0CED">
            <w:pPr>
              <w:jc w:val="left"/>
            </w:pPr>
            <w:r w:rsidRPr="005F763D">
              <w:t xml:space="preserve">However, you will need to consult with your local Department of Veteran Affairs office for </w:t>
            </w:r>
            <w:r>
              <w:t xml:space="preserve">an official </w:t>
            </w:r>
            <w:r w:rsidRPr="005F763D">
              <w:t>determination of your DVA entitlements.</w:t>
            </w:r>
          </w:p>
          <w:p w14:paraId="247B6F6F" w14:textId="77777777" w:rsidR="008F0CED" w:rsidRPr="005F763D" w:rsidRDefault="008F0CED" w:rsidP="008F0CED">
            <w:pPr>
              <w:jc w:val="left"/>
            </w:pPr>
          </w:p>
          <w:p w14:paraId="2E6EC340" w14:textId="77777777" w:rsidR="008F0CED" w:rsidRPr="005F763D" w:rsidRDefault="008F0CED" w:rsidP="008F0CED">
            <w:pPr>
              <w:jc w:val="left"/>
              <w:rPr>
                <w:b/>
                <w:i/>
              </w:rPr>
            </w:pPr>
            <w:r w:rsidRPr="005F763D">
              <w:rPr>
                <w:b/>
                <w:i/>
              </w:rPr>
              <w:t>Please refer to the appendix projection titled ‘Centrelink Entitlements’ for more information relating to the DVA Disability Pension.</w:t>
            </w:r>
          </w:p>
          <w:p w14:paraId="50F93180" w14:textId="77777777" w:rsidR="000A3121" w:rsidRPr="00E87AAA" w:rsidRDefault="000A3121" w:rsidP="002819EF">
            <w:pPr>
              <w:spacing w:before="120"/>
              <w:jc w:val="left"/>
              <w:rPr>
                <w:sz w:val="18"/>
                <w:szCs w:val="18"/>
                <w:highlight w:val="yellow"/>
              </w:rPr>
            </w:pPr>
          </w:p>
        </w:tc>
      </w:tr>
    </w:tbl>
    <w:p w14:paraId="28F7A027" w14:textId="77777777" w:rsidR="000A3121" w:rsidRPr="005F763D" w:rsidRDefault="000A3121" w:rsidP="008C7CE9">
      <w:pPr>
        <w:jc w:val="left"/>
      </w:pPr>
    </w:p>
    <w:p w14:paraId="64038116" w14:textId="59686598" w:rsidR="007F19BE" w:rsidRDefault="007F19BE" w:rsidP="008C7CE9">
      <w:pPr>
        <w:jc w:val="left"/>
      </w:pPr>
    </w:p>
    <w:p w14:paraId="456234D2" w14:textId="0B441911" w:rsidR="006F3D29" w:rsidRPr="005F763D" w:rsidRDefault="006F3D29" w:rsidP="006F3D29">
      <w:pPr>
        <w:jc w:val="left"/>
        <w:rPr>
          <w:color w:val="002060"/>
          <w:sz w:val="24"/>
        </w:rPr>
      </w:pPr>
      <w:r w:rsidRPr="005F763D">
        <w:rPr>
          <w:color w:val="002060"/>
          <w:sz w:val="24"/>
        </w:rPr>
        <w:t>DVA</w:t>
      </w:r>
      <w:r>
        <w:rPr>
          <w:color w:val="002060"/>
          <w:sz w:val="24"/>
        </w:rPr>
        <w:t xml:space="preserve"> </w:t>
      </w:r>
      <w:r w:rsidR="007477DE">
        <w:rPr>
          <w:color w:val="002060"/>
          <w:sz w:val="24"/>
        </w:rPr>
        <w:t>Age</w:t>
      </w:r>
      <w:r w:rsidRPr="005F763D">
        <w:rPr>
          <w:color w:val="002060"/>
          <w:sz w:val="24"/>
        </w:rPr>
        <w:t xml:space="preserve"> Pension</w:t>
      </w:r>
    </w:p>
    <w:p w14:paraId="639147CF" w14:textId="1CF20C00" w:rsidR="006F3D29" w:rsidRDefault="006F3D29" w:rsidP="006F3D29">
      <w:pPr>
        <w:jc w:val="left"/>
      </w:pPr>
    </w:p>
    <w:tbl>
      <w:tblPr>
        <w:tblW w:w="0" w:type="auto"/>
        <w:tblInd w:w="76" w:type="dxa"/>
        <w:tblLook w:val="04A0" w:firstRow="1" w:lastRow="0" w:firstColumn="1" w:lastColumn="0" w:noHBand="0" w:noVBand="1"/>
      </w:tblPr>
      <w:tblGrid>
        <w:gridCol w:w="2754"/>
        <w:gridCol w:w="6798"/>
      </w:tblGrid>
      <w:tr w:rsidR="000A3121" w:rsidRPr="00E51BEA" w14:paraId="27C9F3C9"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53F4E5D"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8AE0A32" w14:textId="77777777" w:rsidR="000A3121" w:rsidRPr="00E51BEA" w:rsidRDefault="000A3121" w:rsidP="002819EF">
            <w:pPr>
              <w:pStyle w:val="TableHeader2"/>
              <w:rPr>
                <w:rFonts w:ascii="Calibri Light" w:hAnsi="Calibri Light"/>
              </w:rPr>
            </w:pPr>
          </w:p>
        </w:tc>
      </w:tr>
      <w:tr w:rsidR="000A3121" w:rsidRPr="0088114A" w14:paraId="7184E4C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99A34C6" w14:textId="77777777" w:rsidR="000A3121" w:rsidRPr="00E87AAA" w:rsidRDefault="000A3121" w:rsidP="00E164DA">
            <w:pPr>
              <w:pStyle w:val="Instructions"/>
            </w:pPr>
            <w:r w:rsidRPr="00E87AAA">
              <w:t>Title</w:t>
            </w:r>
          </w:p>
        </w:tc>
        <w:tc>
          <w:tcPr>
            <w:tcW w:w="6798" w:type="dxa"/>
            <w:shd w:val="clear" w:color="auto" w:fill="auto"/>
          </w:tcPr>
          <w:p w14:paraId="7BE73FBB" w14:textId="53D24054" w:rsidR="000A3121" w:rsidRPr="0088114A" w:rsidRDefault="007C3179" w:rsidP="002819EF">
            <w:pPr>
              <w:spacing w:before="120"/>
            </w:pPr>
            <w:r>
              <w:t>DVA Age Pension</w:t>
            </w:r>
          </w:p>
        </w:tc>
      </w:tr>
      <w:tr w:rsidR="000A3121" w:rsidRPr="0088114A" w14:paraId="5EC13F4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249FCF7" w14:textId="77777777" w:rsidR="000A3121" w:rsidRPr="00E87AAA" w:rsidRDefault="000A3121" w:rsidP="00E164DA">
            <w:pPr>
              <w:pStyle w:val="Instructions"/>
            </w:pPr>
            <w:r w:rsidRPr="00E87AAA">
              <w:t>Explanation</w:t>
            </w:r>
          </w:p>
        </w:tc>
        <w:tc>
          <w:tcPr>
            <w:tcW w:w="6798" w:type="dxa"/>
            <w:shd w:val="clear" w:color="auto" w:fill="auto"/>
          </w:tcPr>
          <w:p w14:paraId="3B7A52A4" w14:textId="77777777" w:rsidR="000A3121" w:rsidRPr="0088114A" w:rsidRDefault="000A3121" w:rsidP="002819EF">
            <w:pPr>
              <w:spacing w:before="120"/>
              <w:rPr>
                <w:sz w:val="18"/>
                <w:szCs w:val="18"/>
                <w:highlight w:val="yellow"/>
              </w:rPr>
            </w:pPr>
          </w:p>
        </w:tc>
      </w:tr>
      <w:tr w:rsidR="000A3121" w:rsidRPr="00E87AAA" w14:paraId="2EBCCDFB"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6A5A7F7" w14:textId="77777777" w:rsidR="000A3121" w:rsidRPr="00E87AAA" w:rsidRDefault="000A3121" w:rsidP="00E164DA">
            <w:pPr>
              <w:pStyle w:val="Instructions"/>
            </w:pPr>
            <w:r w:rsidRPr="00E87AAA">
              <w:t>In your Best Interest</w:t>
            </w:r>
          </w:p>
        </w:tc>
        <w:tc>
          <w:tcPr>
            <w:tcW w:w="6798" w:type="dxa"/>
            <w:shd w:val="clear" w:color="auto" w:fill="auto"/>
          </w:tcPr>
          <w:p w14:paraId="0C297D69" w14:textId="77777777" w:rsidR="000A3121" w:rsidRPr="00E87AAA" w:rsidRDefault="000A3121" w:rsidP="002819EF">
            <w:pPr>
              <w:spacing w:before="120"/>
              <w:jc w:val="left"/>
              <w:rPr>
                <w:sz w:val="18"/>
                <w:szCs w:val="18"/>
                <w:highlight w:val="yellow"/>
              </w:rPr>
            </w:pPr>
          </w:p>
        </w:tc>
      </w:tr>
      <w:tr w:rsidR="000A3121" w:rsidRPr="00E87AAA" w14:paraId="73D231E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C36EFCD" w14:textId="77777777" w:rsidR="000A3121" w:rsidRPr="00E87AAA" w:rsidRDefault="000A3121" w:rsidP="00E164DA">
            <w:pPr>
              <w:pStyle w:val="Instructions"/>
            </w:pPr>
            <w:r>
              <w:t>Further Detail</w:t>
            </w:r>
          </w:p>
        </w:tc>
        <w:tc>
          <w:tcPr>
            <w:tcW w:w="6798" w:type="dxa"/>
            <w:shd w:val="clear" w:color="auto" w:fill="auto"/>
          </w:tcPr>
          <w:p w14:paraId="635F8EEB" w14:textId="77777777" w:rsidR="007C3179" w:rsidRPr="005F763D" w:rsidRDefault="007C3179" w:rsidP="007C3179">
            <w:pPr>
              <w:jc w:val="left"/>
            </w:pPr>
            <w:r w:rsidRPr="005F763D">
              <w:t>From the information that we have been provided, we have determined</w:t>
            </w:r>
            <w:r>
              <w:t xml:space="preserve"> that you will be eligible for the Age Pension paid through the DVA</w:t>
            </w:r>
            <w:r w:rsidRPr="005F763D">
              <w:t xml:space="preserve">.  We estimate that your entitlement to the </w:t>
            </w:r>
            <w:r>
              <w:t>Age</w:t>
            </w:r>
            <w:r w:rsidRPr="005F763D">
              <w:t xml:space="preserve"> Pension is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 including Pharmaceutical Allowance.</w:t>
            </w:r>
          </w:p>
          <w:p w14:paraId="63FABE96" w14:textId="77777777" w:rsidR="007C3179" w:rsidRPr="005F763D" w:rsidRDefault="007C3179" w:rsidP="007C3179">
            <w:pPr>
              <w:jc w:val="left"/>
            </w:pPr>
          </w:p>
          <w:p w14:paraId="256E6BF1" w14:textId="77777777" w:rsidR="007C3179" w:rsidRPr="005F763D" w:rsidRDefault="007C3179" w:rsidP="007C3179">
            <w:pPr>
              <w:jc w:val="left"/>
            </w:pPr>
            <w:r w:rsidRPr="005F763D">
              <w:t>However, you will need to consult with your local Department of Vet</w:t>
            </w:r>
            <w:r>
              <w:t>erans' Affairs office for an official</w:t>
            </w:r>
            <w:r w:rsidRPr="005F763D">
              <w:t xml:space="preserve"> determination of your DVA entitlements.</w:t>
            </w:r>
          </w:p>
          <w:p w14:paraId="182FC229" w14:textId="77777777" w:rsidR="007C3179" w:rsidRPr="005F763D" w:rsidRDefault="007C3179" w:rsidP="007C3179">
            <w:pPr>
              <w:jc w:val="left"/>
              <w:rPr>
                <w:b/>
                <w:i/>
              </w:rPr>
            </w:pPr>
            <w:r w:rsidRPr="005F763D">
              <w:rPr>
                <w:b/>
                <w:i/>
              </w:rPr>
              <w:t xml:space="preserve">Please refer to the appendix projection titled ‘Centrelink Entitlements’ for more information relating to </w:t>
            </w:r>
            <w:proofErr w:type="gramStart"/>
            <w:r w:rsidRPr="005F763D">
              <w:rPr>
                <w:b/>
                <w:i/>
              </w:rPr>
              <w:t>the  Pension</w:t>
            </w:r>
            <w:proofErr w:type="gramEnd"/>
            <w:r w:rsidRPr="005F763D">
              <w:rPr>
                <w:b/>
                <w:i/>
              </w:rPr>
              <w:t>.</w:t>
            </w:r>
          </w:p>
          <w:p w14:paraId="029A483E" w14:textId="77777777" w:rsidR="000A3121" w:rsidRPr="00E87AAA" w:rsidRDefault="000A3121" w:rsidP="002819EF">
            <w:pPr>
              <w:spacing w:before="120"/>
              <w:jc w:val="left"/>
              <w:rPr>
                <w:sz w:val="18"/>
                <w:szCs w:val="18"/>
                <w:highlight w:val="yellow"/>
              </w:rPr>
            </w:pPr>
          </w:p>
        </w:tc>
      </w:tr>
    </w:tbl>
    <w:p w14:paraId="0CC32D27" w14:textId="77777777" w:rsidR="000A3121" w:rsidRPr="005F763D" w:rsidRDefault="000A3121" w:rsidP="006F3D29">
      <w:pPr>
        <w:jc w:val="left"/>
      </w:pPr>
    </w:p>
    <w:p w14:paraId="150E664B" w14:textId="77777777" w:rsidR="006F3D29" w:rsidRDefault="006F3D29" w:rsidP="008C7CE9">
      <w:pPr>
        <w:jc w:val="left"/>
      </w:pPr>
    </w:p>
    <w:p w14:paraId="4DACA6BF" w14:textId="77777777" w:rsidR="006F3D29" w:rsidRPr="005F763D" w:rsidRDefault="006F3D29" w:rsidP="008C7CE9">
      <w:pPr>
        <w:jc w:val="left"/>
      </w:pPr>
    </w:p>
    <w:p w14:paraId="757C1749" w14:textId="72C9B0DD" w:rsidR="007F19BE" w:rsidRPr="005F763D" w:rsidRDefault="007F19BE" w:rsidP="008C7CE9">
      <w:pPr>
        <w:jc w:val="left"/>
        <w:rPr>
          <w:color w:val="002060"/>
          <w:sz w:val="24"/>
        </w:rPr>
      </w:pPr>
      <w:r w:rsidRPr="005F763D">
        <w:rPr>
          <w:color w:val="002060"/>
          <w:sz w:val="24"/>
        </w:rPr>
        <w:t>DVA</w:t>
      </w:r>
      <w:r w:rsidR="006F3D29">
        <w:rPr>
          <w:color w:val="002060"/>
          <w:sz w:val="24"/>
        </w:rPr>
        <w:t xml:space="preserve"> </w:t>
      </w:r>
      <w:r w:rsidRPr="005F763D">
        <w:rPr>
          <w:color w:val="002060"/>
          <w:sz w:val="24"/>
        </w:rPr>
        <w:t>Invalidity Service Pension</w:t>
      </w:r>
    </w:p>
    <w:p w14:paraId="349633BF" w14:textId="10DD47A0"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DC4ED3D"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DF472D8"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5E6AE98" w14:textId="77777777" w:rsidR="000A3121" w:rsidRPr="00E51BEA" w:rsidRDefault="000A3121" w:rsidP="002819EF">
            <w:pPr>
              <w:pStyle w:val="TableHeader2"/>
              <w:rPr>
                <w:rFonts w:ascii="Calibri Light" w:hAnsi="Calibri Light"/>
              </w:rPr>
            </w:pPr>
          </w:p>
        </w:tc>
      </w:tr>
      <w:tr w:rsidR="000A3121" w:rsidRPr="0088114A" w14:paraId="28A2E2E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6CE05D7" w14:textId="77777777" w:rsidR="000A3121" w:rsidRPr="00E87AAA" w:rsidRDefault="000A3121" w:rsidP="00E164DA">
            <w:pPr>
              <w:pStyle w:val="Instructions"/>
            </w:pPr>
            <w:r w:rsidRPr="00E87AAA">
              <w:t>Title</w:t>
            </w:r>
          </w:p>
        </w:tc>
        <w:tc>
          <w:tcPr>
            <w:tcW w:w="6798" w:type="dxa"/>
            <w:shd w:val="clear" w:color="auto" w:fill="auto"/>
          </w:tcPr>
          <w:p w14:paraId="38C2EA4A" w14:textId="202E3ABA" w:rsidR="000A3121" w:rsidRPr="0088114A" w:rsidRDefault="00201C94" w:rsidP="002819EF">
            <w:pPr>
              <w:spacing w:before="120"/>
            </w:pPr>
            <w:r>
              <w:t>DVA Invalidity Service Pension</w:t>
            </w:r>
          </w:p>
        </w:tc>
      </w:tr>
      <w:tr w:rsidR="000A3121" w:rsidRPr="0088114A" w14:paraId="7191666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E7F02C" w14:textId="77777777" w:rsidR="000A3121" w:rsidRPr="00E87AAA" w:rsidRDefault="000A3121" w:rsidP="00E164DA">
            <w:pPr>
              <w:pStyle w:val="Instructions"/>
            </w:pPr>
            <w:r w:rsidRPr="00E87AAA">
              <w:t>Explanation</w:t>
            </w:r>
          </w:p>
        </w:tc>
        <w:tc>
          <w:tcPr>
            <w:tcW w:w="6798" w:type="dxa"/>
            <w:shd w:val="clear" w:color="auto" w:fill="auto"/>
          </w:tcPr>
          <w:p w14:paraId="5BF56E32" w14:textId="77777777" w:rsidR="000A3121" w:rsidRPr="0088114A" w:rsidRDefault="000A3121" w:rsidP="002819EF">
            <w:pPr>
              <w:spacing w:before="120"/>
              <w:rPr>
                <w:sz w:val="18"/>
                <w:szCs w:val="18"/>
                <w:highlight w:val="yellow"/>
              </w:rPr>
            </w:pPr>
          </w:p>
        </w:tc>
      </w:tr>
      <w:tr w:rsidR="000A3121" w:rsidRPr="00E87AAA" w14:paraId="1CF5ABC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21363DF" w14:textId="77777777" w:rsidR="000A3121" w:rsidRPr="00E87AAA" w:rsidRDefault="000A3121" w:rsidP="00E164DA">
            <w:pPr>
              <w:pStyle w:val="Instructions"/>
            </w:pPr>
            <w:r w:rsidRPr="00E87AAA">
              <w:t>In your Best Interest</w:t>
            </w:r>
          </w:p>
        </w:tc>
        <w:tc>
          <w:tcPr>
            <w:tcW w:w="6798" w:type="dxa"/>
            <w:shd w:val="clear" w:color="auto" w:fill="auto"/>
          </w:tcPr>
          <w:p w14:paraId="6CEB6103" w14:textId="77777777" w:rsidR="000A3121" w:rsidRPr="00E87AAA" w:rsidRDefault="000A3121" w:rsidP="002819EF">
            <w:pPr>
              <w:spacing w:before="120"/>
              <w:jc w:val="left"/>
              <w:rPr>
                <w:sz w:val="18"/>
                <w:szCs w:val="18"/>
                <w:highlight w:val="yellow"/>
              </w:rPr>
            </w:pPr>
          </w:p>
        </w:tc>
      </w:tr>
      <w:tr w:rsidR="000A3121" w:rsidRPr="00E87AAA" w14:paraId="52E8E2C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CC86C1" w14:textId="77777777" w:rsidR="000A3121" w:rsidRPr="00E87AAA" w:rsidRDefault="000A3121" w:rsidP="00E164DA">
            <w:pPr>
              <w:pStyle w:val="Instructions"/>
            </w:pPr>
            <w:r>
              <w:t>Further Detail</w:t>
            </w:r>
          </w:p>
        </w:tc>
        <w:tc>
          <w:tcPr>
            <w:tcW w:w="6798" w:type="dxa"/>
            <w:shd w:val="clear" w:color="auto" w:fill="auto"/>
          </w:tcPr>
          <w:p w14:paraId="1EC43218" w14:textId="77777777" w:rsidR="00201C94" w:rsidRPr="005F763D" w:rsidRDefault="00201C94" w:rsidP="00201C94">
            <w:pPr>
              <w:jc w:val="left"/>
            </w:pPr>
            <w:r w:rsidRPr="005F763D">
              <w:t>From the information that we have been provided, we have determined that you will be eligible for an Invalidity Service Pension.  We estimate that your entitlement to the Invalidity Service Pension is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 including Pharmaceutical Allowance.</w:t>
            </w:r>
          </w:p>
          <w:p w14:paraId="67C2967D" w14:textId="77777777" w:rsidR="00201C94" w:rsidRPr="005F763D" w:rsidRDefault="00201C94" w:rsidP="00201C94">
            <w:pPr>
              <w:jc w:val="left"/>
            </w:pPr>
          </w:p>
          <w:p w14:paraId="2F141619" w14:textId="26840D54" w:rsidR="00201C94" w:rsidRPr="005F763D" w:rsidRDefault="00201C94" w:rsidP="00201C94">
            <w:pPr>
              <w:jc w:val="left"/>
            </w:pPr>
            <w:r w:rsidRPr="005F763D">
              <w:t xml:space="preserve">However, you will need to consult with your local Department of Veterans' Affairs office for </w:t>
            </w:r>
            <w:r>
              <w:t xml:space="preserve">an </w:t>
            </w:r>
            <w:r w:rsidR="00F9514A">
              <w:t xml:space="preserve">official </w:t>
            </w:r>
            <w:r w:rsidR="00F9514A" w:rsidRPr="005F763D">
              <w:t>determination</w:t>
            </w:r>
            <w:r w:rsidRPr="005F763D">
              <w:t xml:space="preserve"> of your DVA entitlements.</w:t>
            </w:r>
          </w:p>
          <w:p w14:paraId="30A08B02" w14:textId="77777777" w:rsidR="00201C94" w:rsidRPr="005F763D" w:rsidRDefault="00201C94" w:rsidP="00201C94">
            <w:pPr>
              <w:jc w:val="left"/>
            </w:pPr>
          </w:p>
          <w:p w14:paraId="1A01A1F9" w14:textId="77777777" w:rsidR="00201C94" w:rsidRPr="005F763D" w:rsidRDefault="00201C94" w:rsidP="00201C94">
            <w:pPr>
              <w:jc w:val="left"/>
              <w:rPr>
                <w:b/>
                <w:i/>
              </w:rPr>
            </w:pPr>
            <w:r w:rsidRPr="005F763D">
              <w:rPr>
                <w:b/>
                <w:i/>
              </w:rPr>
              <w:t>Please refer to the appendix projection titled ‘Centrelink Entitlements’ for more information relating to the Invalidity Service Pension.</w:t>
            </w:r>
          </w:p>
          <w:p w14:paraId="1C5A6532" w14:textId="77777777" w:rsidR="000A3121" w:rsidRPr="00E87AAA" w:rsidRDefault="000A3121" w:rsidP="002819EF">
            <w:pPr>
              <w:spacing w:before="120"/>
              <w:jc w:val="left"/>
              <w:rPr>
                <w:sz w:val="18"/>
                <w:szCs w:val="18"/>
                <w:highlight w:val="yellow"/>
              </w:rPr>
            </w:pPr>
          </w:p>
        </w:tc>
      </w:tr>
    </w:tbl>
    <w:p w14:paraId="14118D22" w14:textId="77777777" w:rsidR="000A3121" w:rsidRPr="005F763D" w:rsidRDefault="000A3121" w:rsidP="008C7CE9">
      <w:pPr>
        <w:jc w:val="left"/>
      </w:pPr>
    </w:p>
    <w:p w14:paraId="05AF1811" w14:textId="77777777" w:rsidR="007F19BE" w:rsidRPr="005F763D" w:rsidRDefault="007F19BE" w:rsidP="008C7CE9">
      <w:pPr>
        <w:jc w:val="left"/>
      </w:pPr>
    </w:p>
    <w:p w14:paraId="293B025E" w14:textId="77777777" w:rsidR="007F19BE" w:rsidRPr="005F763D" w:rsidRDefault="007F19BE" w:rsidP="008C7CE9">
      <w:pPr>
        <w:jc w:val="left"/>
        <w:rPr>
          <w:color w:val="002060"/>
          <w:sz w:val="24"/>
        </w:rPr>
      </w:pPr>
      <w:r w:rsidRPr="005F763D">
        <w:rPr>
          <w:color w:val="002060"/>
          <w:sz w:val="24"/>
        </w:rPr>
        <w:t>DVA Partner Service Pension</w:t>
      </w:r>
    </w:p>
    <w:p w14:paraId="57D6A0D8" w14:textId="77777777" w:rsidR="007F19BE" w:rsidRPr="005F763D" w:rsidRDefault="007F19BE" w:rsidP="008C7CE9">
      <w:pPr>
        <w:jc w:val="left"/>
      </w:pPr>
    </w:p>
    <w:p w14:paraId="707FC792" w14:textId="698BC410"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A66EE28"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983570C"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EAF6949" w14:textId="77777777" w:rsidR="000A3121" w:rsidRPr="00E51BEA" w:rsidRDefault="000A3121" w:rsidP="002819EF">
            <w:pPr>
              <w:pStyle w:val="TableHeader2"/>
              <w:rPr>
                <w:rFonts w:ascii="Calibri Light" w:hAnsi="Calibri Light"/>
              </w:rPr>
            </w:pPr>
          </w:p>
        </w:tc>
      </w:tr>
      <w:tr w:rsidR="000A3121" w:rsidRPr="0088114A" w14:paraId="393EC527"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9CB702B" w14:textId="77777777" w:rsidR="000A3121" w:rsidRPr="00E87AAA" w:rsidRDefault="000A3121" w:rsidP="00E164DA">
            <w:pPr>
              <w:pStyle w:val="Instructions"/>
            </w:pPr>
            <w:r w:rsidRPr="00E87AAA">
              <w:t>Title</w:t>
            </w:r>
          </w:p>
        </w:tc>
        <w:tc>
          <w:tcPr>
            <w:tcW w:w="6798" w:type="dxa"/>
            <w:shd w:val="clear" w:color="auto" w:fill="auto"/>
          </w:tcPr>
          <w:p w14:paraId="5C9AC9DB" w14:textId="71A2B1B3" w:rsidR="000A3121" w:rsidRPr="0088114A" w:rsidRDefault="00201C94" w:rsidP="002819EF">
            <w:pPr>
              <w:spacing w:before="120"/>
            </w:pPr>
            <w:r>
              <w:t>DVA Partner Service Pension</w:t>
            </w:r>
          </w:p>
        </w:tc>
      </w:tr>
      <w:tr w:rsidR="000A3121" w:rsidRPr="0088114A" w14:paraId="2BDB25C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1E46E7" w14:textId="77777777" w:rsidR="000A3121" w:rsidRPr="00E87AAA" w:rsidRDefault="000A3121" w:rsidP="00E164DA">
            <w:pPr>
              <w:pStyle w:val="Instructions"/>
            </w:pPr>
            <w:r w:rsidRPr="00E87AAA">
              <w:t>Explanation</w:t>
            </w:r>
          </w:p>
        </w:tc>
        <w:tc>
          <w:tcPr>
            <w:tcW w:w="6798" w:type="dxa"/>
            <w:shd w:val="clear" w:color="auto" w:fill="auto"/>
          </w:tcPr>
          <w:p w14:paraId="7C92EEAC" w14:textId="77777777" w:rsidR="000A3121" w:rsidRPr="0088114A" w:rsidRDefault="000A3121" w:rsidP="002819EF">
            <w:pPr>
              <w:spacing w:before="120"/>
              <w:rPr>
                <w:sz w:val="18"/>
                <w:szCs w:val="18"/>
                <w:highlight w:val="yellow"/>
              </w:rPr>
            </w:pPr>
          </w:p>
        </w:tc>
      </w:tr>
      <w:tr w:rsidR="000A3121" w:rsidRPr="00E87AAA" w14:paraId="3AFD76E2"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1446543" w14:textId="77777777" w:rsidR="000A3121" w:rsidRPr="00E87AAA" w:rsidRDefault="000A3121" w:rsidP="00E164DA">
            <w:pPr>
              <w:pStyle w:val="Instructions"/>
            </w:pPr>
            <w:r w:rsidRPr="00E87AAA">
              <w:lastRenderedPageBreak/>
              <w:t>In your Best Interest</w:t>
            </w:r>
          </w:p>
        </w:tc>
        <w:tc>
          <w:tcPr>
            <w:tcW w:w="6798" w:type="dxa"/>
            <w:shd w:val="clear" w:color="auto" w:fill="auto"/>
          </w:tcPr>
          <w:p w14:paraId="07ED7065" w14:textId="77777777" w:rsidR="000A3121" w:rsidRPr="00E87AAA" w:rsidRDefault="000A3121" w:rsidP="002819EF">
            <w:pPr>
              <w:spacing w:before="120"/>
              <w:jc w:val="left"/>
              <w:rPr>
                <w:sz w:val="18"/>
                <w:szCs w:val="18"/>
                <w:highlight w:val="yellow"/>
              </w:rPr>
            </w:pPr>
          </w:p>
        </w:tc>
      </w:tr>
      <w:tr w:rsidR="000A3121" w:rsidRPr="00E87AAA" w14:paraId="06938914"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8C68BAD" w14:textId="77777777" w:rsidR="000A3121" w:rsidRPr="00E87AAA" w:rsidRDefault="000A3121" w:rsidP="00E164DA">
            <w:pPr>
              <w:pStyle w:val="Instructions"/>
            </w:pPr>
            <w:r>
              <w:t>Further Detail</w:t>
            </w:r>
          </w:p>
        </w:tc>
        <w:tc>
          <w:tcPr>
            <w:tcW w:w="6798" w:type="dxa"/>
            <w:shd w:val="clear" w:color="auto" w:fill="auto"/>
          </w:tcPr>
          <w:p w14:paraId="366BD0CD" w14:textId="77777777" w:rsidR="00201C94" w:rsidRPr="005F763D" w:rsidRDefault="00201C94" w:rsidP="00201C94">
            <w:pPr>
              <w:jc w:val="left"/>
            </w:pPr>
            <w:r w:rsidRPr="005F763D">
              <w:t>From the information that we have been provided, we have determined that you will be eligible for a Partner Service Pension.  We estimate that your entitlement to the Partner Service Pension is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 including Pharmaceutical Allowance.</w:t>
            </w:r>
          </w:p>
          <w:p w14:paraId="613628C1" w14:textId="77777777" w:rsidR="00201C94" w:rsidRPr="005F763D" w:rsidRDefault="00201C94" w:rsidP="00201C94">
            <w:pPr>
              <w:jc w:val="left"/>
            </w:pPr>
          </w:p>
          <w:p w14:paraId="75C65D9C" w14:textId="0350F038" w:rsidR="00201C94" w:rsidRPr="005F763D" w:rsidRDefault="00201C94" w:rsidP="00201C94">
            <w:pPr>
              <w:jc w:val="left"/>
            </w:pPr>
            <w:r w:rsidRPr="005F763D">
              <w:t xml:space="preserve">However, you will need to consult with your local Department of Veterans' Affairs office for </w:t>
            </w:r>
            <w:r>
              <w:t xml:space="preserve">an </w:t>
            </w:r>
            <w:r w:rsidR="007950E9">
              <w:t xml:space="preserve">official </w:t>
            </w:r>
            <w:r w:rsidR="007950E9" w:rsidRPr="005F763D">
              <w:t>determination</w:t>
            </w:r>
            <w:r w:rsidRPr="005F763D">
              <w:t xml:space="preserve"> of your DVA entitlements.</w:t>
            </w:r>
          </w:p>
          <w:p w14:paraId="56022048" w14:textId="77777777" w:rsidR="00201C94" w:rsidRPr="005F763D" w:rsidRDefault="00201C94" w:rsidP="00201C94">
            <w:pPr>
              <w:jc w:val="left"/>
            </w:pPr>
          </w:p>
          <w:p w14:paraId="2A9D58AD" w14:textId="77777777" w:rsidR="00201C94" w:rsidRPr="005F763D" w:rsidRDefault="00201C94" w:rsidP="00201C94">
            <w:pPr>
              <w:jc w:val="left"/>
              <w:rPr>
                <w:b/>
                <w:i/>
              </w:rPr>
            </w:pPr>
            <w:r w:rsidRPr="005F763D">
              <w:rPr>
                <w:b/>
                <w:i/>
              </w:rPr>
              <w:t>Please refer to the appendix projection titled ‘Centrelink Entitlements’ for more information relating to the Partner Service Pension.</w:t>
            </w:r>
          </w:p>
          <w:p w14:paraId="63E941F0" w14:textId="77777777" w:rsidR="000A3121" w:rsidRPr="00E87AAA" w:rsidRDefault="000A3121" w:rsidP="002819EF">
            <w:pPr>
              <w:spacing w:before="120"/>
              <w:jc w:val="left"/>
              <w:rPr>
                <w:sz w:val="18"/>
                <w:szCs w:val="18"/>
                <w:highlight w:val="yellow"/>
              </w:rPr>
            </w:pPr>
          </w:p>
        </w:tc>
      </w:tr>
    </w:tbl>
    <w:p w14:paraId="31ED7D52" w14:textId="3EFF9625" w:rsidR="000A3121" w:rsidRDefault="000A3121" w:rsidP="008C7CE9">
      <w:pPr>
        <w:jc w:val="left"/>
      </w:pPr>
    </w:p>
    <w:p w14:paraId="6E2FCE00" w14:textId="77777777" w:rsidR="000A3121" w:rsidRPr="005F763D" w:rsidRDefault="000A3121" w:rsidP="008C7CE9">
      <w:pPr>
        <w:jc w:val="left"/>
      </w:pPr>
    </w:p>
    <w:p w14:paraId="711828A4" w14:textId="77777777" w:rsidR="007F19BE" w:rsidRPr="005F763D" w:rsidRDefault="007F19BE" w:rsidP="008C7CE9">
      <w:pPr>
        <w:jc w:val="left"/>
        <w:rPr>
          <w:color w:val="002060"/>
          <w:sz w:val="24"/>
        </w:rPr>
      </w:pPr>
      <w:r w:rsidRPr="005F763D">
        <w:rPr>
          <w:color w:val="002060"/>
          <w:sz w:val="24"/>
        </w:rPr>
        <w:t>DVA War Widows Pension</w:t>
      </w:r>
      <w:r w:rsidR="00E95E72" w:rsidRPr="005F763D">
        <w:rPr>
          <w:color w:val="002060"/>
          <w:sz w:val="24"/>
        </w:rPr>
        <w:t xml:space="preserve"> &amp; Income Support Supplement</w:t>
      </w:r>
    </w:p>
    <w:p w14:paraId="46DC1E7A" w14:textId="4048AC33"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AD2E53B"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08738F8"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EA13DF5" w14:textId="77777777" w:rsidR="000A3121" w:rsidRPr="00E51BEA" w:rsidRDefault="000A3121" w:rsidP="002819EF">
            <w:pPr>
              <w:pStyle w:val="TableHeader2"/>
              <w:rPr>
                <w:rFonts w:ascii="Calibri Light" w:hAnsi="Calibri Light"/>
              </w:rPr>
            </w:pPr>
          </w:p>
        </w:tc>
      </w:tr>
      <w:tr w:rsidR="000A3121" w:rsidRPr="0088114A" w14:paraId="4CA9D60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7B0BA69" w14:textId="77777777" w:rsidR="000A3121" w:rsidRPr="00E87AAA" w:rsidRDefault="000A3121" w:rsidP="00E164DA">
            <w:pPr>
              <w:pStyle w:val="Instructions"/>
            </w:pPr>
            <w:r w:rsidRPr="00E87AAA">
              <w:t>Title</w:t>
            </w:r>
          </w:p>
        </w:tc>
        <w:tc>
          <w:tcPr>
            <w:tcW w:w="6798" w:type="dxa"/>
            <w:shd w:val="clear" w:color="auto" w:fill="auto"/>
          </w:tcPr>
          <w:p w14:paraId="31EC2DE7" w14:textId="700104CD" w:rsidR="000A3121" w:rsidRPr="0088114A" w:rsidRDefault="006B0147" w:rsidP="002819EF">
            <w:pPr>
              <w:spacing w:before="120"/>
            </w:pPr>
            <w:r>
              <w:t>DVA War Widows Pension &amp; Income Support Supplement</w:t>
            </w:r>
          </w:p>
        </w:tc>
      </w:tr>
      <w:tr w:rsidR="000A3121" w:rsidRPr="0088114A" w14:paraId="0F59CD96"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A83AB19" w14:textId="77777777" w:rsidR="000A3121" w:rsidRPr="00E87AAA" w:rsidRDefault="000A3121" w:rsidP="00E164DA">
            <w:pPr>
              <w:pStyle w:val="Instructions"/>
            </w:pPr>
            <w:r w:rsidRPr="00E87AAA">
              <w:t>Explanation</w:t>
            </w:r>
          </w:p>
        </w:tc>
        <w:tc>
          <w:tcPr>
            <w:tcW w:w="6798" w:type="dxa"/>
            <w:shd w:val="clear" w:color="auto" w:fill="auto"/>
          </w:tcPr>
          <w:p w14:paraId="1847A38B" w14:textId="77777777" w:rsidR="000A3121" w:rsidRPr="0088114A" w:rsidRDefault="000A3121" w:rsidP="002819EF">
            <w:pPr>
              <w:spacing w:before="120"/>
              <w:rPr>
                <w:sz w:val="18"/>
                <w:szCs w:val="18"/>
                <w:highlight w:val="yellow"/>
              </w:rPr>
            </w:pPr>
          </w:p>
        </w:tc>
      </w:tr>
      <w:tr w:rsidR="000A3121" w:rsidRPr="00E87AAA" w14:paraId="567C960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330AEEA" w14:textId="77777777" w:rsidR="000A3121" w:rsidRPr="00E87AAA" w:rsidRDefault="000A3121" w:rsidP="00E164DA">
            <w:pPr>
              <w:pStyle w:val="Instructions"/>
            </w:pPr>
            <w:r w:rsidRPr="00E87AAA">
              <w:t>In your Best Interest</w:t>
            </w:r>
          </w:p>
        </w:tc>
        <w:tc>
          <w:tcPr>
            <w:tcW w:w="6798" w:type="dxa"/>
            <w:shd w:val="clear" w:color="auto" w:fill="auto"/>
          </w:tcPr>
          <w:p w14:paraId="7DB2FC0E" w14:textId="77777777" w:rsidR="000A3121" w:rsidRPr="00E87AAA" w:rsidRDefault="000A3121" w:rsidP="002819EF">
            <w:pPr>
              <w:spacing w:before="120"/>
              <w:jc w:val="left"/>
              <w:rPr>
                <w:sz w:val="18"/>
                <w:szCs w:val="18"/>
                <w:highlight w:val="yellow"/>
              </w:rPr>
            </w:pPr>
          </w:p>
        </w:tc>
      </w:tr>
      <w:tr w:rsidR="000A3121" w:rsidRPr="00E87AAA" w14:paraId="395D591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4938AF2" w14:textId="77777777" w:rsidR="000A3121" w:rsidRPr="00E87AAA" w:rsidRDefault="000A3121" w:rsidP="00E164DA">
            <w:pPr>
              <w:pStyle w:val="Instructions"/>
            </w:pPr>
            <w:r>
              <w:t>Further Detail</w:t>
            </w:r>
          </w:p>
        </w:tc>
        <w:tc>
          <w:tcPr>
            <w:tcW w:w="6798" w:type="dxa"/>
            <w:shd w:val="clear" w:color="auto" w:fill="auto"/>
          </w:tcPr>
          <w:p w14:paraId="4E8E4F7D" w14:textId="77777777" w:rsidR="006B0147" w:rsidRPr="005F763D" w:rsidRDefault="006B0147" w:rsidP="006B0147">
            <w:pPr>
              <w:jc w:val="left"/>
            </w:pPr>
            <w:r w:rsidRPr="005F763D">
              <w:t>You are currently receiving War widow pension of $</w:t>
            </w:r>
            <w:r w:rsidRPr="005F763D">
              <w:rPr>
                <w:color w:val="FF0000"/>
              </w:rPr>
              <w:t>[_</w:t>
            </w:r>
            <w:proofErr w:type="gramStart"/>
            <w:r w:rsidRPr="005F763D">
              <w:rPr>
                <w:color w:val="FF0000"/>
              </w:rPr>
              <w:t>_,_</w:t>
            </w:r>
            <w:proofErr w:type="gramEnd"/>
            <w:r w:rsidRPr="005F763D">
              <w:rPr>
                <w:color w:val="FF0000"/>
              </w:rPr>
              <w:t>__]</w:t>
            </w:r>
            <w:r w:rsidRPr="005F763D">
              <w:t xml:space="preserve"> per fortnight ($</w:t>
            </w:r>
            <w:r w:rsidRPr="005F763D">
              <w:rPr>
                <w:color w:val="FF0000"/>
              </w:rPr>
              <w:t>[__,___]</w:t>
            </w:r>
            <w:r w:rsidRPr="005F763D">
              <w:t xml:space="preserve"> per annum). </w:t>
            </w:r>
          </w:p>
          <w:p w14:paraId="448C3E35" w14:textId="77777777" w:rsidR="006B0147" w:rsidRPr="005F763D" w:rsidRDefault="006B0147" w:rsidP="006B0147">
            <w:pPr>
              <w:jc w:val="left"/>
            </w:pPr>
          </w:p>
          <w:p w14:paraId="533B6240" w14:textId="77777777" w:rsidR="006B0147" w:rsidRPr="005F763D" w:rsidRDefault="006B0147" w:rsidP="006B0147">
            <w:pPr>
              <w:jc w:val="left"/>
            </w:pPr>
            <w:r w:rsidRPr="005F763D">
              <w:t xml:space="preserve">Your entitlement based on the test which will result in the lowest payment. As such your Income Support Supplement will be determined under the </w:t>
            </w:r>
            <w:r w:rsidRPr="000D0191">
              <w:rPr>
                <w:color w:val="7030A0"/>
                <w:highlight w:val="yellow"/>
              </w:rPr>
              <w:t>[assets][income]</w:t>
            </w:r>
            <w:r w:rsidRPr="005F763D">
              <w:t xml:space="preserve"> test.</w:t>
            </w:r>
          </w:p>
          <w:p w14:paraId="283519C7" w14:textId="77777777" w:rsidR="006B0147" w:rsidRPr="005F763D" w:rsidRDefault="006B0147" w:rsidP="006B0147">
            <w:pPr>
              <w:jc w:val="left"/>
            </w:pPr>
          </w:p>
          <w:p w14:paraId="182AA9AF" w14:textId="7C50FDF6" w:rsidR="006B0147" w:rsidRPr="005F763D" w:rsidRDefault="006B0147" w:rsidP="006B0147">
            <w:pPr>
              <w:jc w:val="left"/>
            </w:pPr>
            <w:r w:rsidRPr="005F763D">
              <w:t xml:space="preserve">However, you will need to consult with your local Department of Veterans’ Affairs office for </w:t>
            </w:r>
            <w:r>
              <w:t xml:space="preserve">an </w:t>
            </w:r>
            <w:r w:rsidR="007950E9">
              <w:t xml:space="preserve">official </w:t>
            </w:r>
            <w:r w:rsidR="007950E9" w:rsidRPr="005F763D">
              <w:t>determination</w:t>
            </w:r>
            <w:r w:rsidRPr="005F763D">
              <w:t xml:space="preserve"> of your DVA entitlements.</w:t>
            </w:r>
          </w:p>
          <w:p w14:paraId="2B460C94" w14:textId="77777777" w:rsidR="000A3121" w:rsidRPr="00E87AAA" w:rsidRDefault="000A3121" w:rsidP="002819EF">
            <w:pPr>
              <w:spacing w:before="120"/>
              <w:jc w:val="left"/>
              <w:rPr>
                <w:sz w:val="18"/>
                <w:szCs w:val="18"/>
                <w:highlight w:val="yellow"/>
              </w:rPr>
            </w:pPr>
          </w:p>
        </w:tc>
      </w:tr>
    </w:tbl>
    <w:p w14:paraId="3F02E47D" w14:textId="77777777" w:rsidR="000A3121" w:rsidRPr="005F763D" w:rsidRDefault="000A3121" w:rsidP="008C7CE9">
      <w:pPr>
        <w:jc w:val="left"/>
      </w:pPr>
    </w:p>
    <w:p w14:paraId="541D873E" w14:textId="1EF14A76" w:rsidR="007F19BE" w:rsidRDefault="007F19BE" w:rsidP="008C7CE9">
      <w:pPr>
        <w:jc w:val="left"/>
      </w:pPr>
    </w:p>
    <w:p w14:paraId="0BDA3E5A" w14:textId="77777777" w:rsidR="007F19BE" w:rsidRPr="005F763D" w:rsidRDefault="007F19BE" w:rsidP="008C7CE9">
      <w:pPr>
        <w:jc w:val="left"/>
        <w:rPr>
          <w:color w:val="002060"/>
          <w:sz w:val="24"/>
        </w:rPr>
      </w:pPr>
      <w:r w:rsidRPr="005F763D">
        <w:rPr>
          <w:color w:val="002060"/>
          <w:sz w:val="24"/>
        </w:rPr>
        <w:t>Commonwealth Seniors Health Card</w:t>
      </w:r>
    </w:p>
    <w:p w14:paraId="4E96BA97" w14:textId="701258CD"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5BF991EF"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0206BB1"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6D03120" w14:textId="77777777" w:rsidR="000A3121" w:rsidRPr="00E51BEA" w:rsidRDefault="000A3121" w:rsidP="002819EF">
            <w:pPr>
              <w:pStyle w:val="TableHeader2"/>
              <w:rPr>
                <w:rFonts w:ascii="Calibri Light" w:hAnsi="Calibri Light"/>
              </w:rPr>
            </w:pPr>
          </w:p>
        </w:tc>
      </w:tr>
      <w:tr w:rsidR="000A3121" w:rsidRPr="0088114A" w14:paraId="58C20516"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0605A97" w14:textId="77777777" w:rsidR="000A3121" w:rsidRPr="00E87AAA" w:rsidRDefault="000A3121" w:rsidP="00E164DA">
            <w:pPr>
              <w:pStyle w:val="Instructions"/>
            </w:pPr>
            <w:r w:rsidRPr="00E87AAA">
              <w:t>Title</w:t>
            </w:r>
          </w:p>
        </w:tc>
        <w:tc>
          <w:tcPr>
            <w:tcW w:w="6798" w:type="dxa"/>
            <w:shd w:val="clear" w:color="auto" w:fill="auto"/>
          </w:tcPr>
          <w:p w14:paraId="5B800162" w14:textId="608E0367" w:rsidR="000A3121" w:rsidRPr="0088114A" w:rsidRDefault="00037FB4" w:rsidP="002819EF">
            <w:pPr>
              <w:spacing w:before="120"/>
            </w:pPr>
            <w:r>
              <w:t>Commonwealth Seniors Health Card</w:t>
            </w:r>
          </w:p>
        </w:tc>
      </w:tr>
      <w:tr w:rsidR="000A3121" w:rsidRPr="0088114A" w14:paraId="0E0E26B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649F9D5" w14:textId="77777777" w:rsidR="000A3121" w:rsidRPr="00E87AAA" w:rsidRDefault="000A3121" w:rsidP="00E164DA">
            <w:pPr>
              <w:pStyle w:val="Instructions"/>
            </w:pPr>
            <w:r w:rsidRPr="00E87AAA">
              <w:t>Explanation</w:t>
            </w:r>
          </w:p>
        </w:tc>
        <w:tc>
          <w:tcPr>
            <w:tcW w:w="6798" w:type="dxa"/>
            <w:shd w:val="clear" w:color="auto" w:fill="auto"/>
          </w:tcPr>
          <w:p w14:paraId="7F0215E0" w14:textId="77777777" w:rsidR="000A3121" w:rsidRPr="0088114A" w:rsidRDefault="000A3121" w:rsidP="002819EF">
            <w:pPr>
              <w:spacing w:before="120"/>
              <w:rPr>
                <w:sz w:val="18"/>
                <w:szCs w:val="18"/>
                <w:highlight w:val="yellow"/>
              </w:rPr>
            </w:pPr>
          </w:p>
        </w:tc>
      </w:tr>
      <w:tr w:rsidR="000A3121" w:rsidRPr="00E87AAA" w14:paraId="3920C25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FF0FDF2" w14:textId="77777777" w:rsidR="000A3121" w:rsidRPr="00E87AAA" w:rsidRDefault="000A3121" w:rsidP="00E164DA">
            <w:pPr>
              <w:pStyle w:val="Instructions"/>
            </w:pPr>
            <w:r w:rsidRPr="00E87AAA">
              <w:t>In your Best Interest</w:t>
            </w:r>
          </w:p>
        </w:tc>
        <w:tc>
          <w:tcPr>
            <w:tcW w:w="6798" w:type="dxa"/>
            <w:shd w:val="clear" w:color="auto" w:fill="auto"/>
          </w:tcPr>
          <w:p w14:paraId="6B4B0C38" w14:textId="77777777" w:rsidR="000A3121" w:rsidRPr="00E87AAA" w:rsidRDefault="000A3121" w:rsidP="002819EF">
            <w:pPr>
              <w:spacing w:before="120"/>
              <w:jc w:val="left"/>
              <w:rPr>
                <w:sz w:val="18"/>
                <w:szCs w:val="18"/>
                <w:highlight w:val="yellow"/>
              </w:rPr>
            </w:pPr>
          </w:p>
        </w:tc>
      </w:tr>
      <w:tr w:rsidR="000A3121" w:rsidRPr="00E87AAA" w14:paraId="0B104D1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CC8981" w14:textId="77777777" w:rsidR="000A3121" w:rsidRPr="00E87AAA" w:rsidRDefault="000A3121" w:rsidP="00E164DA">
            <w:pPr>
              <w:pStyle w:val="Instructions"/>
            </w:pPr>
            <w:r>
              <w:t>Further Detail</w:t>
            </w:r>
          </w:p>
        </w:tc>
        <w:tc>
          <w:tcPr>
            <w:tcW w:w="6798" w:type="dxa"/>
            <w:shd w:val="clear" w:color="auto" w:fill="auto"/>
          </w:tcPr>
          <w:p w14:paraId="6E13C908" w14:textId="77777777" w:rsidR="00037FB4" w:rsidRPr="005F763D" w:rsidRDefault="00037FB4" w:rsidP="00037FB4">
            <w:pPr>
              <w:jc w:val="left"/>
            </w:pPr>
            <w:r w:rsidRPr="005F763D">
              <w:t>Based on our calculations, you will be entitled to a Commonwealth Seniors Health Card.</w:t>
            </w:r>
          </w:p>
          <w:p w14:paraId="19C3E40C" w14:textId="77777777" w:rsidR="000A3121" w:rsidRPr="00E87AAA" w:rsidRDefault="000A3121" w:rsidP="002819EF">
            <w:pPr>
              <w:spacing w:before="120"/>
              <w:jc w:val="left"/>
              <w:rPr>
                <w:sz w:val="18"/>
                <w:szCs w:val="18"/>
                <w:highlight w:val="yellow"/>
              </w:rPr>
            </w:pPr>
          </w:p>
        </w:tc>
      </w:tr>
    </w:tbl>
    <w:p w14:paraId="0AE5A6CA" w14:textId="77777777" w:rsidR="000A3121" w:rsidRPr="005F763D" w:rsidRDefault="000A3121" w:rsidP="008C7CE9">
      <w:pPr>
        <w:jc w:val="left"/>
      </w:pPr>
    </w:p>
    <w:p w14:paraId="164BA66D" w14:textId="77777777" w:rsidR="007F19BE" w:rsidRPr="005F763D" w:rsidRDefault="007F19BE" w:rsidP="008C7CE9">
      <w:pPr>
        <w:jc w:val="left"/>
        <w:rPr>
          <w:color w:val="002060"/>
          <w:sz w:val="24"/>
        </w:rPr>
      </w:pPr>
      <w:r w:rsidRPr="005F763D">
        <w:rPr>
          <w:color w:val="002060"/>
          <w:sz w:val="24"/>
        </w:rPr>
        <w:t>Health Care Card</w:t>
      </w:r>
    </w:p>
    <w:p w14:paraId="6F3C5F76" w14:textId="094E9598"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1AD96E2"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2D75DA7"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B309415" w14:textId="77777777" w:rsidR="000A3121" w:rsidRPr="00E51BEA" w:rsidRDefault="000A3121" w:rsidP="002819EF">
            <w:pPr>
              <w:pStyle w:val="TableHeader2"/>
              <w:rPr>
                <w:rFonts w:ascii="Calibri Light" w:hAnsi="Calibri Light"/>
              </w:rPr>
            </w:pPr>
          </w:p>
        </w:tc>
      </w:tr>
      <w:tr w:rsidR="000A3121" w:rsidRPr="0088114A" w14:paraId="10D1644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B825137" w14:textId="77777777" w:rsidR="000A3121" w:rsidRPr="00E87AAA" w:rsidRDefault="000A3121" w:rsidP="00E164DA">
            <w:pPr>
              <w:pStyle w:val="Instructions"/>
            </w:pPr>
            <w:r w:rsidRPr="00E87AAA">
              <w:t>Title</w:t>
            </w:r>
          </w:p>
        </w:tc>
        <w:tc>
          <w:tcPr>
            <w:tcW w:w="6798" w:type="dxa"/>
            <w:shd w:val="clear" w:color="auto" w:fill="auto"/>
          </w:tcPr>
          <w:p w14:paraId="31728126" w14:textId="77777777" w:rsidR="000A3121" w:rsidRPr="0088114A" w:rsidRDefault="000A3121" w:rsidP="002819EF">
            <w:pPr>
              <w:spacing w:before="120"/>
            </w:pPr>
          </w:p>
        </w:tc>
      </w:tr>
      <w:tr w:rsidR="000A3121" w:rsidRPr="0088114A" w14:paraId="00BA031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C019B1D" w14:textId="77777777" w:rsidR="000A3121" w:rsidRPr="00E87AAA" w:rsidRDefault="000A3121" w:rsidP="00E164DA">
            <w:pPr>
              <w:pStyle w:val="Instructions"/>
            </w:pPr>
            <w:r w:rsidRPr="00E87AAA">
              <w:t>Explanation</w:t>
            </w:r>
          </w:p>
        </w:tc>
        <w:tc>
          <w:tcPr>
            <w:tcW w:w="6798" w:type="dxa"/>
            <w:shd w:val="clear" w:color="auto" w:fill="auto"/>
          </w:tcPr>
          <w:p w14:paraId="74A889C3" w14:textId="77777777" w:rsidR="000A3121" w:rsidRPr="0088114A" w:rsidRDefault="000A3121" w:rsidP="002819EF">
            <w:pPr>
              <w:spacing w:before="120"/>
              <w:rPr>
                <w:sz w:val="18"/>
                <w:szCs w:val="18"/>
                <w:highlight w:val="yellow"/>
              </w:rPr>
            </w:pPr>
          </w:p>
        </w:tc>
      </w:tr>
      <w:tr w:rsidR="000A3121" w:rsidRPr="00E87AAA" w14:paraId="48DEA6B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B145526" w14:textId="77777777" w:rsidR="000A3121" w:rsidRPr="00E87AAA" w:rsidRDefault="000A3121" w:rsidP="00E164DA">
            <w:pPr>
              <w:pStyle w:val="Instructions"/>
            </w:pPr>
            <w:r w:rsidRPr="00E87AAA">
              <w:t>In your Best Interest</w:t>
            </w:r>
          </w:p>
        </w:tc>
        <w:tc>
          <w:tcPr>
            <w:tcW w:w="6798" w:type="dxa"/>
            <w:shd w:val="clear" w:color="auto" w:fill="auto"/>
          </w:tcPr>
          <w:p w14:paraId="561398ED" w14:textId="77777777" w:rsidR="000A3121" w:rsidRPr="00E87AAA" w:rsidRDefault="000A3121" w:rsidP="002819EF">
            <w:pPr>
              <w:spacing w:before="120"/>
              <w:jc w:val="left"/>
              <w:rPr>
                <w:sz w:val="18"/>
                <w:szCs w:val="18"/>
                <w:highlight w:val="yellow"/>
              </w:rPr>
            </w:pPr>
          </w:p>
        </w:tc>
      </w:tr>
      <w:tr w:rsidR="000A3121" w:rsidRPr="00E87AAA" w14:paraId="5F3FD6B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AECCE5" w14:textId="77777777" w:rsidR="000A3121" w:rsidRPr="00E87AAA" w:rsidRDefault="000A3121" w:rsidP="00E164DA">
            <w:pPr>
              <w:pStyle w:val="Instructions"/>
            </w:pPr>
            <w:r>
              <w:t>Further Detail</w:t>
            </w:r>
          </w:p>
        </w:tc>
        <w:tc>
          <w:tcPr>
            <w:tcW w:w="6798" w:type="dxa"/>
            <w:shd w:val="clear" w:color="auto" w:fill="auto"/>
          </w:tcPr>
          <w:p w14:paraId="2AAC422A" w14:textId="77777777" w:rsidR="00037FB4" w:rsidRPr="005F763D" w:rsidRDefault="00037FB4" w:rsidP="00037FB4">
            <w:pPr>
              <w:jc w:val="left"/>
            </w:pPr>
            <w:r w:rsidRPr="005F763D">
              <w:t>Based on our calculations, you will be entitled to a Health Care Card.</w:t>
            </w:r>
          </w:p>
          <w:p w14:paraId="6CF71DD1" w14:textId="77777777" w:rsidR="000A3121" w:rsidRPr="00E87AAA" w:rsidRDefault="000A3121" w:rsidP="002819EF">
            <w:pPr>
              <w:spacing w:before="120"/>
              <w:jc w:val="left"/>
              <w:rPr>
                <w:sz w:val="18"/>
                <w:szCs w:val="18"/>
                <w:highlight w:val="yellow"/>
              </w:rPr>
            </w:pPr>
          </w:p>
        </w:tc>
      </w:tr>
    </w:tbl>
    <w:p w14:paraId="26CD8D76" w14:textId="77777777" w:rsidR="000A3121" w:rsidRPr="005F763D" w:rsidRDefault="000A3121" w:rsidP="008C7CE9">
      <w:pPr>
        <w:jc w:val="left"/>
      </w:pPr>
    </w:p>
    <w:p w14:paraId="40739D7F" w14:textId="77777777" w:rsidR="007F19BE" w:rsidRPr="005F763D" w:rsidRDefault="007F19BE" w:rsidP="008C7CE9">
      <w:pPr>
        <w:jc w:val="left"/>
        <w:rPr>
          <w:color w:val="002060"/>
          <w:sz w:val="24"/>
        </w:rPr>
      </w:pPr>
      <w:r w:rsidRPr="005F763D">
        <w:rPr>
          <w:color w:val="002060"/>
          <w:sz w:val="24"/>
        </w:rPr>
        <w:t>Pensioner Concession Card</w:t>
      </w:r>
    </w:p>
    <w:p w14:paraId="2E6DF731" w14:textId="467BC388"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D51EBC9"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EA301B4"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E855D1C" w14:textId="77777777" w:rsidR="000A3121" w:rsidRPr="00E51BEA" w:rsidRDefault="000A3121" w:rsidP="002819EF">
            <w:pPr>
              <w:pStyle w:val="TableHeader2"/>
              <w:rPr>
                <w:rFonts w:ascii="Calibri Light" w:hAnsi="Calibri Light"/>
              </w:rPr>
            </w:pPr>
          </w:p>
        </w:tc>
      </w:tr>
      <w:tr w:rsidR="000A3121" w:rsidRPr="0088114A" w14:paraId="074EBA1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ACF7E72" w14:textId="77777777" w:rsidR="000A3121" w:rsidRPr="00E87AAA" w:rsidRDefault="000A3121" w:rsidP="00E164DA">
            <w:pPr>
              <w:pStyle w:val="Instructions"/>
            </w:pPr>
            <w:r w:rsidRPr="00E87AAA">
              <w:t>Title</w:t>
            </w:r>
          </w:p>
        </w:tc>
        <w:tc>
          <w:tcPr>
            <w:tcW w:w="6798" w:type="dxa"/>
            <w:shd w:val="clear" w:color="auto" w:fill="auto"/>
          </w:tcPr>
          <w:p w14:paraId="0532C225" w14:textId="77777777" w:rsidR="000A3121" w:rsidRPr="0088114A" w:rsidRDefault="000A3121" w:rsidP="002819EF">
            <w:pPr>
              <w:spacing w:before="120"/>
            </w:pPr>
          </w:p>
        </w:tc>
      </w:tr>
      <w:tr w:rsidR="000A3121" w:rsidRPr="0088114A" w14:paraId="1DA4738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246DEF9" w14:textId="77777777" w:rsidR="000A3121" w:rsidRPr="00E87AAA" w:rsidRDefault="000A3121" w:rsidP="00E164DA">
            <w:pPr>
              <w:pStyle w:val="Instructions"/>
            </w:pPr>
            <w:r w:rsidRPr="00E87AAA">
              <w:t>Explanation</w:t>
            </w:r>
          </w:p>
        </w:tc>
        <w:tc>
          <w:tcPr>
            <w:tcW w:w="6798" w:type="dxa"/>
            <w:shd w:val="clear" w:color="auto" w:fill="auto"/>
          </w:tcPr>
          <w:p w14:paraId="23E4DAA3" w14:textId="77777777" w:rsidR="000A3121" w:rsidRPr="0088114A" w:rsidRDefault="000A3121" w:rsidP="002819EF">
            <w:pPr>
              <w:spacing w:before="120"/>
              <w:rPr>
                <w:sz w:val="18"/>
                <w:szCs w:val="18"/>
                <w:highlight w:val="yellow"/>
              </w:rPr>
            </w:pPr>
          </w:p>
        </w:tc>
      </w:tr>
      <w:tr w:rsidR="000A3121" w:rsidRPr="00E87AAA" w14:paraId="637159D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8F02954" w14:textId="77777777" w:rsidR="000A3121" w:rsidRPr="00E87AAA" w:rsidRDefault="000A3121" w:rsidP="00E164DA">
            <w:pPr>
              <w:pStyle w:val="Instructions"/>
            </w:pPr>
            <w:r w:rsidRPr="00E87AAA">
              <w:t>In your Best Interest</w:t>
            </w:r>
          </w:p>
        </w:tc>
        <w:tc>
          <w:tcPr>
            <w:tcW w:w="6798" w:type="dxa"/>
            <w:shd w:val="clear" w:color="auto" w:fill="auto"/>
          </w:tcPr>
          <w:p w14:paraId="406E52F5" w14:textId="77777777" w:rsidR="000A3121" w:rsidRPr="00E87AAA" w:rsidRDefault="000A3121" w:rsidP="002819EF">
            <w:pPr>
              <w:spacing w:before="120"/>
              <w:jc w:val="left"/>
              <w:rPr>
                <w:sz w:val="18"/>
                <w:szCs w:val="18"/>
                <w:highlight w:val="yellow"/>
              </w:rPr>
            </w:pPr>
          </w:p>
        </w:tc>
      </w:tr>
      <w:tr w:rsidR="000A3121" w:rsidRPr="00E87AAA" w14:paraId="2B84AF2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E9183D3" w14:textId="77777777" w:rsidR="000A3121" w:rsidRPr="00E87AAA" w:rsidRDefault="000A3121" w:rsidP="00E164DA">
            <w:pPr>
              <w:pStyle w:val="Instructions"/>
            </w:pPr>
            <w:r>
              <w:t>Further Detail</w:t>
            </w:r>
          </w:p>
        </w:tc>
        <w:tc>
          <w:tcPr>
            <w:tcW w:w="6798" w:type="dxa"/>
            <w:shd w:val="clear" w:color="auto" w:fill="auto"/>
          </w:tcPr>
          <w:p w14:paraId="549248E6" w14:textId="77777777" w:rsidR="00037FB4" w:rsidRPr="005F763D" w:rsidRDefault="00037FB4" w:rsidP="00037FB4">
            <w:pPr>
              <w:jc w:val="left"/>
            </w:pPr>
            <w:r w:rsidRPr="005F763D">
              <w:t>Based on our projections, you will be entitled to a Pensioner Concession Card as you are a recipient of a Centrelink pension.</w:t>
            </w:r>
          </w:p>
          <w:p w14:paraId="7F7AF7E3" w14:textId="77777777" w:rsidR="000A3121" w:rsidRPr="00E87AAA" w:rsidRDefault="000A3121" w:rsidP="002819EF">
            <w:pPr>
              <w:spacing w:before="120"/>
              <w:jc w:val="left"/>
              <w:rPr>
                <w:sz w:val="18"/>
                <w:szCs w:val="18"/>
                <w:highlight w:val="yellow"/>
              </w:rPr>
            </w:pPr>
          </w:p>
        </w:tc>
      </w:tr>
    </w:tbl>
    <w:p w14:paraId="150906A2" w14:textId="77777777" w:rsidR="000A3121" w:rsidRPr="005F763D" w:rsidRDefault="000A3121" w:rsidP="008C7CE9">
      <w:pPr>
        <w:jc w:val="left"/>
      </w:pPr>
    </w:p>
    <w:p w14:paraId="59F80957" w14:textId="77777777" w:rsidR="007F19BE" w:rsidRPr="005F763D" w:rsidRDefault="007F19BE" w:rsidP="008C7CE9">
      <w:pPr>
        <w:jc w:val="left"/>
      </w:pPr>
    </w:p>
    <w:p w14:paraId="1B8B3389" w14:textId="77777777" w:rsidR="00B27543" w:rsidRPr="005F763D" w:rsidRDefault="00961112" w:rsidP="008C7CE9">
      <w:pPr>
        <w:jc w:val="left"/>
      </w:pPr>
      <w:r w:rsidRPr="005F763D">
        <w:br w:type="page"/>
      </w:r>
    </w:p>
    <w:p w14:paraId="1810B339" w14:textId="77777777" w:rsidR="00325928" w:rsidRDefault="00325928" w:rsidP="0008751D">
      <w:pPr>
        <w:pStyle w:val="Heading2"/>
        <w:sectPr w:rsidR="00325928" w:rsidSect="008C0AC7">
          <w:type w:val="continuous"/>
          <w:pgSz w:w="11906" w:h="16838" w:code="9"/>
          <w:pgMar w:top="1134" w:right="566" w:bottom="426" w:left="709" w:header="567" w:footer="95" w:gutter="0"/>
          <w:cols w:space="708"/>
          <w:docGrid w:linePitch="360"/>
        </w:sectPr>
      </w:pPr>
      <w:bookmarkStart w:id="84" w:name="_Toc377642876"/>
    </w:p>
    <w:p w14:paraId="4644DBF2" w14:textId="46FDBEE7" w:rsidR="00B27543" w:rsidRPr="005F763D" w:rsidRDefault="00FA7C81" w:rsidP="0008751D">
      <w:pPr>
        <w:pStyle w:val="Heading2"/>
      </w:pPr>
      <w:bookmarkStart w:id="85" w:name="_Toc46236031"/>
      <w:r>
        <w:lastRenderedPageBreak/>
        <w:t xml:space="preserve">Entity </w:t>
      </w:r>
      <w:r w:rsidR="00B27543" w:rsidRPr="005F763D">
        <w:t>Structur</w:t>
      </w:r>
      <w:r>
        <w:t>ing</w:t>
      </w:r>
      <w:bookmarkEnd w:id="84"/>
      <w:bookmarkEnd w:id="85"/>
    </w:p>
    <w:p w14:paraId="5AB6B033" w14:textId="77777777" w:rsidR="00B32B8F" w:rsidRPr="005F763D" w:rsidRDefault="00B32B8F" w:rsidP="008C7CE9">
      <w:pPr>
        <w:jc w:val="left"/>
      </w:pPr>
    </w:p>
    <w:p w14:paraId="2D9273D6" w14:textId="77777777" w:rsidR="00D06163" w:rsidRPr="005F763D" w:rsidRDefault="00D06163" w:rsidP="008C7CE9">
      <w:pPr>
        <w:jc w:val="left"/>
        <w:rPr>
          <w:color w:val="002060"/>
          <w:sz w:val="24"/>
        </w:rPr>
      </w:pPr>
      <w:bookmarkStart w:id="86" w:name="_Toc244656349"/>
      <w:r w:rsidRPr="005F763D">
        <w:rPr>
          <w:color w:val="002060"/>
          <w:sz w:val="24"/>
        </w:rPr>
        <w:t>Company</w:t>
      </w:r>
    </w:p>
    <w:p w14:paraId="6672B461" w14:textId="6679142B"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20818EA"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C974F9A"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3D5897C" w14:textId="77777777" w:rsidR="000A3121" w:rsidRPr="00E51BEA" w:rsidRDefault="000A3121" w:rsidP="002819EF">
            <w:pPr>
              <w:pStyle w:val="TableHeader2"/>
              <w:rPr>
                <w:rFonts w:ascii="Calibri Light" w:hAnsi="Calibri Light"/>
              </w:rPr>
            </w:pPr>
          </w:p>
        </w:tc>
      </w:tr>
      <w:tr w:rsidR="000A3121" w:rsidRPr="0088114A" w14:paraId="0DA7E50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B08BB3" w14:textId="77777777" w:rsidR="000A3121" w:rsidRPr="00E87AAA" w:rsidRDefault="000A3121" w:rsidP="00E164DA">
            <w:pPr>
              <w:pStyle w:val="Instructions"/>
            </w:pPr>
            <w:r w:rsidRPr="00E87AAA">
              <w:t>Title</w:t>
            </w:r>
          </w:p>
        </w:tc>
        <w:tc>
          <w:tcPr>
            <w:tcW w:w="6798" w:type="dxa"/>
            <w:shd w:val="clear" w:color="auto" w:fill="auto"/>
          </w:tcPr>
          <w:p w14:paraId="0EEBF879" w14:textId="10195FBF" w:rsidR="000A3121" w:rsidRPr="0088114A" w:rsidRDefault="0091764E" w:rsidP="002819EF">
            <w:pPr>
              <w:spacing w:before="120"/>
            </w:pPr>
            <w:r>
              <w:t>Establish a Company</w:t>
            </w:r>
          </w:p>
        </w:tc>
      </w:tr>
      <w:tr w:rsidR="000A3121" w:rsidRPr="0088114A" w14:paraId="7E6CC34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D0A3F81" w14:textId="77777777" w:rsidR="000A3121" w:rsidRPr="00E87AAA" w:rsidRDefault="000A3121" w:rsidP="00E164DA">
            <w:pPr>
              <w:pStyle w:val="Instructions"/>
            </w:pPr>
            <w:r w:rsidRPr="00E87AAA">
              <w:t>Explanation</w:t>
            </w:r>
          </w:p>
        </w:tc>
        <w:tc>
          <w:tcPr>
            <w:tcW w:w="6798" w:type="dxa"/>
            <w:shd w:val="clear" w:color="auto" w:fill="auto"/>
          </w:tcPr>
          <w:p w14:paraId="246BB38C" w14:textId="6C5D7BDB" w:rsidR="0091764E" w:rsidRPr="005F763D" w:rsidRDefault="0091764E" w:rsidP="0091764E">
            <w:pPr>
              <w:jc w:val="left"/>
            </w:pPr>
            <w:r w:rsidRPr="001345C5">
              <w:t>We recommend you consider establishing a Company</w:t>
            </w:r>
            <w:r w:rsidR="007E2303">
              <w:t>_</w:t>
            </w:r>
            <w:r>
              <w:t xml:space="preserve"> </w:t>
            </w:r>
            <w:r w:rsidRPr="002C5102">
              <w:rPr>
                <w:color w:val="7030A0"/>
                <w:highlight w:val="yellow"/>
              </w:rPr>
              <w:t>[Company Name]</w:t>
            </w:r>
            <w:r w:rsidR="007E2303">
              <w:rPr>
                <w:color w:val="7030A0"/>
              </w:rPr>
              <w:t xml:space="preserve"> to own </w:t>
            </w:r>
            <w:r w:rsidR="007E2303" w:rsidRPr="000D0191">
              <w:rPr>
                <w:color w:val="7030A0"/>
                <w:highlight w:val="yellow"/>
              </w:rPr>
              <w:t>[investment]</w:t>
            </w:r>
          </w:p>
          <w:p w14:paraId="0D332706" w14:textId="0C50E215" w:rsidR="000A3121" w:rsidRPr="0088114A" w:rsidRDefault="0091764E" w:rsidP="0091764E">
            <w:pPr>
              <w:spacing w:before="120"/>
              <w:rPr>
                <w:sz w:val="18"/>
                <w:szCs w:val="18"/>
                <w:highlight w:val="yellow"/>
              </w:rPr>
            </w:pPr>
            <w:r w:rsidRPr="001345C5">
              <w:t xml:space="preserve">The structure should be: </w:t>
            </w:r>
            <w:r w:rsidRPr="004C284B">
              <w:rPr>
                <w:color w:val="7030A0"/>
                <w:highlight w:val="yellow"/>
              </w:rPr>
              <w:t>[</w:t>
            </w:r>
            <w:r w:rsidR="007950E9" w:rsidRPr="004C284B">
              <w:rPr>
                <w:color w:val="7030A0"/>
                <w:highlight w:val="yellow"/>
              </w:rPr>
              <w:t>proprietary</w:t>
            </w:r>
            <w:r w:rsidRPr="004C284B">
              <w:rPr>
                <w:color w:val="7030A0"/>
                <w:highlight w:val="yellow"/>
              </w:rPr>
              <w:t xml:space="preserve"> limited], [unlimited], [limited by guarantee], [limited liability partnership]</w:t>
            </w:r>
          </w:p>
        </w:tc>
      </w:tr>
      <w:tr w:rsidR="000A3121" w:rsidRPr="00E87AAA" w14:paraId="030AAF3C"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D8D7508" w14:textId="77777777" w:rsidR="000A3121" w:rsidRPr="00E87AAA" w:rsidRDefault="000A3121" w:rsidP="00E164DA">
            <w:pPr>
              <w:pStyle w:val="Instructions"/>
            </w:pPr>
            <w:r w:rsidRPr="00E87AAA">
              <w:t>In your Best Interest</w:t>
            </w:r>
          </w:p>
        </w:tc>
        <w:tc>
          <w:tcPr>
            <w:tcW w:w="6798" w:type="dxa"/>
            <w:shd w:val="clear" w:color="auto" w:fill="auto"/>
          </w:tcPr>
          <w:p w14:paraId="26CF8AC0" w14:textId="77777777" w:rsidR="000A3121" w:rsidRPr="00E87AAA" w:rsidRDefault="000A3121" w:rsidP="002819EF">
            <w:pPr>
              <w:spacing w:before="120"/>
              <w:jc w:val="left"/>
              <w:rPr>
                <w:sz w:val="18"/>
                <w:szCs w:val="18"/>
                <w:highlight w:val="yellow"/>
              </w:rPr>
            </w:pPr>
          </w:p>
        </w:tc>
      </w:tr>
      <w:tr w:rsidR="000A3121" w:rsidRPr="00E87AAA" w14:paraId="480D50E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F14F36" w14:textId="77777777" w:rsidR="000A3121" w:rsidRPr="00E87AAA" w:rsidRDefault="000A3121" w:rsidP="00E164DA">
            <w:pPr>
              <w:pStyle w:val="Instructions"/>
            </w:pPr>
            <w:r>
              <w:t>Further Detail</w:t>
            </w:r>
          </w:p>
        </w:tc>
        <w:tc>
          <w:tcPr>
            <w:tcW w:w="6798" w:type="dxa"/>
            <w:shd w:val="clear" w:color="auto" w:fill="auto"/>
          </w:tcPr>
          <w:p w14:paraId="30732DA4" w14:textId="77777777" w:rsidR="00765B4A" w:rsidRDefault="004C284B" w:rsidP="004C284B">
            <w:pPr>
              <w:jc w:val="left"/>
            </w:pPr>
            <w:r w:rsidRPr="005F763D">
              <w:t xml:space="preserve">A Company is a separate legal entity which has the right to sue and be sued in its own name and the right to hold, deal and dispose of assets. </w:t>
            </w:r>
          </w:p>
          <w:p w14:paraId="650ABA99" w14:textId="77777777" w:rsidR="00765B4A" w:rsidRDefault="00765B4A" w:rsidP="004C284B">
            <w:pPr>
              <w:jc w:val="left"/>
            </w:pPr>
          </w:p>
          <w:p w14:paraId="1C8B2CB8" w14:textId="2231A16E" w:rsidR="004C284B" w:rsidRDefault="004C284B" w:rsidP="004C284B">
            <w:pPr>
              <w:jc w:val="left"/>
            </w:pPr>
            <w:r w:rsidRPr="00E11BDB">
              <w:t>Ownership of a Company is held by way of shares that accord voting rights, and shareholders have the right to elect directors who formulate company policy.</w:t>
            </w:r>
          </w:p>
          <w:p w14:paraId="0CD04AC3" w14:textId="77777777" w:rsidR="004C284B" w:rsidRPr="005F763D" w:rsidRDefault="004C284B" w:rsidP="004C284B">
            <w:pPr>
              <w:jc w:val="left"/>
            </w:pPr>
          </w:p>
          <w:p w14:paraId="6171B71C" w14:textId="77777777" w:rsidR="004C284B" w:rsidRPr="001345C5" w:rsidRDefault="004C284B" w:rsidP="004C284B">
            <w:pPr>
              <w:jc w:val="left"/>
            </w:pPr>
            <w:r w:rsidRPr="001345C5">
              <w:t>The typical benefits of using a company structure are:</w:t>
            </w:r>
          </w:p>
          <w:p w14:paraId="628A9B3D" w14:textId="77777777" w:rsidR="004C284B" w:rsidRPr="001345C5" w:rsidRDefault="004C284B" w:rsidP="003812CB">
            <w:pPr>
              <w:numPr>
                <w:ilvl w:val="0"/>
                <w:numId w:val="32"/>
              </w:numPr>
              <w:spacing w:after="120"/>
              <w:ind w:left="458" w:hanging="425"/>
              <w:jc w:val="left"/>
              <w:rPr>
                <w:szCs w:val="20"/>
              </w:rPr>
            </w:pPr>
            <w:r w:rsidRPr="001345C5">
              <w:rPr>
                <w:szCs w:val="20"/>
              </w:rPr>
              <w:t>A Company’s income is taxed at a relatively low flat rate of 30%.</w:t>
            </w:r>
          </w:p>
          <w:p w14:paraId="7A726CD7" w14:textId="77777777" w:rsidR="004C284B" w:rsidRPr="001345C5" w:rsidRDefault="004C284B" w:rsidP="003812CB">
            <w:pPr>
              <w:numPr>
                <w:ilvl w:val="0"/>
                <w:numId w:val="32"/>
              </w:numPr>
              <w:spacing w:after="120"/>
              <w:ind w:left="458" w:hanging="425"/>
              <w:jc w:val="left"/>
              <w:rPr>
                <w:szCs w:val="20"/>
              </w:rPr>
            </w:pPr>
            <w:r w:rsidRPr="001345C5">
              <w:rPr>
                <w:szCs w:val="20"/>
              </w:rPr>
              <w:t>A Company can be established with limited liability. However, it should be noted that, if a breach of director’s duties occurs, the director may become personally liable.</w:t>
            </w:r>
          </w:p>
          <w:p w14:paraId="12C673B6" w14:textId="77777777" w:rsidR="004C284B" w:rsidRPr="001345C5" w:rsidRDefault="004C284B" w:rsidP="003812CB">
            <w:pPr>
              <w:numPr>
                <w:ilvl w:val="0"/>
                <w:numId w:val="32"/>
              </w:numPr>
              <w:spacing w:after="120"/>
              <w:ind w:left="458" w:hanging="425"/>
              <w:jc w:val="left"/>
              <w:rPr>
                <w:szCs w:val="20"/>
              </w:rPr>
            </w:pPr>
            <w:r w:rsidRPr="001345C5">
              <w:rPr>
                <w:szCs w:val="20"/>
              </w:rPr>
              <w:t>Shareholders can receive franked dividends. This may provide a significant tax benefits if the dividends are paid in a year where shareholders have a lower marginal tax rate (i.e. retirement).</w:t>
            </w:r>
          </w:p>
          <w:p w14:paraId="6251CD7B" w14:textId="114E8944" w:rsidR="004C284B" w:rsidRPr="001345C5" w:rsidRDefault="004C284B" w:rsidP="003812CB">
            <w:pPr>
              <w:numPr>
                <w:ilvl w:val="0"/>
                <w:numId w:val="32"/>
              </w:numPr>
              <w:spacing w:after="120"/>
              <w:ind w:left="458" w:hanging="425"/>
              <w:jc w:val="left"/>
              <w:rPr>
                <w:szCs w:val="20"/>
              </w:rPr>
            </w:pPr>
            <w:r w:rsidRPr="001345C5">
              <w:rPr>
                <w:szCs w:val="20"/>
              </w:rPr>
              <w:t xml:space="preserve">A Company can claim a full tax deduction for </w:t>
            </w:r>
            <w:r w:rsidR="00396993" w:rsidRPr="001345C5">
              <w:rPr>
                <w:szCs w:val="20"/>
              </w:rPr>
              <w:t>employee</w:t>
            </w:r>
            <w:r w:rsidRPr="001345C5">
              <w:rPr>
                <w:szCs w:val="20"/>
              </w:rPr>
              <w:t xml:space="preserve"> superannuation contributions</w:t>
            </w:r>
          </w:p>
          <w:p w14:paraId="7744C2A5" w14:textId="77777777" w:rsidR="004C284B" w:rsidRPr="001345C5" w:rsidRDefault="004C284B" w:rsidP="003812CB">
            <w:pPr>
              <w:numPr>
                <w:ilvl w:val="0"/>
                <w:numId w:val="32"/>
              </w:numPr>
              <w:spacing w:after="120"/>
              <w:ind w:left="458" w:hanging="425"/>
              <w:jc w:val="left"/>
              <w:rPr>
                <w:szCs w:val="20"/>
              </w:rPr>
            </w:pPr>
            <w:r w:rsidRPr="001345C5">
              <w:rPr>
                <w:szCs w:val="20"/>
              </w:rPr>
              <w:t>A Company can stream pre-tax income by the payment of reasonable salaries.</w:t>
            </w:r>
          </w:p>
          <w:p w14:paraId="23EC216A" w14:textId="77777777" w:rsidR="004C284B" w:rsidRPr="001345C5" w:rsidRDefault="004C284B" w:rsidP="003812CB">
            <w:pPr>
              <w:numPr>
                <w:ilvl w:val="0"/>
                <w:numId w:val="32"/>
              </w:numPr>
              <w:spacing w:after="120"/>
              <w:ind w:left="458" w:hanging="425"/>
              <w:jc w:val="left"/>
              <w:rPr>
                <w:szCs w:val="20"/>
              </w:rPr>
            </w:pPr>
            <w:r w:rsidRPr="001345C5">
              <w:rPr>
                <w:szCs w:val="20"/>
              </w:rPr>
              <w:t>A Company can stream post-tax income through the use of different classes of shares. This allows franked dividends to be distributed to shareholders who can best utilise franking credits (i.e. those on the lowest marginal tax rate).</w:t>
            </w:r>
          </w:p>
          <w:p w14:paraId="34CAA185" w14:textId="77777777" w:rsidR="004C284B" w:rsidRPr="001345C5" w:rsidRDefault="004C284B" w:rsidP="003812CB">
            <w:pPr>
              <w:numPr>
                <w:ilvl w:val="0"/>
                <w:numId w:val="32"/>
              </w:numPr>
              <w:spacing w:after="120"/>
              <w:ind w:left="458" w:hanging="425"/>
              <w:jc w:val="left"/>
              <w:rPr>
                <w:szCs w:val="20"/>
              </w:rPr>
            </w:pPr>
            <w:r w:rsidRPr="001345C5">
              <w:rPr>
                <w:szCs w:val="20"/>
              </w:rPr>
              <w:t>A Company that carries on a business and has shareholders with a significant interest can make maximum use of the CGT small business concessions.</w:t>
            </w:r>
          </w:p>
          <w:p w14:paraId="5CA34621" w14:textId="3E8FFC4F" w:rsidR="004C284B" w:rsidRPr="001345C5" w:rsidRDefault="004C284B" w:rsidP="003812CB">
            <w:pPr>
              <w:numPr>
                <w:ilvl w:val="0"/>
                <w:numId w:val="32"/>
              </w:numPr>
              <w:spacing w:after="120"/>
              <w:ind w:left="458" w:hanging="425"/>
              <w:jc w:val="left"/>
              <w:rPr>
                <w:szCs w:val="20"/>
              </w:rPr>
            </w:pPr>
            <w:r w:rsidRPr="001345C5">
              <w:rPr>
                <w:szCs w:val="20"/>
              </w:rPr>
              <w:t>A Company can provide fringe benefits to its employees, including directors, which allows employees to take advantage of concessionally taxed fringe benefits (e.g. company cars, mobile phones, lap top computers).</w:t>
            </w:r>
          </w:p>
          <w:p w14:paraId="34CF2889" w14:textId="77777777" w:rsidR="00765B4A" w:rsidRPr="001345C5" w:rsidRDefault="00765B4A" w:rsidP="00765B4A">
            <w:pPr>
              <w:spacing w:after="120"/>
              <w:ind w:left="458"/>
              <w:jc w:val="left"/>
              <w:rPr>
                <w:szCs w:val="20"/>
              </w:rPr>
            </w:pPr>
          </w:p>
          <w:p w14:paraId="4DB6B089" w14:textId="77777777" w:rsidR="00765B4A" w:rsidRPr="005F763D" w:rsidRDefault="00765B4A" w:rsidP="00765B4A">
            <w:pPr>
              <w:jc w:val="left"/>
            </w:pPr>
            <w:r w:rsidRPr="001345C5">
              <w:t>The typical disadvantages of a company structure are:</w:t>
            </w:r>
          </w:p>
          <w:p w14:paraId="749F501B" w14:textId="77777777" w:rsidR="00765B4A" w:rsidRPr="002E1234" w:rsidRDefault="00765B4A" w:rsidP="003812CB">
            <w:pPr>
              <w:numPr>
                <w:ilvl w:val="0"/>
                <w:numId w:val="32"/>
              </w:numPr>
              <w:spacing w:after="120"/>
              <w:jc w:val="left"/>
              <w:rPr>
                <w:szCs w:val="20"/>
              </w:rPr>
            </w:pPr>
            <w:r w:rsidRPr="002E1234">
              <w:rPr>
                <w:szCs w:val="20"/>
              </w:rPr>
              <w:t xml:space="preserve">A Company has higher set up costs than other structures. </w:t>
            </w:r>
          </w:p>
          <w:p w14:paraId="1ED121EF" w14:textId="027E387E" w:rsidR="00765B4A" w:rsidRPr="002E1234" w:rsidRDefault="00396993" w:rsidP="003812CB">
            <w:pPr>
              <w:numPr>
                <w:ilvl w:val="0"/>
                <w:numId w:val="32"/>
              </w:numPr>
              <w:spacing w:after="120"/>
              <w:jc w:val="left"/>
              <w:rPr>
                <w:szCs w:val="20"/>
              </w:rPr>
            </w:pPr>
            <w:r w:rsidRPr="002E1234">
              <w:rPr>
                <w:szCs w:val="20"/>
              </w:rPr>
              <w:t>Generally,</w:t>
            </w:r>
            <w:r w:rsidR="00765B4A" w:rsidRPr="002E1234">
              <w:rPr>
                <w:szCs w:val="20"/>
              </w:rPr>
              <w:t xml:space="preserve"> a Company can be set up for approximately $1,000 if purchasing an existing company from an accountant and takes approximately 24 hours to obtain (the Company will not have previously traded – it established exactly for this purpose).  </w:t>
            </w:r>
          </w:p>
          <w:p w14:paraId="580F86B2" w14:textId="77777777" w:rsidR="00765B4A" w:rsidRPr="002E1234" w:rsidRDefault="00765B4A" w:rsidP="003812CB">
            <w:pPr>
              <w:numPr>
                <w:ilvl w:val="0"/>
                <w:numId w:val="32"/>
              </w:numPr>
              <w:spacing w:after="120"/>
              <w:jc w:val="left"/>
              <w:rPr>
                <w:szCs w:val="20"/>
              </w:rPr>
            </w:pPr>
            <w:r w:rsidRPr="002E1234">
              <w:rPr>
                <w:szCs w:val="20"/>
              </w:rPr>
              <w:t>A company allows the deferral of tax, but ultimately a dividend must be paid to access the funds inside the company. Additional tax may be payable at that time.</w:t>
            </w:r>
          </w:p>
          <w:p w14:paraId="66AF2F55" w14:textId="77777777" w:rsidR="00765B4A" w:rsidRPr="002E1234" w:rsidRDefault="00765B4A" w:rsidP="003812CB">
            <w:pPr>
              <w:numPr>
                <w:ilvl w:val="0"/>
                <w:numId w:val="32"/>
              </w:numPr>
              <w:spacing w:after="120"/>
              <w:jc w:val="left"/>
              <w:rPr>
                <w:szCs w:val="20"/>
              </w:rPr>
            </w:pPr>
            <w:r w:rsidRPr="002E1234">
              <w:rPr>
                <w:szCs w:val="20"/>
              </w:rPr>
              <w:t>Ongoing administrative requirements. Need to lodge a separate tax return and maintain a separate bank account.</w:t>
            </w:r>
          </w:p>
          <w:p w14:paraId="69B7B375" w14:textId="77777777" w:rsidR="00765B4A" w:rsidRPr="002E1234" w:rsidRDefault="00765B4A" w:rsidP="003812CB">
            <w:pPr>
              <w:numPr>
                <w:ilvl w:val="0"/>
                <w:numId w:val="32"/>
              </w:numPr>
              <w:spacing w:after="120"/>
              <w:jc w:val="left"/>
              <w:rPr>
                <w:szCs w:val="20"/>
              </w:rPr>
            </w:pPr>
            <w:r w:rsidRPr="002E1234">
              <w:rPr>
                <w:szCs w:val="20"/>
              </w:rPr>
              <w:lastRenderedPageBreak/>
              <w:t>Losses incurred are trapped within the Company. Only the Company can carry these losses forward.</w:t>
            </w:r>
          </w:p>
          <w:p w14:paraId="476C78B4" w14:textId="77777777" w:rsidR="00765B4A" w:rsidRPr="002E1234" w:rsidRDefault="00765B4A" w:rsidP="003812CB">
            <w:pPr>
              <w:numPr>
                <w:ilvl w:val="0"/>
                <w:numId w:val="32"/>
              </w:numPr>
              <w:spacing w:after="120"/>
              <w:jc w:val="left"/>
              <w:rPr>
                <w:szCs w:val="20"/>
              </w:rPr>
            </w:pPr>
            <w:r w:rsidRPr="002E1234">
              <w:rPr>
                <w:szCs w:val="20"/>
              </w:rPr>
              <w:t>A Company cannot utilise the general 50% CGT discount on assets held for 12 months or more.</w:t>
            </w:r>
          </w:p>
          <w:p w14:paraId="0378B03A" w14:textId="77777777" w:rsidR="000A3121" w:rsidRPr="00E87AAA" w:rsidRDefault="000A3121" w:rsidP="002819EF">
            <w:pPr>
              <w:spacing w:before="120"/>
              <w:jc w:val="left"/>
              <w:rPr>
                <w:sz w:val="18"/>
                <w:szCs w:val="18"/>
                <w:highlight w:val="yellow"/>
              </w:rPr>
            </w:pPr>
          </w:p>
        </w:tc>
      </w:tr>
    </w:tbl>
    <w:p w14:paraId="4E07A749" w14:textId="77777777" w:rsidR="000A3121" w:rsidRPr="005F763D" w:rsidRDefault="000A3121" w:rsidP="008C7CE9">
      <w:pPr>
        <w:jc w:val="left"/>
      </w:pPr>
    </w:p>
    <w:p w14:paraId="707FB23C" w14:textId="77777777" w:rsidR="00D06163" w:rsidRPr="005F763D" w:rsidRDefault="00D06163" w:rsidP="008C7CE9">
      <w:pPr>
        <w:jc w:val="left"/>
      </w:pPr>
    </w:p>
    <w:p w14:paraId="1E063E33" w14:textId="77777777" w:rsidR="00D06163" w:rsidRPr="005F763D" w:rsidRDefault="00D06163" w:rsidP="008C7CE9">
      <w:pPr>
        <w:jc w:val="left"/>
      </w:pPr>
    </w:p>
    <w:p w14:paraId="656C0397" w14:textId="77777777" w:rsidR="00D06163" w:rsidRPr="005F763D" w:rsidRDefault="00D06163" w:rsidP="008C7CE9">
      <w:pPr>
        <w:jc w:val="left"/>
      </w:pPr>
    </w:p>
    <w:p w14:paraId="1240CDB0" w14:textId="77777777" w:rsidR="00D06163" w:rsidRPr="005F763D" w:rsidRDefault="00D06163" w:rsidP="008C7CE9">
      <w:pPr>
        <w:jc w:val="left"/>
      </w:pPr>
    </w:p>
    <w:bookmarkEnd w:id="86"/>
    <w:p w14:paraId="5B1FA331" w14:textId="65D10DB7" w:rsidR="00D06163" w:rsidRPr="005F763D" w:rsidRDefault="00D06163" w:rsidP="008C7CE9">
      <w:pPr>
        <w:jc w:val="left"/>
        <w:rPr>
          <w:color w:val="002060"/>
          <w:sz w:val="24"/>
        </w:rPr>
      </w:pPr>
      <w:r w:rsidRPr="005F763D">
        <w:rPr>
          <w:color w:val="002060"/>
          <w:sz w:val="24"/>
        </w:rPr>
        <w:t>Trust</w:t>
      </w:r>
    </w:p>
    <w:p w14:paraId="67C47FDE" w14:textId="17EABAB4"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6B2263" w:rsidRPr="00E51BEA" w14:paraId="324AAEBA"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8E73FB9" w14:textId="77777777" w:rsidR="006B2263" w:rsidRPr="00AA2CC6" w:rsidRDefault="006B2263"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A8458AD" w14:textId="77777777" w:rsidR="006B2263" w:rsidRPr="00E51BEA" w:rsidRDefault="006B2263" w:rsidP="002819EF">
            <w:pPr>
              <w:pStyle w:val="TableHeader2"/>
              <w:rPr>
                <w:rFonts w:ascii="Calibri Light" w:hAnsi="Calibri Light"/>
              </w:rPr>
            </w:pPr>
          </w:p>
        </w:tc>
      </w:tr>
      <w:tr w:rsidR="006B2263" w:rsidRPr="0088114A" w14:paraId="632DB9D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1DF327" w14:textId="77777777" w:rsidR="006B2263" w:rsidRPr="00E87AAA" w:rsidRDefault="006B2263" w:rsidP="00E164DA">
            <w:pPr>
              <w:pStyle w:val="Instructions"/>
            </w:pPr>
            <w:r w:rsidRPr="00E87AAA">
              <w:t>Title</w:t>
            </w:r>
          </w:p>
        </w:tc>
        <w:tc>
          <w:tcPr>
            <w:tcW w:w="6798" w:type="dxa"/>
            <w:shd w:val="clear" w:color="auto" w:fill="auto"/>
          </w:tcPr>
          <w:p w14:paraId="76061A59" w14:textId="49137A22" w:rsidR="006B2263" w:rsidRPr="0088114A" w:rsidRDefault="0091764E" w:rsidP="002819EF">
            <w:pPr>
              <w:spacing w:before="120"/>
            </w:pPr>
            <w:r>
              <w:t>Establishing a</w:t>
            </w:r>
            <w:r w:rsidR="000B365C">
              <w:t xml:space="preserve"> Trust </w:t>
            </w:r>
          </w:p>
        </w:tc>
      </w:tr>
      <w:tr w:rsidR="006B2263" w:rsidRPr="0088114A" w14:paraId="2781309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3F9ADD" w14:textId="77777777" w:rsidR="006B2263" w:rsidRPr="00E87AAA" w:rsidRDefault="006B2263" w:rsidP="00E164DA">
            <w:pPr>
              <w:pStyle w:val="Instructions"/>
            </w:pPr>
            <w:r w:rsidRPr="00E87AAA">
              <w:t>Explanation</w:t>
            </w:r>
          </w:p>
        </w:tc>
        <w:tc>
          <w:tcPr>
            <w:tcW w:w="6798" w:type="dxa"/>
            <w:shd w:val="clear" w:color="auto" w:fill="auto"/>
          </w:tcPr>
          <w:p w14:paraId="004D73D0" w14:textId="7E0EC35F" w:rsidR="000B365C" w:rsidRDefault="000B365C" w:rsidP="000B365C">
            <w:pPr>
              <w:jc w:val="left"/>
            </w:pPr>
            <w:r w:rsidRPr="005F763D">
              <w:t xml:space="preserve">We recommend you consider establishing a Trust to </w:t>
            </w:r>
            <w:r w:rsidR="00FC3DCC">
              <w:t>own</w:t>
            </w:r>
            <w:r w:rsidR="00FC3DCC" w:rsidRPr="005F763D">
              <w:t xml:space="preserve"> </w:t>
            </w:r>
            <w:r w:rsidRPr="000D0191">
              <w:rPr>
                <w:color w:val="7030A0"/>
                <w:highlight w:val="yellow"/>
              </w:rPr>
              <w:t>[investment]</w:t>
            </w:r>
            <w:r w:rsidRPr="005F763D">
              <w:t xml:space="preserve"> </w:t>
            </w:r>
          </w:p>
          <w:p w14:paraId="6988D0C1" w14:textId="77777777" w:rsidR="000B365C" w:rsidRDefault="000B365C" w:rsidP="000B365C">
            <w:pPr>
              <w:jc w:val="left"/>
            </w:pPr>
          </w:p>
          <w:p w14:paraId="12666ED5" w14:textId="519823A6" w:rsidR="000B365C" w:rsidRDefault="000B365C" w:rsidP="000B365C">
            <w:pPr>
              <w:jc w:val="left"/>
            </w:pPr>
            <w:r w:rsidRPr="001B4ECE">
              <w:t>The structure should be:</w:t>
            </w:r>
            <w:r>
              <w:t xml:space="preserve"> </w:t>
            </w:r>
            <w:r w:rsidRPr="00536808">
              <w:rPr>
                <w:color w:val="7030A0"/>
                <w:highlight w:val="yellow"/>
              </w:rPr>
              <w:t>[fixed trust], [discretionary trust], [family discretionary trust], [hybrid trust]</w:t>
            </w:r>
          </w:p>
          <w:p w14:paraId="549C6B39" w14:textId="77777777" w:rsidR="000B365C" w:rsidRDefault="000B365C" w:rsidP="000B365C">
            <w:pPr>
              <w:jc w:val="left"/>
            </w:pPr>
          </w:p>
          <w:p w14:paraId="63F84529" w14:textId="77777777" w:rsidR="007E69D1" w:rsidRDefault="007E69D1" w:rsidP="000B365C">
            <w:pPr>
              <w:jc w:val="left"/>
            </w:pPr>
            <w:r w:rsidRPr="001345C5">
              <w:t>A</w:t>
            </w:r>
            <w:r>
              <w:t xml:space="preserve"> </w:t>
            </w:r>
            <w:r w:rsidRPr="007E69D1">
              <w:rPr>
                <w:color w:val="7030A0"/>
                <w:highlight w:val="yellow"/>
              </w:rPr>
              <w:t>[Family</w:t>
            </w:r>
            <w:r w:rsidRPr="001345C5">
              <w:rPr>
                <w:color w:val="7030A0"/>
              </w:rPr>
              <w:t>]</w:t>
            </w:r>
            <w:r>
              <w:t xml:space="preserve"> </w:t>
            </w:r>
            <w:r w:rsidRPr="00536808">
              <w:rPr>
                <w:highlight w:val="yellow"/>
              </w:rPr>
              <w:t xml:space="preserve">Discretionary Trust </w:t>
            </w:r>
            <w:r w:rsidR="000B365C" w:rsidRPr="00536808">
              <w:rPr>
                <w:highlight w:val="yellow"/>
              </w:rPr>
              <w:t>allows allocation of income and capital gains in the most tax effective manner.</w:t>
            </w:r>
            <w:r w:rsidR="000B365C" w:rsidRPr="005F763D">
              <w:t xml:space="preserve">  </w:t>
            </w:r>
          </w:p>
          <w:p w14:paraId="50BAFC86" w14:textId="77777777" w:rsidR="007E69D1" w:rsidRDefault="007E69D1" w:rsidP="000B365C">
            <w:pPr>
              <w:jc w:val="left"/>
            </w:pPr>
          </w:p>
          <w:p w14:paraId="50A28B6A" w14:textId="3F62EA15" w:rsidR="000B365C" w:rsidRPr="005F763D" w:rsidRDefault="000B365C" w:rsidP="000B365C">
            <w:pPr>
              <w:jc w:val="left"/>
            </w:pPr>
            <w:r w:rsidRPr="005F763D">
              <w:t xml:space="preserve">The beneficiaries of the trust should be </w:t>
            </w:r>
            <w:r w:rsidRPr="000D0191">
              <w:rPr>
                <w:color w:val="7030A0"/>
                <w:highlight w:val="yellow"/>
              </w:rPr>
              <w:t>[insert beneficiaries</w:t>
            </w:r>
            <w:r w:rsidRPr="000B365C">
              <w:rPr>
                <w:color w:val="7030A0"/>
                <w:highlight w:val="yellow"/>
              </w:rPr>
              <w:t>]</w:t>
            </w:r>
            <w:r w:rsidRPr="00295456">
              <w:t>.</w:t>
            </w:r>
          </w:p>
          <w:p w14:paraId="5F24F2BD" w14:textId="77777777" w:rsidR="006B2263" w:rsidRPr="0088114A" w:rsidRDefault="006B2263" w:rsidP="002819EF">
            <w:pPr>
              <w:spacing w:before="120"/>
              <w:rPr>
                <w:sz w:val="18"/>
                <w:szCs w:val="18"/>
                <w:highlight w:val="yellow"/>
              </w:rPr>
            </w:pPr>
          </w:p>
        </w:tc>
      </w:tr>
      <w:tr w:rsidR="006B2263" w:rsidRPr="00E87AAA" w14:paraId="7C83B2A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231512B" w14:textId="77777777" w:rsidR="006B2263" w:rsidRPr="00E87AAA" w:rsidRDefault="006B2263" w:rsidP="00E164DA">
            <w:pPr>
              <w:pStyle w:val="Instructions"/>
            </w:pPr>
            <w:r w:rsidRPr="00E87AAA">
              <w:t>In your Best Interest</w:t>
            </w:r>
          </w:p>
        </w:tc>
        <w:tc>
          <w:tcPr>
            <w:tcW w:w="6798" w:type="dxa"/>
            <w:shd w:val="clear" w:color="auto" w:fill="auto"/>
          </w:tcPr>
          <w:p w14:paraId="5903A953" w14:textId="77777777" w:rsidR="006B2263" w:rsidRPr="00E87AAA" w:rsidRDefault="006B2263" w:rsidP="002819EF">
            <w:pPr>
              <w:spacing w:before="120"/>
              <w:jc w:val="left"/>
              <w:rPr>
                <w:sz w:val="18"/>
                <w:szCs w:val="18"/>
                <w:highlight w:val="yellow"/>
              </w:rPr>
            </w:pPr>
          </w:p>
        </w:tc>
      </w:tr>
      <w:tr w:rsidR="006B2263" w:rsidRPr="00E87AAA" w14:paraId="250E013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369F19B" w14:textId="77777777" w:rsidR="006B2263" w:rsidRPr="00E87AAA" w:rsidRDefault="006B2263" w:rsidP="00E164DA">
            <w:pPr>
              <w:pStyle w:val="Instructions"/>
            </w:pPr>
            <w:r>
              <w:t>Further Detail</w:t>
            </w:r>
          </w:p>
        </w:tc>
        <w:tc>
          <w:tcPr>
            <w:tcW w:w="6798" w:type="dxa"/>
            <w:shd w:val="clear" w:color="auto" w:fill="auto"/>
          </w:tcPr>
          <w:p w14:paraId="1F02A235" w14:textId="77777777" w:rsidR="00886E31" w:rsidRPr="007B045E" w:rsidRDefault="00886E31" w:rsidP="00886E31">
            <w:pPr>
              <w:jc w:val="left"/>
            </w:pPr>
            <w:r w:rsidRPr="007B045E">
              <w:t>Typically, the benefits of establishing a discretionary family trust are:</w:t>
            </w:r>
          </w:p>
          <w:p w14:paraId="4315950F"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Flexibility in relation to income splitting (can take advantage of lower tax rates of beneficiaries and the company tax rate of 30% where a corporate beneficiary is established).</w:t>
            </w:r>
          </w:p>
          <w:p w14:paraId="2E043711"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Flexibility to stream different types of income to different beneficiaries.</w:t>
            </w:r>
          </w:p>
          <w:p w14:paraId="72C1601D"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Availability of the general 50% CGT discount on assets held for 12 months or more.</w:t>
            </w:r>
          </w:p>
          <w:p w14:paraId="7F9129AC"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Ability to utilise the Small Business CGT Concessions.</w:t>
            </w:r>
          </w:p>
          <w:p w14:paraId="7EF8B679"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Can make employer superannuation contributions on behalf of employees (within the relevant caps).</w:t>
            </w:r>
          </w:p>
          <w:p w14:paraId="267D3E10"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 xml:space="preserve">Protection of assets. </w:t>
            </w:r>
          </w:p>
          <w:p w14:paraId="2DC2BA44"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Because the assets are owned by the trust and not by any of the beneficiaries, the assets owned by a trust are typically protected in the event of any of the beneficiaries being sued or becoming bankrupt.</w:t>
            </w:r>
          </w:p>
          <w:p w14:paraId="22707D00"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 xml:space="preserve">Greater control over estate planning. </w:t>
            </w:r>
          </w:p>
          <w:p w14:paraId="5078289D"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Assets owned by a trust continue to be owned by the trust in the event of death, the trust continues to be controlled by the trustee.</w:t>
            </w:r>
          </w:p>
          <w:p w14:paraId="63812BE2" w14:textId="77777777" w:rsidR="006B2263" w:rsidRPr="007B045E" w:rsidRDefault="006B2263" w:rsidP="007C0309">
            <w:pPr>
              <w:jc w:val="left"/>
              <w:rPr>
                <w:sz w:val="18"/>
                <w:szCs w:val="18"/>
              </w:rPr>
            </w:pPr>
          </w:p>
          <w:p w14:paraId="4290DDE3" w14:textId="53406CE6" w:rsidR="0091345F" w:rsidRPr="005F763D" w:rsidRDefault="0091345F" w:rsidP="0091345F">
            <w:pPr>
              <w:jc w:val="left"/>
            </w:pPr>
            <w:r w:rsidRPr="007B045E">
              <w:t xml:space="preserve">The </w:t>
            </w:r>
            <w:r w:rsidR="008B120C" w:rsidRPr="007B045E">
              <w:t xml:space="preserve">typical </w:t>
            </w:r>
            <w:r w:rsidRPr="007B045E">
              <w:t>disadvantages of a trust structure are as follows:</w:t>
            </w:r>
          </w:p>
          <w:p w14:paraId="4A9D13D2"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Can be complicated to understand.</w:t>
            </w:r>
          </w:p>
          <w:p w14:paraId="070E4EA3"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Moderate set-up costs.</w:t>
            </w:r>
          </w:p>
          <w:p w14:paraId="4AEB738B"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Administration Costs. Need to lodge a separate tax return and maintain a separate bank account.</w:t>
            </w:r>
          </w:p>
          <w:p w14:paraId="45BC7B67"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Tax losses are quarantined within the trust.</w:t>
            </w:r>
          </w:p>
          <w:p w14:paraId="6A6E505D" w14:textId="31E2C3E0" w:rsidR="0091345F" w:rsidRPr="00E87AAA" w:rsidRDefault="0091345F" w:rsidP="007C0309">
            <w:pPr>
              <w:jc w:val="left"/>
              <w:rPr>
                <w:sz w:val="18"/>
                <w:szCs w:val="18"/>
                <w:highlight w:val="yellow"/>
              </w:rPr>
            </w:pPr>
          </w:p>
        </w:tc>
      </w:tr>
    </w:tbl>
    <w:p w14:paraId="23094C35" w14:textId="77777777" w:rsidR="006B2263" w:rsidRPr="005F763D" w:rsidRDefault="006B2263" w:rsidP="008C7CE9">
      <w:pPr>
        <w:jc w:val="left"/>
      </w:pPr>
    </w:p>
    <w:p w14:paraId="5B03C2E2" w14:textId="77777777" w:rsidR="00404DCC" w:rsidRDefault="00404DCC" w:rsidP="008C7CE9">
      <w:pPr>
        <w:jc w:val="left"/>
        <w:sectPr w:rsidR="00404DCC" w:rsidSect="008C0AC7">
          <w:type w:val="continuous"/>
          <w:pgSz w:w="11906" w:h="16838" w:code="9"/>
          <w:pgMar w:top="1134" w:right="566" w:bottom="426" w:left="709" w:header="567" w:footer="95" w:gutter="0"/>
          <w:cols w:space="708"/>
          <w:docGrid w:linePitch="360"/>
        </w:sectPr>
      </w:pPr>
    </w:p>
    <w:p w14:paraId="1FEC03BF" w14:textId="22B02838" w:rsidR="00D06163" w:rsidRPr="005F763D" w:rsidRDefault="00D06163" w:rsidP="008C7CE9">
      <w:pPr>
        <w:jc w:val="left"/>
      </w:pPr>
    </w:p>
    <w:p w14:paraId="288C3E3F" w14:textId="77777777" w:rsidR="00D06163" w:rsidRPr="005F763D" w:rsidRDefault="00D06163" w:rsidP="008C7CE9">
      <w:pPr>
        <w:jc w:val="left"/>
      </w:pPr>
    </w:p>
    <w:p w14:paraId="42849B66" w14:textId="77777777" w:rsidR="00D06163" w:rsidRPr="007C0309" w:rsidRDefault="00D06163" w:rsidP="007C0309">
      <w:pPr>
        <w:keepLines/>
        <w:suppressAutoHyphens w:val="0"/>
        <w:spacing w:before="100"/>
        <w:ind w:left="720"/>
        <w:rPr>
          <w:rFonts w:cs="Arial"/>
          <w:bCs/>
        </w:rPr>
      </w:pPr>
    </w:p>
    <w:p w14:paraId="744A5F29" w14:textId="77777777" w:rsidR="00D06163" w:rsidRPr="005F763D" w:rsidRDefault="00D06163" w:rsidP="008C7CE9">
      <w:pPr>
        <w:jc w:val="left"/>
        <w:rPr>
          <w:color w:val="002060"/>
          <w:sz w:val="24"/>
        </w:rPr>
      </w:pPr>
      <w:bookmarkStart w:id="87" w:name="_Toc260306633"/>
      <w:r w:rsidRPr="005F763D">
        <w:rPr>
          <w:color w:val="002060"/>
          <w:sz w:val="24"/>
        </w:rPr>
        <w:t>Partnership</w:t>
      </w:r>
    </w:p>
    <w:p w14:paraId="64319031" w14:textId="130E9711" w:rsidR="00D06163" w:rsidRDefault="00D06163"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2E1234" w:rsidRPr="00E87AAA" w14:paraId="10502E9E" w14:textId="77777777" w:rsidTr="002819EF">
        <w:tc>
          <w:tcPr>
            <w:tcW w:w="2754" w:type="dxa"/>
            <w:shd w:val="clear" w:color="auto" w:fill="auto"/>
          </w:tcPr>
          <w:p w14:paraId="3A578A52" w14:textId="176A0FD2" w:rsidR="002E1234" w:rsidRPr="00E87AAA" w:rsidRDefault="002E1234" w:rsidP="00E164DA">
            <w:pPr>
              <w:pStyle w:val="Instructions"/>
            </w:pPr>
          </w:p>
        </w:tc>
        <w:tc>
          <w:tcPr>
            <w:tcW w:w="6798" w:type="dxa"/>
            <w:shd w:val="clear" w:color="auto" w:fill="auto"/>
          </w:tcPr>
          <w:p w14:paraId="28D5F1B2" w14:textId="77777777" w:rsidR="00C45979" w:rsidRPr="005F763D" w:rsidRDefault="00C45979" w:rsidP="00C45979">
            <w:pPr>
              <w:jc w:val="left"/>
            </w:pPr>
            <w:r w:rsidRPr="005F763D">
              <w:t>A Partnership is a contractual relationship between the partners. It is not a separate legal entity and not a taxpaying entity, which the tax liability falls directly on the partners. It is a simple structure with low establishment and ongoing administration costs.</w:t>
            </w:r>
          </w:p>
          <w:p w14:paraId="32A5F250" w14:textId="77777777" w:rsidR="00C45979" w:rsidRPr="005F763D" w:rsidRDefault="00C45979" w:rsidP="00C45979">
            <w:pPr>
              <w:jc w:val="left"/>
            </w:pPr>
          </w:p>
          <w:p w14:paraId="234DA6D4" w14:textId="77777777" w:rsidR="00C45979" w:rsidRPr="005F763D" w:rsidRDefault="00C45979" w:rsidP="00C45979">
            <w:pPr>
              <w:jc w:val="left"/>
            </w:pPr>
            <w:r w:rsidRPr="005F763D">
              <w:t>The benefits of structuring the business as a Partnership are:</w:t>
            </w:r>
          </w:p>
          <w:p w14:paraId="7505DC98"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Losses incurred by the Partnership can be transferred to the individual partner, which can be used to offset against other income of a partner.</w:t>
            </w:r>
          </w:p>
          <w:p w14:paraId="7CEC9B4A"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Allows some income splitting between the partners. It must be split in accordance to each partner’s interest in the partnership agreement.</w:t>
            </w:r>
          </w:p>
          <w:p w14:paraId="1C0E71A0"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Individual partners can claim a 100% tax deduction for superannuation contributions in their personal tax returns.</w:t>
            </w:r>
          </w:p>
          <w:p w14:paraId="7129D7D2"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Can use the 50% discount on capital gains.</w:t>
            </w:r>
          </w:p>
          <w:p w14:paraId="6D49852D"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Can also utilise the small business CGT concessions.</w:t>
            </w:r>
          </w:p>
          <w:p w14:paraId="38871326" w14:textId="77777777" w:rsidR="00C45979" w:rsidRPr="005F763D" w:rsidRDefault="00C45979" w:rsidP="00C45979">
            <w:pPr>
              <w:jc w:val="left"/>
            </w:pPr>
          </w:p>
          <w:p w14:paraId="30F65FC3" w14:textId="77777777" w:rsidR="00C45979" w:rsidRPr="005F763D" w:rsidRDefault="00C45979" w:rsidP="00C45979">
            <w:pPr>
              <w:jc w:val="left"/>
            </w:pPr>
            <w:r w:rsidRPr="005F763D">
              <w:t>The disadvantages of establishing a Partnership are:</w:t>
            </w:r>
          </w:p>
          <w:p w14:paraId="76C49633"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Difficult and complicated to calculate the CGT liability upon the sale or transfer of an interest in a Partnership. Each partner must determine their own CGT liability based upon their share of proceeds of the sale.</w:t>
            </w:r>
          </w:p>
          <w:p w14:paraId="6EC324FA"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The partners have unlimited liabilities for all debts and obligations of the Partnership incurred.</w:t>
            </w:r>
          </w:p>
          <w:p w14:paraId="4F6E6DCD"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No asset protection available for individual partners.</w:t>
            </w:r>
          </w:p>
          <w:p w14:paraId="5A77295D"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It cannot provide fringe benefits to partners because they are not employees.</w:t>
            </w:r>
          </w:p>
          <w:p w14:paraId="4B622C74" w14:textId="77777777" w:rsidR="002E1234" w:rsidRPr="00E87AAA" w:rsidRDefault="002E1234" w:rsidP="002819EF">
            <w:pPr>
              <w:spacing w:before="120"/>
              <w:jc w:val="left"/>
              <w:rPr>
                <w:sz w:val="18"/>
                <w:szCs w:val="18"/>
                <w:highlight w:val="yellow"/>
              </w:rPr>
            </w:pPr>
          </w:p>
        </w:tc>
      </w:tr>
    </w:tbl>
    <w:p w14:paraId="31C60FDD" w14:textId="77777777" w:rsidR="002E1234" w:rsidRPr="005F763D" w:rsidRDefault="002E1234" w:rsidP="008C7CE9">
      <w:pPr>
        <w:jc w:val="left"/>
      </w:pPr>
    </w:p>
    <w:p w14:paraId="27D50A62" w14:textId="77777777" w:rsidR="00D06163" w:rsidRPr="005F763D" w:rsidRDefault="00D06163" w:rsidP="008C7CE9">
      <w:pPr>
        <w:jc w:val="left"/>
      </w:pPr>
    </w:p>
    <w:p w14:paraId="66C0198D" w14:textId="77777777" w:rsidR="00D06163" w:rsidRPr="005F763D" w:rsidRDefault="00D06163" w:rsidP="008C7CE9">
      <w:pPr>
        <w:jc w:val="left"/>
      </w:pPr>
    </w:p>
    <w:p w14:paraId="72A12A6F" w14:textId="77777777" w:rsidR="001F423E" w:rsidRPr="005F763D" w:rsidRDefault="00961112" w:rsidP="008C7CE9">
      <w:pPr>
        <w:jc w:val="left"/>
      </w:pPr>
      <w:r w:rsidRPr="005F763D">
        <w:br w:type="page"/>
      </w:r>
    </w:p>
    <w:p w14:paraId="2BE5D9F7" w14:textId="63842891" w:rsidR="008B63FA" w:rsidRPr="005F763D" w:rsidRDefault="008B63FA" w:rsidP="0008751D">
      <w:pPr>
        <w:pStyle w:val="Heading2"/>
      </w:pPr>
      <w:bookmarkStart w:id="88" w:name="_Toc377642877"/>
      <w:bookmarkStart w:id="89" w:name="_Toc46236032"/>
      <w:r w:rsidRPr="005F763D">
        <w:lastRenderedPageBreak/>
        <w:t>Superannuation</w:t>
      </w:r>
      <w:bookmarkEnd w:id="87"/>
      <w:bookmarkEnd w:id="88"/>
      <w:bookmarkEnd w:id="89"/>
    </w:p>
    <w:p w14:paraId="2BE7931A" w14:textId="58890D99" w:rsidR="007F01D8" w:rsidRDefault="007F01D8" w:rsidP="008C7CE9">
      <w:pPr>
        <w:jc w:val="left"/>
      </w:pPr>
    </w:p>
    <w:p w14:paraId="1CDB84B2" w14:textId="6B8F178A" w:rsidR="007E5681" w:rsidRPr="007E5681" w:rsidRDefault="007E5681" w:rsidP="008C7CE9">
      <w:pPr>
        <w:jc w:val="left"/>
        <w:rPr>
          <w:color w:val="002060"/>
          <w:sz w:val="24"/>
        </w:rPr>
      </w:pPr>
      <w:r w:rsidRPr="007E5681">
        <w:rPr>
          <w:color w:val="002060"/>
          <w:sz w:val="24"/>
        </w:rPr>
        <w:t>Work Test Exemption</w:t>
      </w:r>
    </w:p>
    <w:tbl>
      <w:tblPr>
        <w:tblStyle w:val="TableGrid"/>
        <w:tblW w:w="0" w:type="auto"/>
        <w:tblInd w:w="76" w:type="dxa"/>
        <w:tblLook w:val="04A0" w:firstRow="1" w:lastRow="0" w:firstColumn="1" w:lastColumn="0" w:noHBand="0" w:noVBand="1"/>
      </w:tblPr>
      <w:tblGrid>
        <w:gridCol w:w="2754"/>
        <w:gridCol w:w="6798"/>
      </w:tblGrid>
      <w:tr w:rsidR="007E5681" w:rsidRPr="00BB0D88" w14:paraId="7C6C8EF0" w14:textId="21FBAFF1" w:rsidTr="00DD2535">
        <w:tc>
          <w:tcPr>
            <w:tcW w:w="2754" w:type="dxa"/>
          </w:tcPr>
          <w:p w14:paraId="59C15A4F" w14:textId="35B7A2FD" w:rsidR="007E5681" w:rsidRPr="00BB0D88" w:rsidRDefault="007E5681" w:rsidP="00DD2535">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69B268D4" w14:textId="60F494C2" w:rsidR="007E5681" w:rsidRPr="00BB0D88" w:rsidRDefault="007E5681" w:rsidP="00DD2535">
            <w:pPr>
              <w:pStyle w:val="TableHeader2"/>
              <w:rPr>
                <w:rFonts w:ascii="Calibri Light" w:hAnsi="Calibri Light"/>
              </w:rPr>
            </w:pPr>
          </w:p>
        </w:tc>
      </w:tr>
      <w:tr w:rsidR="007E5681" w:rsidRPr="00BB0D88" w14:paraId="63A5D24D" w14:textId="26E85D76" w:rsidTr="00DD2535">
        <w:tc>
          <w:tcPr>
            <w:tcW w:w="2754" w:type="dxa"/>
          </w:tcPr>
          <w:p w14:paraId="6BB48C0A" w14:textId="4FACB804" w:rsidR="007E5681" w:rsidRPr="00BB0D88" w:rsidRDefault="007E5681" w:rsidP="00E164DA">
            <w:pPr>
              <w:pStyle w:val="Instructions"/>
            </w:pPr>
            <w:r w:rsidRPr="00BB0D88">
              <w:t>Title</w:t>
            </w:r>
          </w:p>
        </w:tc>
        <w:tc>
          <w:tcPr>
            <w:tcW w:w="6798" w:type="dxa"/>
          </w:tcPr>
          <w:p w14:paraId="086D4968" w14:textId="11DEFCD5" w:rsidR="007E5681" w:rsidRPr="00BB0D88" w:rsidRDefault="007E5681" w:rsidP="00DD2535">
            <w:pPr>
              <w:spacing w:after="120"/>
            </w:pPr>
            <w:r>
              <w:rPr>
                <w:rFonts w:cs="Calibri"/>
              </w:rPr>
              <w:t xml:space="preserve">Work Test Exemption </w:t>
            </w:r>
          </w:p>
        </w:tc>
      </w:tr>
      <w:tr w:rsidR="007E5681" w:rsidRPr="00BB0D88" w14:paraId="1C0CBDEB" w14:textId="1DDA6FA1" w:rsidTr="00DD2535">
        <w:tc>
          <w:tcPr>
            <w:tcW w:w="2754" w:type="dxa"/>
          </w:tcPr>
          <w:p w14:paraId="6B81C4AA" w14:textId="7930426F" w:rsidR="007E5681" w:rsidRPr="00703845" w:rsidRDefault="007E5681" w:rsidP="00E164DA">
            <w:pPr>
              <w:pStyle w:val="Instructions"/>
            </w:pPr>
            <w:r w:rsidRPr="00703845">
              <w:t>Explanation</w:t>
            </w:r>
          </w:p>
        </w:tc>
        <w:tc>
          <w:tcPr>
            <w:tcW w:w="6798" w:type="dxa"/>
          </w:tcPr>
          <w:p w14:paraId="6C628ECA" w14:textId="04BE9157" w:rsidR="007E5681" w:rsidRPr="001B4ECE" w:rsidRDefault="007E5681" w:rsidP="00E164DA">
            <w:pPr>
              <w:pStyle w:val="Instructions"/>
              <w:rPr>
                <w:b w:val="0"/>
                <w:bCs/>
              </w:rPr>
            </w:pPr>
            <w:r w:rsidRPr="001B4ECE">
              <w:rPr>
                <w:b w:val="0"/>
                <w:bCs/>
                <w:color w:val="FF0000"/>
              </w:rPr>
              <w:t>[Client]</w:t>
            </w:r>
            <w:r w:rsidRPr="001B4ECE">
              <w:rPr>
                <w:b w:val="0"/>
                <w:bCs/>
              </w:rPr>
              <w:t>, we recommend that you make a contribution of $</w:t>
            </w:r>
            <w:r w:rsidRPr="001B4ECE">
              <w:rPr>
                <w:b w:val="0"/>
                <w:bCs/>
                <w:color w:val="FF0000"/>
              </w:rPr>
              <w:t>[__</w:t>
            </w:r>
            <w:proofErr w:type="gramStart"/>
            <w:r w:rsidRPr="001B4ECE">
              <w:rPr>
                <w:b w:val="0"/>
                <w:bCs/>
                <w:color w:val="FF0000"/>
              </w:rPr>
              <w:t>_,_</w:t>
            </w:r>
            <w:proofErr w:type="gramEnd"/>
            <w:r w:rsidRPr="001B4ECE">
              <w:rPr>
                <w:b w:val="0"/>
                <w:bCs/>
                <w:color w:val="FF0000"/>
              </w:rPr>
              <w:t>__]</w:t>
            </w:r>
            <w:r w:rsidRPr="001B4ECE">
              <w:rPr>
                <w:b w:val="0"/>
                <w:bCs/>
              </w:rPr>
              <w:t xml:space="preserve"> this financial year to the </w:t>
            </w:r>
            <w:r w:rsidRPr="001B4ECE">
              <w:rPr>
                <w:b w:val="0"/>
                <w:bCs/>
                <w:color w:val="7030A0"/>
                <w:highlight w:val="yellow"/>
              </w:rPr>
              <w:t>[fund name]</w:t>
            </w:r>
            <w:r w:rsidRPr="001B4ECE">
              <w:rPr>
                <w:b w:val="0"/>
                <w:bCs/>
              </w:rPr>
              <w:t xml:space="preserve">.  </w:t>
            </w:r>
          </w:p>
        </w:tc>
      </w:tr>
      <w:tr w:rsidR="007E5681" w:rsidRPr="00BB0D88" w14:paraId="46D70F20" w14:textId="4352AD57" w:rsidTr="00DD2535">
        <w:tc>
          <w:tcPr>
            <w:tcW w:w="2754" w:type="dxa"/>
          </w:tcPr>
          <w:p w14:paraId="2FDE8E74" w14:textId="6DAFE503" w:rsidR="007E5681" w:rsidRPr="00BB0D88" w:rsidRDefault="007E5681" w:rsidP="00E164DA">
            <w:pPr>
              <w:pStyle w:val="Instructions"/>
            </w:pPr>
            <w:r w:rsidRPr="00BB0D88">
              <w:t>In your Best Interest</w:t>
            </w:r>
          </w:p>
        </w:tc>
        <w:tc>
          <w:tcPr>
            <w:tcW w:w="6798" w:type="dxa"/>
          </w:tcPr>
          <w:p w14:paraId="080BC6D2" w14:textId="0FF19E4D" w:rsidR="007E5681" w:rsidRPr="00BB0D88" w:rsidRDefault="007E5681" w:rsidP="00E164DA">
            <w:pPr>
              <w:pStyle w:val="Instructions"/>
            </w:pPr>
          </w:p>
        </w:tc>
      </w:tr>
      <w:tr w:rsidR="007E5681" w:rsidRPr="000D0191" w14:paraId="2AF2DDDF" w14:textId="56F4E6DC" w:rsidTr="00DD2535">
        <w:tc>
          <w:tcPr>
            <w:tcW w:w="2754" w:type="dxa"/>
          </w:tcPr>
          <w:p w14:paraId="436C183D" w14:textId="427E62BC" w:rsidR="007E5681" w:rsidRPr="00BB0D88" w:rsidRDefault="007E5681" w:rsidP="00E164DA">
            <w:pPr>
              <w:pStyle w:val="Instructions"/>
            </w:pPr>
            <w:r>
              <w:t>Further Detail</w:t>
            </w:r>
          </w:p>
        </w:tc>
        <w:tc>
          <w:tcPr>
            <w:tcW w:w="6798" w:type="dxa"/>
          </w:tcPr>
          <w:p w14:paraId="24EABF4B" w14:textId="329641DC" w:rsidR="007E5681" w:rsidRDefault="007E5681" w:rsidP="00DD2535">
            <w:pPr>
              <w:spacing w:after="120"/>
            </w:pPr>
            <w:r>
              <w:t xml:space="preserve">A person </w:t>
            </w:r>
            <w:r w:rsidR="0097701F">
              <w:t>who has not reached his/her 67</w:t>
            </w:r>
            <w:r w:rsidR="0097701F" w:rsidRPr="0097701F">
              <w:rPr>
                <w:vertAlign w:val="superscript"/>
              </w:rPr>
              <w:t>th</w:t>
            </w:r>
            <w:r w:rsidR="0097701F">
              <w:t xml:space="preserve"> birthday</w:t>
            </w:r>
            <w:r>
              <w:t xml:space="preserve"> may make voluntary superannuation contributions to superannuation without meeting the Work Test</w:t>
            </w:r>
          </w:p>
          <w:p w14:paraId="5CB95FA2" w14:textId="49695D87" w:rsidR="007E5681" w:rsidRDefault="007E5681" w:rsidP="00DD2535">
            <w:pPr>
              <w:spacing w:after="120"/>
            </w:pPr>
            <w:r>
              <w:t>The work test typically requires gainful employment of 40 hours in 30 continuous days in the year that a contribution will be made</w:t>
            </w:r>
            <w:r w:rsidR="0097701F">
              <w:t xml:space="preserve"> and this still applies to those aged 67 and older</w:t>
            </w:r>
          </w:p>
          <w:p w14:paraId="4E96BD51" w14:textId="7AF63FD1" w:rsidR="007E5681" w:rsidRDefault="007E5681" w:rsidP="00DD2535">
            <w:pPr>
              <w:spacing w:after="120"/>
              <w:rPr>
                <w:rFonts w:cs="Calibri"/>
              </w:rPr>
            </w:pPr>
            <w:r>
              <w:rPr>
                <w:rFonts w:cs="Calibri"/>
              </w:rPr>
              <w:t>To qualify for an Exemption from that work test:</w:t>
            </w:r>
          </w:p>
          <w:p w14:paraId="07E9A2BF" w14:textId="6179546F" w:rsidR="007E5681" w:rsidRDefault="007E5681" w:rsidP="007E5681">
            <w:pPr>
              <w:pStyle w:val="ListParagraph"/>
              <w:numPr>
                <w:ilvl w:val="0"/>
                <w:numId w:val="134"/>
              </w:numPr>
              <w:spacing w:after="120"/>
              <w:contextualSpacing/>
              <w:rPr>
                <w:rFonts w:cs="Calibri"/>
              </w:rPr>
            </w:pPr>
            <w:r>
              <w:rPr>
                <w:rFonts w:cs="Calibri"/>
              </w:rPr>
              <w:t>The work test must have been satisfied in the previous financial year</w:t>
            </w:r>
          </w:p>
          <w:p w14:paraId="29153674" w14:textId="6A35DE41" w:rsidR="007E5681" w:rsidRDefault="0097701F" w:rsidP="007E5681">
            <w:pPr>
              <w:pStyle w:val="ListParagraph"/>
              <w:numPr>
                <w:ilvl w:val="0"/>
                <w:numId w:val="134"/>
              </w:numPr>
              <w:spacing w:after="120"/>
              <w:contextualSpacing/>
              <w:rPr>
                <w:rFonts w:cs="Calibri"/>
              </w:rPr>
            </w:pPr>
            <w:r>
              <w:rPr>
                <w:rFonts w:cs="Calibri"/>
              </w:rPr>
              <w:t>Total Superannuation balance was less than $300,000 at the end of the previous financial year.</w:t>
            </w:r>
          </w:p>
          <w:p w14:paraId="25FFDE27" w14:textId="4E743288" w:rsidR="0097701F" w:rsidRDefault="0097701F" w:rsidP="007E5681">
            <w:pPr>
              <w:pStyle w:val="ListParagraph"/>
              <w:numPr>
                <w:ilvl w:val="0"/>
                <w:numId w:val="134"/>
              </w:numPr>
              <w:spacing w:after="120"/>
              <w:contextualSpacing/>
              <w:rPr>
                <w:rFonts w:cs="Calibri"/>
              </w:rPr>
            </w:pPr>
            <w:r>
              <w:rPr>
                <w:rFonts w:cs="Calibri"/>
              </w:rPr>
              <w:t>Nil previous contribution under this exemption has been made</w:t>
            </w:r>
          </w:p>
          <w:p w14:paraId="2DD6DB68" w14:textId="2DA4D21D" w:rsidR="007E5681" w:rsidRDefault="007E5681" w:rsidP="00DD2535">
            <w:pPr>
              <w:spacing w:after="120"/>
              <w:rPr>
                <w:rFonts w:cs="Calibri"/>
              </w:rPr>
            </w:pPr>
            <w:r>
              <w:rPr>
                <w:rFonts w:cs="Calibri"/>
              </w:rPr>
              <w:t>Voluntary non-concessional contributions are subject to the non-concessional contributions cap but can validly trigger bring-forward caps given the usual bring-forward rules.</w:t>
            </w:r>
          </w:p>
          <w:p w14:paraId="26ABE166" w14:textId="31925C8A" w:rsidR="007E5681" w:rsidRPr="00E05A03" w:rsidRDefault="007E5681" w:rsidP="00DD2535">
            <w:pPr>
              <w:spacing w:after="120"/>
              <w:rPr>
                <w:rFonts w:cs="Calibri"/>
              </w:rPr>
            </w:pPr>
            <w:r>
              <w:rPr>
                <w:rFonts w:cs="Calibri"/>
              </w:rPr>
              <w:t>Voluntary concessional contributions are subject to the concessional contribution cap but are eligible as catch-up concessional contributions given the usual catch-up rules.</w:t>
            </w:r>
          </w:p>
        </w:tc>
      </w:tr>
    </w:tbl>
    <w:p w14:paraId="07204881" w14:textId="7C8A3189" w:rsidR="007E5681" w:rsidRDefault="007E5681" w:rsidP="008C7CE9">
      <w:pPr>
        <w:jc w:val="left"/>
      </w:pPr>
    </w:p>
    <w:p w14:paraId="5B23E849" w14:textId="77777777" w:rsidR="007E5681" w:rsidRDefault="007E5681" w:rsidP="008C7CE9">
      <w:pPr>
        <w:jc w:val="left"/>
      </w:pPr>
    </w:p>
    <w:p w14:paraId="3AFDF355" w14:textId="77777777" w:rsidR="00711083" w:rsidRPr="0059655A" w:rsidRDefault="00711083" w:rsidP="0062173E">
      <w:pPr>
        <w:jc w:val="left"/>
      </w:pPr>
      <w:r w:rsidRPr="00E11BDB">
        <w:rPr>
          <w:color w:val="002060"/>
          <w:sz w:val="24"/>
        </w:rPr>
        <w:t>Downsizer Contributions</w:t>
      </w:r>
    </w:p>
    <w:p w14:paraId="3B6CD7CD" w14:textId="77777777" w:rsidR="00711083" w:rsidRPr="00BB0D88" w:rsidRDefault="00711083" w:rsidP="00711083"/>
    <w:tbl>
      <w:tblPr>
        <w:tblStyle w:val="TableGrid"/>
        <w:tblW w:w="0" w:type="auto"/>
        <w:tblInd w:w="76" w:type="dxa"/>
        <w:tblLook w:val="04A0" w:firstRow="1" w:lastRow="0" w:firstColumn="1" w:lastColumn="0" w:noHBand="0" w:noVBand="1"/>
      </w:tblPr>
      <w:tblGrid>
        <w:gridCol w:w="2754"/>
        <w:gridCol w:w="6798"/>
      </w:tblGrid>
      <w:tr w:rsidR="00711083" w:rsidRPr="00BB0D88" w14:paraId="66A0902C" w14:textId="77777777" w:rsidTr="00CE0F25">
        <w:tc>
          <w:tcPr>
            <w:tcW w:w="2754" w:type="dxa"/>
          </w:tcPr>
          <w:p w14:paraId="599F97BB" w14:textId="77777777" w:rsidR="00711083" w:rsidRPr="00BB0D88" w:rsidRDefault="00711083" w:rsidP="00CE0F25">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5A8CCCFB" w14:textId="77777777" w:rsidR="00711083" w:rsidRPr="00BB0D88" w:rsidRDefault="00711083" w:rsidP="00CE0F25">
            <w:pPr>
              <w:pStyle w:val="TableHeader2"/>
              <w:rPr>
                <w:rFonts w:ascii="Calibri Light" w:hAnsi="Calibri Light"/>
              </w:rPr>
            </w:pPr>
          </w:p>
        </w:tc>
      </w:tr>
      <w:tr w:rsidR="00711083" w:rsidRPr="00BB0D88" w14:paraId="42CAE303" w14:textId="77777777" w:rsidTr="00CE0F25">
        <w:tc>
          <w:tcPr>
            <w:tcW w:w="2754" w:type="dxa"/>
          </w:tcPr>
          <w:p w14:paraId="38C7E3C4" w14:textId="77777777" w:rsidR="00711083" w:rsidRPr="00BB0D88" w:rsidRDefault="00711083" w:rsidP="00E164DA">
            <w:pPr>
              <w:pStyle w:val="Instructions"/>
            </w:pPr>
            <w:r w:rsidRPr="00BB0D88">
              <w:t>Title</w:t>
            </w:r>
          </w:p>
        </w:tc>
        <w:tc>
          <w:tcPr>
            <w:tcW w:w="6798" w:type="dxa"/>
          </w:tcPr>
          <w:p w14:paraId="6779B2BD" w14:textId="77777777" w:rsidR="00711083" w:rsidRPr="00BB0D88" w:rsidRDefault="00711083" w:rsidP="00CE0F25">
            <w:pPr>
              <w:spacing w:after="120"/>
            </w:pPr>
            <w:r w:rsidRPr="00BB0D88">
              <w:rPr>
                <w:rFonts w:cs="Calibri"/>
              </w:rPr>
              <w:t>Downsizer Contribution</w:t>
            </w:r>
          </w:p>
        </w:tc>
      </w:tr>
      <w:tr w:rsidR="00711083" w:rsidRPr="00BB0D88" w14:paraId="0DFFBDF7" w14:textId="77777777" w:rsidTr="00CE0F25">
        <w:tc>
          <w:tcPr>
            <w:tcW w:w="2754" w:type="dxa"/>
          </w:tcPr>
          <w:p w14:paraId="7C73C892" w14:textId="77777777" w:rsidR="00711083" w:rsidRPr="00BB0D88" w:rsidRDefault="00711083" w:rsidP="00E164DA">
            <w:pPr>
              <w:pStyle w:val="Instructions"/>
            </w:pPr>
            <w:r w:rsidRPr="00BB0D88">
              <w:t>Explanation</w:t>
            </w:r>
          </w:p>
        </w:tc>
        <w:tc>
          <w:tcPr>
            <w:tcW w:w="6798" w:type="dxa"/>
          </w:tcPr>
          <w:p w14:paraId="00E28B1E" w14:textId="67645012" w:rsidR="00711083" w:rsidRPr="00882850" w:rsidRDefault="00BC3FE0" w:rsidP="00E164DA">
            <w:pPr>
              <w:pStyle w:val="Instructions"/>
              <w:rPr>
                <w:b w:val="0"/>
                <w:bCs/>
              </w:rPr>
            </w:pPr>
            <w:r w:rsidRPr="00882850">
              <w:rPr>
                <w:b w:val="0"/>
                <w:bCs/>
              </w:rPr>
              <w:t>[Client</w:t>
            </w:r>
            <w:r w:rsidR="003D0EF4" w:rsidRPr="00882850">
              <w:rPr>
                <w:b w:val="0"/>
                <w:bCs/>
              </w:rPr>
              <w:t>], make a contribution of $[_</w:t>
            </w:r>
            <w:proofErr w:type="gramStart"/>
            <w:r w:rsidR="003D0EF4" w:rsidRPr="00882850">
              <w:rPr>
                <w:b w:val="0"/>
                <w:bCs/>
              </w:rPr>
              <w:t>_,_</w:t>
            </w:r>
            <w:proofErr w:type="gramEnd"/>
            <w:r w:rsidR="003D0EF4" w:rsidRPr="00882850">
              <w:rPr>
                <w:b w:val="0"/>
                <w:bCs/>
              </w:rPr>
              <w:t xml:space="preserve">_] this financial year to </w:t>
            </w:r>
            <w:r w:rsidR="003D0EF4" w:rsidRPr="00882850">
              <w:rPr>
                <w:b w:val="0"/>
                <w:bCs/>
                <w:color w:val="7030A0"/>
                <w:highlight w:val="yellow"/>
              </w:rPr>
              <w:t>[fund name]</w:t>
            </w:r>
            <w:r w:rsidR="003D0EF4" w:rsidRPr="00882850">
              <w:rPr>
                <w:b w:val="0"/>
                <w:bCs/>
                <w:color w:val="7030A0"/>
              </w:rPr>
              <w:t>.</w:t>
            </w:r>
          </w:p>
        </w:tc>
      </w:tr>
      <w:tr w:rsidR="00711083" w:rsidRPr="00BB0D88" w14:paraId="3CAC90B0" w14:textId="77777777" w:rsidTr="00CE0F25">
        <w:tc>
          <w:tcPr>
            <w:tcW w:w="2754" w:type="dxa"/>
          </w:tcPr>
          <w:p w14:paraId="27276BD3" w14:textId="77777777" w:rsidR="00711083" w:rsidRPr="00BB0D88" w:rsidRDefault="00711083" w:rsidP="00E164DA">
            <w:pPr>
              <w:pStyle w:val="Instructions"/>
            </w:pPr>
            <w:r w:rsidRPr="00BB0D88">
              <w:t>In your Best Interest</w:t>
            </w:r>
          </w:p>
        </w:tc>
        <w:tc>
          <w:tcPr>
            <w:tcW w:w="6798" w:type="dxa"/>
          </w:tcPr>
          <w:p w14:paraId="2E603A62" w14:textId="77777777" w:rsidR="00711083" w:rsidRPr="00BB0D88" w:rsidRDefault="00711083" w:rsidP="00E164DA">
            <w:pPr>
              <w:pStyle w:val="Instructions"/>
            </w:pPr>
          </w:p>
        </w:tc>
      </w:tr>
      <w:tr w:rsidR="00711083" w:rsidRPr="000D0191" w14:paraId="4F707FA5" w14:textId="77777777" w:rsidTr="00CE0F25">
        <w:tc>
          <w:tcPr>
            <w:tcW w:w="2754" w:type="dxa"/>
          </w:tcPr>
          <w:p w14:paraId="43379248" w14:textId="77777777" w:rsidR="00711083" w:rsidRPr="00BB0D88" w:rsidRDefault="00711083" w:rsidP="00E164DA">
            <w:pPr>
              <w:pStyle w:val="Instructions"/>
            </w:pPr>
            <w:r w:rsidRPr="00BB0D88">
              <w:t>Further Detail</w:t>
            </w:r>
          </w:p>
        </w:tc>
        <w:tc>
          <w:tcPr>
            <w:tcW w:w="6798" w:type="dxa"/>
          </w:tcPr>
          <w:p w14:paraId="45F3AA53" w14:textId="77777777" w:rsidR="00711083" w:rsidRPr="00BB0D88" w:rsidRDefault="00711083" w:rsidP="00CE0F25">
            <w:pPr>
              <w:spacing w:after="120"/>
              <w:rPr>
                <w:rFonts w:cs="Calibri"/>
              </w:rPr>
            </w:pPr>
            <w:r w:rsidRPr="00BB0D88">
              <w:rPr>
                <w:rFonts w:cs="Calibri"/>
              </w:rPr>
              <w:t>Individuals aged 65 years or older may contribute up to $300,000 each of the proceeds of the sale of a dwelling (home).</w:t>
            </w:r>
          </w:p>
          <w:p w14:paraId="2FDA07A6" w14:textId="77777777" w:rsidR="00711083" w:rsidRPr="00BB0D88" w:rsidRDefault="00711083" w:rsidP="00CE0F25">
            <w:pPr>
              <w:spacing w:after="120"/>
              <w:rPr>
                <w:rFonts w:cs="Calibri"/>
              </w:rPr>
            </w:pPr>
            <w:r w:rsidRPr="00BB0D88">
              <w:rPr>
                <w:rFonts w:cs="Calibri"/>
              </w:rPr>
              <w:t>For a couple, each qualify for this contribution separately irrespective of whether only one member of the couple owned that dwelling.</w:t>
            </w:r>
          </w:p>
          <w:p w14:paraId="5A642872" w14:textId="77777777" w:rsidR="00711083" w:rsidRPr="0048522B" w:rsidRDefault="00711083" w:rsidP="00CE0F25">
            <w:pPr>
              <w:spacing w:after="120"/>
            </w:pPr>
            <w:r w:rsidRPr="00BB0D88">
              <w:rPr>
                <w:rFonts w:cs="Calibri"/>
              </w:rPr>
              <w:t>The dwelling must have been occupied for 10 years by the individual or that individual’s former spouse.</w:t>
            </w:r>
          </w:p>
        </w:tc>
      </w:tr>
    </w:tbl>
    <w:p w14:paraId="29DDBBCD" w14:textId="77777777" w:rsidR="00711083" w:rsidRDefault="00711083" w:rsidP="00711083"/>
    <w:p w14:paraId="3A7A7FAA" w14:textId="77777777" w:rsidR="00711083" w:rsidRDefault="00711083" w:rsidP="00711083"/>
    <w:p w14:paraId="08806E95" w14:textId="77777777" w:rsidR="00711083" w:rsidRDefault="00711083" w:rsidP="00711083"/>
    <w:p w14:paraId="421F0B18" w14:textId="77777777" w:rsidR="00711083" w:rsidRPr="0059655A" w:rsidRDefault="00711083" w:rsidP="0062173E">
      <w:pPr>
        <w:jc w:val="left"/>
      </w:pPr>
      <w:r w:rsidRPr="00E11BDB">
        <w:rPr>
          <w:color w:val="002060"/>
          <w:sz w:val="24"/>
        </w:rPr>
        <w:t>Transfer Balance Cap</w:t>
      </w:r>
    </w:p>
    <w:p w14:paraId="3BF95DB4" w14:textId="77777777" w:rsidR="00711083" w:rsidRDefault="00711083" w:rsidP="00711083"/>
    <w:tbl>
      <w:tblPr>
        <w:tblStyle w:val="TableGrid"/>
        <w:tblW w:w="0" w:type="auto"/>
        <w:tblInd w:w="76" w:type="dxa"/>
        <w:tblLook w:val="04A0" w:firstRow="1" w:lastRow="0" w:firstColumn="1" w:lastColumn="0" w:noHBand="0" w:noVBand="1"/>
      </w:tblPr>
      <w:tblGrid>
        <w:gridCol w:w="2754"/>
        <w:gridCol w:w="6798"/>
      </w:tblGrid>
      <w:tr w:rsidR="00711083" w:rsidRPr="000D0191" w14:paraId="58C098B0" w14:textId="77777777" w:rsidTr="00CE0F25">
        <w:tc>
          <w:tcPr>
            <w:tcW w:w="2754" w:type="dxa"/>
          </w:tcPr>
          <w:p w14:paraId="0EC59850" w14:textId="152F1418" w:rsidR="00711083" w:rsidRPr="00786B7D" w:rsidRDefault="00711083" w:rsidP="00E164DA">
            <w:pPr>
              <w:pStyle w:val="Instructions"/>
            </w:pPr>
          </w:p>
        </w:tc>
        <w:tc>
          <w:tcPr>
            <w:tcW w:w="6798" w:type="dxa"/>
          </w:tcPr>
          <w:p w14:paraId="4D70FCEB" w14:textId="301AE28D" w:rsidR="00711083" w:rsidRDefault="007D7E98" w:rsidP="00CE0F25">
            <w:pPr>
              <w:spacing w:after="120"/>
              <w:rPr>
                <w:rFonts w:cs="Calibri"/>
              </w:rPr>
            </w:pPr>
            <w:r>
              <w:rPr>
                <w:rFonts w:cs="Calibri"/>
              </w:rPr>
              <w:t>T</w:t>
            </w:r>
            <w:r w:rsidR="00711083">
              <w:rPr>
                <w:rFonts w:cs="Calibri"/>
              </w:rPr>
              <w:t>he Government has legislated a cap of $1.6m upon the amount that can be invested in retirement income streams:</w:t>
            </w:r>
          </w:p>
          <w:p w14:paraId="02A3A4A2" w14:textId="77777777" w:rsidR="00711083" w:rsidRDefault="00711083" w:rsidP="00CE0F25">
            <w:pPr>
              <w:pStyle w:val="ListParagraph"/>
              <w:numPr>
                <w:ilvl w:val="0"/>
                <w:numId w:val="13"/>
              </w:numPr>
              <w:spacing w:after="120"/>
              <w:rPr>
                <w:rFonts w:cs="Calibri"/>
              </w:rPr>
            </w:pPr>
            <w:r w:rsidRPr="0073646C">
              <w:rPr>
                <w:rFonts w:cs="Calibri"/>
              </w:rPr>
              <w:t>account based pensions</w:t>
            </w:r>
          </w:p>
          <w:p w14:paraId="5AEF857C" w14:textId="77777777" w:rsidR="00711083" w:rsidRDefault="00711083" w:rsidP="00CE0F25">
            <w:pPr>
              <w:pStyle w:val="ListParagraph"/>
              <w:numPr>
                <w:ilvl w:val="0"/>
                <w:numId w:val="13"/>
              </w:numPr>
              <w:spacing w:after="120"/>
              <w:rPr>
                <w:rFonts w:cs="Calibri"/>
              </w:rPr>
            </w:pPr>
            <w:r w:rsidRPr="0073646C">
              <w:rPr>
                <w:rFonts w:cs="Calibri"/>
              </w:rPr>
              <w:t>market linked income streams</w:t>
            </w:r>
          </w:p>
          <w:p w14:paraId="31E0CD74" w14:textId="77777777" w:rsidR="00711083" w:rsidRDefault="00711083" w:rsidP="00CE0F25">
            <w:pPr>
              <w:pStyle w:val="ListParagraph"/>
              <w:numPr>
                <w:ilvl w:val="0"/>
                <w:numId w:val="13"/>
              </w:numPr>
              <w:spacing w:after="120"/>
              <w:rPr>
                <w:rFonts w:cs="Calibri"/>
              </w:rPr>
            </w:pPr>
            <w:r>
              <w:rPr>
                <w:rFonts w:cs="Calibri"/>
              </w:rPr>
              <w:t>pensions that are ‘inherited’ (reversion) upon the death of another person</w:t>
            </w:r>
          </w:p>
          <w:p w14:paraId="183698BC" w14:textId="77777777" w:rsidR="00711083" w:rsidRDefault="00711083" w:rsidP="00CE0F25">
            <w:pPr>
              <w:pStyle w:val="ListParagraph"/>
              <w:numPr>
                <w:ilvl w:val="0"/>
                <w:numId w:val="13"/>
              </w:numPr>
              <w:spacing w:after="120"/>
              <w:rPr>
                <w:rFonts w:cs="Calibri"/>
              </w:rPr>
            </w:pPr>
            <w:r>
              <w:rPr>
                <w:rFonts w:cs="Calibri"/>
              </w:rPr>
              <w:t>capped defined benefit income streams</w:t>
            </w:r>
          </w:p>
          <w:p w14:paraId="018E239E" w14:textId="12647ED3" w:rsidR="00711083" w:rsidRDefault="00711083" w:rsidP="00CE0F25">
            <w:pPr>
              <w:spacing w:after="120"/>
              <w:rPr>
                <w:rFonts w:cs="Calibri"/>
              </w:rPr>
            </w:pPr>
            <w:r>
              <w:rPr>
                <w:rFonts w:cs="Calibri"/>
              </w:rPr>
              <w:lastRenderedPageBreak/>
              <w:t xml:space="preserve">In aggregate, the sum of any existing (valued at 30 June </w:t>
            </w:r>
            <w:r w:rsidR="007D7E98">
              <w:rPr>
                <w:rFonts w:cs="Calibri"/>
              </w:rPr>
              <w:t>of the preceding year</w:t>
            </w:r>
            <w:r>
              <w:rPr>
                <w:rFonts w:cs="Calibri"/>
              </w:rPr>
              <w:t>)</w:t>
            </w:r>
            <w:r w:rsidR="007D7E98">
              <w:rPr>
                <w:rFonts w:cs="Calibri"/>
              </w:rPr>
              <w:t>,</w:t>
            </w:r>
            <w:r>
              <w:rPr>
                <w:rFonts w:cs="Calibri"/>
              </w:rPr>
              <w:t xml:space="preserve"> or new pensions</w:t>
            </w:r>
            <w:r w:rsidR="007D7E98">
              <w:rPr>
                <w:rFonts w:cs="Calibri"/>
              </w:rPr>
              <w:t>,</w:t>
            </w:r>
            <w:r>
              <w:rPr>
                <w:rFonts w:cs="Calibri"/>
              </w:rPr>
              <w:t xml:space="preserve"> cannot exceed $1.6m. Amounts in </w:t>
            </w:r>
            <w:r w:rsidR="00396993">
              <w:rPr>
                <w:rFonts w:cs="Calibri"/>
              </w:rPr>
              <w:t>excess must</w:t>
            </w:r>
            <w:r>
              <w:rPr>
                <w:rFonts w:cs="Calibri"/>
              </w:rPr>
              <w:t xml:space="preserve"> be withdrawn from the superannuation system or rolled back into a superannuation accumulation account. </w:t>
            </w:r>
          </w:p>
          <w:p w14:paraId="44F9042B" w14:textId="77777777" w:rsidR="00711083" w:rsidRDefault="00711083" w:rsidP="00CE0F25">
            <w:pPr>
              <w:spacing w:after="120"/>
              <w:rPr>
                <w:rFonts w:cs="Calibri"/>
              </w:rPr>
            </w:pPr>
          </w:p>
          <w:p w14:paraId="2021C010" w14:textId="77777777" w:rsidR="00711083" w:rsidRDefault="00711083" w:rsidP="00CE0F25">
            <w:pPr>
              <w:spacing w:after="120"/>
              <w:rPr>
                <w:rFonts w:cs="Calibri"/>
              </w:rPr>
            </w:pPr>
            <w:r>
              <w:rPr>
                <w:rFonts w:cs="Calibri"/>
              </w:rPr>
              <w:t>In the calculation of the superannuation balance versus the Transfer Balance Cap, the following do not count:</w:t>
            </w:r>
          </w:p>
          <w:p w14:paraId="49D1EDF8" w14:textId="77777777" w:rsidR="00711083" w:rsidRDefault="00711083" w:rsidP="00CE0F25">
            <w:pPr>
              <w:pStyle w:val="ListParagraph"/>
              <w:numPr>
                <w:ilvl w:val="0"/>
                <w:numId w:val="13"/>
              </w:numPr>
              <w:spacing w:after="120"/>
              <w:rPr>
                <w:rFonts w:cs="Calibri"/>
              </w:rPr>
            </w:pPr>
            <w:r w:rsidRPr="00A76FEB">
              <w:rPr>
                <w:rFonts w:cs="Calibri"/>
              </w:rPr>
              <w:t xml:space="preserve">Transition to </w:t>
            </w:r>
            <w:r w:rsidRPr="006B5C2B">
              <w:rPr>
                <w:rFonts w:cs="Calibri"/>
              </w:rPr>
              <w:t xml:space="preserve">Retirement </w:t>
            </w:r>
            <w:r>
              <w:rPr>
                <w:rFonts w:cs="Calibri"/>
              </w:rPr>
              <w:t>Pensions</w:t>
            </w:r>
          </w:p>
          <w:p w14:paraId="15A319DD" w14:textId="77777777" w:rsidR="00711083" w:rsidRPr="006B5C2B" w:rsidRDefault="00711083" w:rsidP="00CE0F25">
            <w:pPr>
              <w:pStyle w:val="ListParagraph"/>
              <w:numPr>
                <w:ilvl w:val="0"/>
                <w:numId w:val="13"/>
              </w:numPr>
              <w:spacing w:after="120"/>
              <w:rPr>
                <w:rFonts w:cs="Calibri"/>
              </w:rPr>
            </w:pPr>
            <w:r>
              <w:rPr>
                <w:rFonts w:cs="Calibri"/>
              </w:rPr>
              <w:t>Movements of</w:t>
            </w:r>
            <w:r w:rsidRPr="006B5C2B">
              <w:rPr>
                <w:rFonts w:cs="Calibri"/>
              </w:rPr>
              <w:t xml:space="preserve"> </w:t>
            </w:r>
            <w:r>
              <w:rPr>
                <w:rFonts w:cs="Calibri"/>
              </w:rPr>
              <w:t>pension balances due to earnings or investment losses</w:t>
            </w:r>
          </w:p>
          <w:p w14:paraId="2D23F3CD" w14:textId="77777777" w:rsidR="00711083" w:rsidRDefault="00711083" w:rsidP="00CE0F25">
            <w:pPr>
              <w:spacing w:after="120"/>
              <w:rPr>
                <w:rFonts w:cs="Calibri"/>
              </w:rPr>
            </w:pPr>
          </w:p>
          <w:p w14:paraId="574CC202" w14:textId="320E32C1" w:rsidR="00711083" w:rsidRDefault="00711083" w:rsidP="00CE0F25">
            <w:pPr>
              <w:spacing w:after="120"/>
              <w:rPr>
                <w:rFonts w:cs="Calibri"/>
              </w:rPr>
            </w:pPr>
            <w:r>
              <w:rPr>
                <w:rFonts w:cs="Calibri"/>
              </w:rPr>
              <w:t>The Transfer Balance Cap (TBC) is expected to index and will increase in $100,000 increments</w:t>
            </w:r>
            <w:r w:rsidR="000A0534">
              <w:rPr>
                <w:rFonts w:cs="Calibri"/>
              </w:rPr>
              <w:t xml:space="preserve">; </w:t>
            </w:r>
            <w:r>
              <w:rPr>
                <w:rFonts w:cs="Calibri"/>
              </w:rPr>
              <w:t>anyone receiving an initial pension will be subject to the indexed limit of the TBC that applies at that time.</w:t>
            </w:r>
          </w:p>
          <w:p w14:paraId="36BBABF5" w14:textId="14177A2F" w:rsidR="00711083" w:rsidRPr="005A1F9D" w:rsidRDefault="00711083" w:rsidP="00CE0F25">
            <w:pPr>
              <w:spacing w:after="120"/>
              <w:rPr>
                <w:rFonts w:cs="Calibri"/>
              </w:rPr>
            </w:pPr>
            <w:r>
              <w:rPr>
                <w:rFonts w:cs="Calibri"/>
              </w:rPr>
              <w:t xml:space="preserve">When indexation occurs, the opportunity for an individual with </w:t>
            </w:r>
            <w:r w:rsidRPr="00E11BDB">
              <w:rPr>
                <w:rFonts w:cs="Calibri"/>
                <w:color w:val="7030A0"/>
                <w:highlight w:val="yellow"/>
              </w:rPr>
              <w:t>a</w:t>
            </w:r>
            <w:r>
              <w:rPr>
                <w:rFonts w:cs="Calibri"/>
              </w:rPr>
              <w:t xml:space="preserve"> pre-existing pension(s) to increase their aggregate pension balance may </w:t>
            </w:r>
            <w:r w:rsidR="00EF041B">
              <w:rPr>
                <w:rFonts w:cs="Calibri"/>
              </w:rPr>
              <w:t>arise</w:t>
            </w:r>
            <w:r>
              <w:rPr>
                <w:rFonts w:cs="Calibri"/>
              </w:rPr>
              <w:t xml:space="preserve">. </w:t>
            </w:r>
          </w:p>
        </w:tc>
      </w:tr>
    </w:tbl>
    <w:p w14:paraId="6FAE8B1A" w14:textId="77777777" w:rsidR="00711083" w:rsidRDefault="00711083" w:rsidP="00711083"/>
    <w:p w14:paraId="161B4541" w14:textId="77777777" w:rsidR="00711083" w:rsidRDefault="00711083" w:rsidP="00711083"/>
    <w:p w14:paraId="2F3C9C2A" w14:textId="77777777" w:rsidR="00711083" w:rsidRDefault="00711083" w:rsidP="00711083"/>
    <w:p w14:paraId="433FD106" w14:textId="77777777" w:rsidR="00711083" w:rsidRDefault="00711083" w:rsidP="00711083">
      <w:pPr>
        <w:spacing w:after="120"/>
        <w:rPr>
          <w:rFonts w:cs="Calibri"/>
        </w:rPr>
      </w:pPr>
    </w:p>
    <w:p w14:paraId="02429DE3" w14:textId="77777777" w:rsidR="00711083" w:rsidRPr="0059655A" w:rsidRDefault="00711083" w:rsidP="00E11BDB">
      <w:pPr>
        <w:jc w:val="left"/>
      </w:pPr>
      <w:r w:rsidRPr="00262933">
        <w:rPr>
          <w:color w:val="002060"/>
          <w:sz w:val="24"/>
        </w:rPr>
        <w:t>Transfer Balance Account</w:t>
      </w:r>
    </w:p>
    <w:p w14:paraId="50AFC49D" w14:textId="77777777" w:rsidR="00711083" w:rsidRDefault="00711083" w:rsidP="00711083">
      <w:pPr>
        <w:spacing w:after="120"/>
        <w:rPr>
          <w:rFonts w:cs="Calibri"/>
        </w:rPr>
      </w:pPr>
    </w:p>
    <w:tbl>
      <w:tblPr>
        <w:tblStyle w:val="TableGrid"/>
        <w:tblW w:w="0" w:type="auto"/>
        <w:tblInd w:w="76" w:type="dxa"/>
        <w:tblLook w:val="04A0" w:firstRow="1" w:lastRow="0" w:firstColumn="1" w:lastColumn="0" w:noHBand="0" w:noVBand="1"/>
      </w:tblPr>
      <w:tblGrid>
        <w:gridCol w:w="2754"/>
        <w:gridCol w:w="6798"/>
      </w:tblGrid>
      <w:tr w:rsidR="00711083" w:rsidRPr="000D0191" w14:paraId="349FD259" w14:textId="77777777" w:rsidTr="00CE0F25">
        <w:tc>
          <w:tcPr>
            <w:tcW w:w="2754" w:type="dxa"/>
          </w:tcPr>
          <w:p w14:paraId="26F015ED" w14:textId="11AC22C1" w:rsidR="00711083" w:rsidRPr="00EA0A06" w:rsidRDefault="00711083" w:rsidP="00E164DA">
            <w:pPr>
              <w:pStyle w:val="Instructions"/>
            </w:pPr>
          </w:p>
        </w:tc>
        <w:tc>
          <w:tcPr>
            <w:tcW w:w="6798" w:type="dxa"/>
          </w:tcPr>
          <w:p w14:paraId="6385EB74" w14:textId="77777777" w:rsidR="00711083" w:rsidRDefault="00711083" w:rsidP="00CE0F25">
            <w:pPr>
              <w:spacing w:after="120"/>
              <w:rPr>
                <w:rFonts w:cs="Calibri"/>
              </w:rPr>
            </w:pPr>
            <w:r>
              <w:rPr>
                <w:rFonts w:cs="Calibri"/>
              </w:rPr>
              <w:t>Once an individual receives a pension, the retirement income stream balance is tracked ongoing. This is called a Transfer Balance Account (TBA).</w:t>
            </w:r>
          </w:p>
          <w:p w14:paraId="23A6B07C" w14:textId="4ABF4D89" w:rsidR="00711083" w:rsidRDefault="00711083" w:rsidP="00CE0F25">
            <w:pPr>
              <w:spacing w:after="120"/>
              <w:rPr>
                <w:rFonts w:cs="Calibri"/>
              </w:rPr>
            </w:pPr>
            <w:r>
              <w:rPr>
                <w:rFonts w:cs="Calibri"/>
              </w:rPr>
              <w:t>For a person commencing their first pension, the individual’s TBA would be equal to the Transfer Balance Cap (TBC) $1.6m.</w:t>
            </w:r>
          </w:p>
          <w:p w14:paraId="4CCD5BBD" w14:textId="77777777" w:rsidR="00711083" w:rsidRDefault="00711083" w:rsidP="00CE0F25">
            <w:pPr>
              <w:spacing w:after="120"/>
              <w:rPr>
                <w:rFonts w:cs="Calibri"/>
              </w:rPr>
            </w:pPr>
            <w:r>
              <w:rPr>
                <w:rFonts w:cs="Calibri"/>
              </w:rPr>
              <w:t>Otherwise, a person’s TBA can alter:</w:t>
            </w:r>
          </w:p>
          <w:p w14:paraId="7D454191" w14:textId="77777777" w:rsidR="00711083" w:rsidRDefault="00711083" w:rsidP="00CE0F25">
            <w:pPr>
              <w:spacing w:after="120"/>
              <w:rPr>
                <w:rFonts w:cs="Calibri"/>
              </w:rPr>
            </w:pPr>
            <w:r>
              <w:rPr>
                <w:rFonts w:cs="Calibri"/>
              </w:rPr>
              <w:t>Increase:</w:t>
            </w:r>
          </w:p>
          <w:p w14:paraId="64F144B2" w14:textId="77777777" w:rsidR="00711083" w:rsidRPr="00AE5972" w:rsidRDefault="00711083" w:rsidP="00CE0F25">
            <w:pPr>
              <w:pStyle w:val="ListParagraph"/>
              <w:numPr>
                <w:ilvl w:val="0"/>
                <w:numId w:val="12"/>
              </w:numPr>
              <w:spacing w:after="120"/>
              <w:rPr>
                <w:rFonts w:cs="Calibri"/>
              </w:rPr>
            </w:pPr>
            <w:r>
              <w:rPr>
                <w:rFonts w:cs="Calibri"/>
              </w:rPr>
              <w:t>a</w:t>
            </w:r>
            <w:r w:rsidRPr="00AE5972">
              <w:rPr>
                <w:rFonts w:cs="Calibri"/>
              </w:rPr>
              <w:t>s new pensions commence or are inherited</w:t>
            </w:r>
          </w:p>
          <w:p w14:paraId="16E54598" w14:textId="77777777" w:rsidR="00711083" w:rsidRDefault="00711083" w:rsidP="00CE0F25">
            <w:pPr>
              <w:spacing w:after="120"/>
              <w:rPr>
                <w:rFonts w:cs="Calibri"/>
              </w:rPr>
            </w:pPr>
            <w:r>
              <w:rPr>
                <w:rFonts w:cs="Calibri"/>
              </w:rPr>
              <w:t>Decrease:</w:t>
            </w:r>
          </w:p>
          <w:p w14:paraId="74ABA564" w14:textId="77777777" w:rsidR="00711083" w:rsidRDefault="00711083" w:rsidP="00CE0F25">
            <w:pPr>
              <w:pStyle w:val="ListParagraph"/>
              <w:numPr>
                <w:ilvl w:val="0"/>
                <w:numId w:val="12"/>
              </w:numPr>
              <w:spacing w:after="120"/>
              <w:rPr>
                <w:rFonts w:cs="Calibri"/>
              </w:rPr>
            </w:pPr>
            <w:r>
              <w:rPr>
                <w:rFonts w:cs="Calibri"/>
              </w:rPr>
              <w:t>when a</w:t>
            </w:r>
            <w:r w:rsidRPr="00AE5972">
              <w:rPr>
                <w:rFonts w:cs="Calibri"/>
              </w:rPr>
              <w:t xml:space="preserve"> special lump</w:t>
            </w:r>
            <w:r>
              <w:rPr>
                <w:rFonts w:cs="Calibri"/>
              </w:rPr>
              <w:t xml:space="preserve"> </w:t>
            </w:r>
            <w:r w:rsidRPr="00AE5972">
              <w:rPr>
                <w:rFonts w:cs="Calibri"/>
              </w:rPr>
              <w:t>sum capital payment (commutation) is made</w:t>
            </w:r>
          </w:p>
          <w:p w14:paraId="77F4F0F9" w14:textId="77777777" w:rsidR="00711083" w:rsidRDefault="00711083" w:rsidP="00CE0F25">
            <w:pPr>
              <w:pStyle w:val="ListParagraph"/>
              <w:numPr>
                <w:ilvl w:val="0"/>
                <w:numId w:val="12"/>
              </w:numPr>
              <w:spacing w:after="120"/>
              <w:rPr>
                <w:rFonts w:cs="Calibri"/>
              </w:rPr>
            </w:pPr>
            <w:r>
              <w:rPr>
                <w:rFonts w:cs="Calibri"/>
              </w:rPr>
              <w:t>by family law splits, repayments of fraudulent or otherwise voided contributions as they occur</w:t>
            </w:r>
          </w:p>
          <w:p w14:paraId="0ACD8635" w14:textId="77777777" w:rsidR="00711083" w:rsidRDefault="00711083" w:rsidP="00CE0F25">
            <w:pPr>
              <w:pStyle w:val="ListParagraph"/>
              <w:numPr>
                <w:ilvl w:val="0"/>
                <w:numId w:val="12"/>
              </w:numPr>
              <w:spacing w:after="120"/>
              <w:rPr>
                <w:rFonts w:cs="Calibri"/>
              </w:rPr>
            </w:pPr>
            <w:r>
              <w:rPr>
                <w:rFonts w:cs="Calibri"/>
              </w:rPr>
              <w:t>by the amount of retirement stream capital funded from a structured settlement</w:t>
            </w:r>
          </w:p>
          <w:p w14:paraId="09A25B93" w14:textId="77777777" w:rsidR="00711083" w:rsidRPr="000D0191" w:rsidRDefault="00711083" w:rsidP="00E164DA">
            <w:pPr>
              <w:pStyle w:val="Instructions"/>
              <w:rPr>
                <w:highlight w:val="yellow"/>
              </w:rPr>
            </w:pPr>
          </w:p>
        </w:tc>
      </w:tr>
    </w:tbl>
    <w:p w14:paraId="72555FCB" w14:textId="77777777" w:rsidR="00711083" w:rsidRDefault="00711083" w:rsidP="00711083">
      <w:pPr>
        <w:spacing w:after="120"/>
        <w:rPr>
          <w:rFonts w:cs="Calibri"/>
        </w:rPr>
      </w:pPr>
    </w:p>
    <w:p w14:paraId="5048E92E" w14:textId="77777777" w:rsidR="00711083" w:rsidRPr="00D876A8" w:rsidRDefault="00711083" w:rsidP="00711083">
      <w:pPr>
        <w:spacing w:after="120"/>
        <w:rPr>
          <w:rFonts w:cs="Calibri"/>
        </w:rPr>
      </w:pPr>
    </w:p>
    <w:p w14:paraId="18265C0F" w14:textId="77777777" w:rsidR="00711083" w:rsidRPr="0059655A" w:rsidRDefault="00711083" w:rsidP="00262933">
      <w:pPr>
        <w:jc w:val="left"/>
      </w:pPr>
      <w:r w:rsidRPr="00E11BDB">
        <w:rPr>
          <w:color w:val="002060"/>
          <w:sz w:val="24"/>
        </w:rPr>
        <w:t>Total Superannuation Balance (TSB)</w:t>
      </w:r>
    </w:p>
    <w:p w14:paraId="12A676D5" w14:textId="77777777" w:rsidR="00711083" w:rsidRDefault="00711083" w:rsidP="00711083">
      <w:pPr>
        <w:spacing w:after="120"/>
        <w:rPr>
          <w:rFonts w:cs="Calibri"/>
        </w:rPr>
      </w:pPr>
    </w:p>
    <w:tbl>
      <w:tblPr>
        <w:tblStyle w:val="TableGrid"/>
        <w:tblW w:w="0" w:type="auto"/>
        <w:tblInd w:w="76" w:type="dxa"/>
        <w:tblLook w:val="04A0" w:firstRow="1" w:lastRow="0" w:firstColumn="1" w:lastColumn="0" w:noHBand="0" w:noVBand="1"/>
      </w:tblPr>
      <w:tblGrid>
        <w:gridCol w:w="2754"/>
        <w:gridCol w:w="6798"/>
      </w:tblGrid>
      <w:tr w:rsidR="00711083" w:rsidRPr="00BB0D88" w14:paraId="22D08FCE" w14:textId="77777777" w:rsidTr="00CE0F25">
        <w:trPr>
          <w:trHeight w:val="1793"/>
        </w:trPr>
        <w:tc>
          <w:tcPr>
            <w:tcW w:w="2754" w:type="dxa"/>
          </w:tcPr>
          <w:p w14:paraId="65E8BC52" w14:textId="13BDF279" w:rsidR="00711083" w:rsidRPr="00BB0D88" w:rsidRDefault="00711083" w:rsidP="00E164DA">
            <w:pPr>
              <w:pStyle w:val="Instructions"/>
            </w:pPr>
          </w:p>
        </w:tc>
        <w:tc>
          <w:tcPr>
            <w:tcW w:w="6798" w:type="dxa"/>
          </w:tcPr>
          <w:p w14:paraId="2C8D77CC" w14:textId="77777777" w:rsidR="00711083" w:rsidRPr="00BB0D88" w:rsidRDefault="00711083" w:rsidP="00CE0F25">
            <w:pPr>
              <w:spacing w:after="120"/>
              <w:rPr>
                <w:rFonts w:cs="Calibri"/>
              </w:rPr>
            </w:pPr>
            <w:r w:rsidRPr="00BB0D88">
              <w:rPr>
                <w:rFonts w:cs="Calibri"/>
              </w:rPr>
              <w:t>An individual’s Total Superannuation Balance is the sum of:</w:t>
            </w:r>
          </w:p>
          <w:p w14:paraId="4A399710" w14:textId="77777777" w:rsidR="00711083" w:rsidRPr="00BB0D88" w:rsidRDefault="00711083" w:rsidP="00CE0F25">
            <w:pPr>
              <w:pStyle w:val="ListParagraph"/>
              <w:numPr>
                <w:ilvl w:val="0"/>
                <w:numId w:val="14"/>
              </w:numPr>
              <w:spacing w:after="120"/>
              <w:rPr>
                <w:rFonts w:cs="Calibri"/>
              </w:rPr>
            </w:pPr>
            <w:r w:rsidRPr="00BB0D88">
              <w:rPr>
                <w:rFonts w:cs="Calibri"/>
              </w:rPr>
              <w:t>superannuation interests in accumulation</w:t>
            </w:r>
          </w:p>
          <w:p w14:paraId="1E65255E" w14:textId="77777777" w:rsidR="00711083" w:rsidRPr="00BB0D88" w:rsidRDefault="00711083" w:rsidP="00CE0F25">
            <w:pPr>
              <w:pStyle w:val="ListParagraph"/>
              <w:numPr>
                <w:ilvl w:val="0"/>
                <w:numId w:val="14"/>
              </w:numPr>
              <w:spacing w:after="120"/>
              <w:rPr>
                <w:rFonts w:cs="Calibri"/>
              </w:rPr>
            </w:pPr>
            <w:r w:rsidRPr="00BB0D88">
              <w:rPr>
                <w:rFonts w:cs="Calibri"/>
              </w:rPr>
              <w:t>account balances of Transition to Retirement pensions</w:t>
            </w:r>
          </w:p>
          <w:p w14:paraId="295757D9" w14:textId="77777777" w:rsidR="00711083" w:rsidRPr="00BB0D88" w:rsidRDefault="00711083" w:rsidP="00CE0F25">
            <w:pPr>
              <w:pStyle w:val="ListParagraph"/>
              <w:numPr>
                <w:ilvl w:val="0"/>
                <w:numId w:val="14"/>
              </w:numPr>
              <w:spacing w:after="120"/>
              <w:rPr>
                <w:rFonts w:cs="Calibri"/>
              </w:rPr>
            </w:pPr>
            <w:r w:rsidRPr="00BB0D88">
              <w:rPr>
                <w:rFonts w:cs="Calibri"/>
              </w:rPr>
              <w:t>the balance of the Transfer Balance Account</w:t>
            </w:r>
          </w:p>
          <w:p w14:paraId="16D1EB5D" w14:textId="77777777" w:rsidR="00711083" w:rsidRPr="00BB0D88" w:rsidRDefault="00711083" w:rsidP="00CE0F25">
            <w:pPr>
              <w:spacing w:after="120"/>
              <w:rPr>
                <w:rFonts w:cs="Calibri"/>
              </w:rPr>
            </w:pPr>
            <w:r w:rsidRPr="00BB0D88">
              <w:rPr>
                <w:rFonts w:cs="Calibri"/>
              </w:rPr>
              <w:t>It is determined for the new financial year at 30th June of the preceding financial year.</w:t>
            </w:r>
          </w:p>
          <w:p w14:paraId="0E3F05DC" w14:textId="77777777" w:rsidR="00711083" w:rsidRPr="00BB0D88" w:rsidRDefault="00711083" w:rsidP="00CE0F25">
            <w:pPr>
              <w:spacing w:after="120"/>
            </w:pPr>
            <w:r w:rsidRPr="00BB0D88">
              <w:rPr>
                <w:rFonts w:cs="Calibri"/>
              </w:rPr>
              <w:t>It excludes any lump sum amounts received by a superannuation fund from a structured settlement</w:t>
            </w:r>
          </w:p>
        </w:tc>
      </w:tr>
    </w:tbl>
    <w:p w14:paraId="3629A53B" w14:textId="2DA2AB36" w:rsidR="00711083" w:rsidRDefault="00711083" w:rsidP="00711083">
      <w:pPr>
        <w:spacing w:after="120"/>
        <w:rPr>
          <w:rFonts w:cs="Calibri"/>
        </w:rPr>
      </w:pPr>
    </w:p>
    <w:p w14:paraId="762D29A4" w14:textId="77777777" w:rsidR="004E577F" w:rsidRPr="0059655A" w:rsidRDefault="004E577F" w:rsidP="00813B6E">
      <w:pPr>
        <w:jc w:val="left"/>
      </w:pPr>
      <w:r w:rsidRPr="00A37358">
        <w:rPr>
          <w:color w:val="002060"/>
          <w:sz w:val="24"/>
        </w:rPr>
        <w:t>Low Income Superannuation Tax Offset (LISTO)</w:t>
      </w:r>
    </w:p>
    <w:p w14:paraId="3DA37E7A" w14:textId="77777777" w:rsidR="004E577F" w:rsidRPr="00BB0D88" w:rsidRDefault="004E577F" w:rsidP="004E577F">
      <w:pPr>
        <w:jc w:val="left"/>
      </w:pPr>
    </w:p>
    <w:tbl>
      <w:tblPr>
        <w:tblStyle w:val="TableGrid"/>
        <w:tblW w:w="0" w:type="auto"/>
        <w:tblInd w:w="76" w:type="dxa"/>
        <w:tblLook w:val="04A0" w:firstRow="1" w:lastRow="0" w:firstColumn="1" w:lastColumn="0" w:noHBand="0" w:noVBand="1"/>
      </w:tblPr>
      <w:tblGrid>
        <w:gridCol w:w="2754"/>
        <w:gridCol w:w="6798"/>
      </w:tblGrid>
      <w:tr w:rsidR="004E577F" w:rsidRPr="00BB0D88" w14:paraId="07143B51" w14:textId="77777777" w:rsidTr="00CE0F25">
        <w:tc>
          <w:tcPr>
            <w:tcW w:w="2754" w:type="dxa"/>
          </w:tcPr>
          <w:p w14:paraId="3B105A00" w14:textId="4D8369B9" w:rsidR="004E577F" w:rsidRPr="00BB0D88" w:rsidRDefault="004E577F" w:rsidP="00E164DA">
            <w:pPr>
              <w:pStyle w:val="Instructions"/>
            </w:pPr>
          </w:p>
        </w:tc>
        <w:tc>
          <w:tcPr>
            <w:tcW w:w="6798" w:type="dxa"/>
          </w:tcPr>
          <w:p w14:paraId="7D5985FE" w14:textId="677BBA4E" w:rsidR="004E577F" w:rsidRPr="00BB0D88" w:rsidRDefault="004E577F" w:rsidP="00CE0F25">
            <w:pPr>
              <w:pStyle w:val="Coding"/>
            </w:pPr>
            <w:r w:rsidRPr="00BB0D88">
              <w:t xml:space="preserve">This payment effectively offsets the </w:t>
            </w:r>
            <w:proofErr w:type="spellStart"/>
            <w:r w:rsidRPr="00BB0D88">
              <w:t>contibutions</w:t>
            </w:r>
            <w:proofErr w:type="spellEnd"/>
            <w:r w:rsidRPr="00BB0D88">
              <w:t xml:space="preserve"> tax </w:t>
            </w:r>
            <w:r w:rsidR="00813B6E">
              <w:t xml:space="preserve">on Concessional Contributions </w:t>
            </w:r>
            <w:r w:rsidRPr="00BB0D88">
              <w:t xml:space="preserve">paid by low income earners with adjusted taxable income not exceeding $37,000. </w:t>
            </w:r>
          </w:p>
          <w:p w14:paraId="6E7652DD" w14:textId="77777777" w:rsidR="004E577F" w:rsidRPr="00BB0D88" w:rsidRDefault="004E577F" w:rsidP="00CE0F25">
            <w:pPr>
              <w:pStyle w:val="Coding"/>
            </w:pPr>
          </w:p>
          <w:p w14:paraId="4C55D036" w14:textId="77777777" w:rsidR="004E577F" w:rsidRPr="00BB0D88" w:rsidRDefault="004E577F" w:rsidP="00CE0F25">
            <w:pPr>
              <w:pStyle w:val="Coding"/>
            </w:pPr>
            <w:r w:rsidRPr="00BB0D88">
              <w:t>The amount of payment cannot exceed $500 and eligibility is limited to those for whom 10% or more of their income is from business or employment.</w:t>
            </w:r>
          </w:p>
          <w:p w14:paraId="13217F10" w14:textId="77777777" w:rsidR="004E577F" w:rsidRPr="00BB0D88" w:rsidRDefault="004E577F" w:rsidP="00E164DA">
            <w:pPr>
              <w:pStyle w:val="Instructions"/>
            </w:pPr>
          </w:p>
        </w:tc>
      </w:tr>
    </w:tbl>
    <w:p w14:paraId="2E34563D" w14:textId="77777777" w:rsidR="004E577F" w:rsidRPr="00BB0D88" w:rsidRDefault="004E577F" w:rsidP="004E577F">
      <w:pPr>
        <w:pStyle w:val="Coding"/>
      </w:pPr>
    </w:p>
    <w:p w14:paraId="28DD2466" w14:textId="77777777" w:rsidR="004E577F" w:rsidRPr="00BB0D88" w:rsidRDefault="004E577F" w:rsidP="004E577F">
      <w:pPr>
        <w:pStyle w:val="Coding"/>
      </w:pPr>
    </w:p>
    <w:p w14:paraId="46CA2669" w14:textId="77777777" w:rsidR="004E577F" w:rsidRPr="00BB0D88" w:rsidRDefault="004E577F" w:rsidP="004E577F">
      <w:pPr>
        <w:pStyle w:val="Coding"/>
      </w:pPr>
    </w:p>
    <w:p w14:paraId="54305D50" w14:textId="77777777" w:rsidR="004E577F" w:rsidRPr="0059655A" w:rsidRDefault="004E577F" w:rsidP="006D543E">
      <w:pPr>
        <w:jc w:val="left"/>
      </w:pPr>
      <w:r w:rsidRPr="00A37358">
        <w:rPr>
          <w:color w:val="002060"/>
          <w:sz w:val="24"/>
        </w:rPr>
        <w:t>High Income Earners – Contributions Tax</w:t>
      </w:r>
    </w:p>
    <w:p w14:paraId="5E78B7BA" w14:textId="77777777" w:rsidR="004E577F" w:rsidRPr="00BB0D88" w:rsidRDefault="004E577F" w:rsidP="004E577F"/>
    <w:tbl>
      <w:tblPr>
        <w:tblStyle w:val="TableGrid"/>
        <w:tblW w:w="0" w:type="auto"/>
        <w:tblInd w:w="76" w:type="dxa"/>
        <w:tblLook w:val="04A0" w:firstRow="1" w:lastRow="0" w:firstColumn="1" w:lastColumn="0" w:noHBand="0" w:noVBand="1"/>
      </w:tblPr>
      <w:tblGrid>
        <w:gridCol w:w="2754"/>
        <w:gridCol w:w="6798"/>
      </w:tblGrid>
      <w:tr w:rsidR="004E577F" w:rsidRPr="00BB0D88" w14:paraId="13D5192C" w14:textId="77777777" w:rsidTr="00CE0F25">
        <w:tc>
          <w:tcPr>
            <w:tcW w:w="2754" w:type="dxa"/>
          </w:tcPr>
          <w:p w14:paraId="101DA04D" w14:textId="69BBCAB7" w:rsidR="004E577F" w:rsidRPr="00BB0D88" w:rsidRDefault="004E577F" w:rsidP="00E164DA">
            <w:pPr>
              <w:pStyle w:val="Instructions"/>
            </w:pPr>
          </w:p>
        </w:tc>
        <w:tc>
          <w:tcPr>
            <w:tcW w:w="6798" w:type="dxa"/>
          </w:tcPr>
          <w:p w14:paraId="5B9B6431" w14:textId="77777777" w:rsidR="004E577F" w:rsidRPr="00BB0D88" w:rsidRDefault="004E577F" w:rsidP="00CE0F25">
            <w:r w:rsidRPr="00BB0D88">
              <w:t>High Income Earners pay an additional 15% contribution tax on concessional contributions made to superannuation. This extra payment is driven by Division 293 of the Tax Act.</w:t>
            </w:r>
          </w:p>
          <w:p w14:paraId="735F8ACF" w14:textId="77777777" w:rsidR="004E577F" w:rsidRPr="00BB0D88" w:rsidRDefault="004E577F" w:rsidP="00CE0F25"/>
          <w:p w14:paraId="335D0D54" w14:textId="4E6F2760" w:rsidR="004E577F" w:rsidRPr="00BB0D88" w:rsidRDefault="006D543E" w:rsidP="00CE0F25">
            <w:r>
              <w:t>T</w:t>
            </w:r>
            <w:r w:rsidR="004E577F" w:rsidRPr="00BB0D88">
              <w:t>hose earning $250,000 per annum or more will be affected by this tax.</w:t>
            </w:r>
          </w:p>
        </w:tc>
      </w:tr>
    </w:tbl>
    <w:p w14:paraId="713375AA" w14:textId="77777777" w:rsidR="004E577F" w:rsidRPr="00BB0D88" w:rsidRDefault="004E577F" w:rsidP="004E577F"/>
    <w:p w14:paraId="548EF448" w14:textId="77777777" w:rsidR="004E577F" w:rsidRPr="00BB0D88" w:rsidRDefault="004E577F" w:rsidP="00711083">
      <w:pPr>
        <w:spacing w:after="120"/>
        <w:rPr>
          <w:rFonts w:cs="Calibri"/>
        </w:rPr>
      </w:pPr>
    </w:p>
    <w:p w14:paraId="50F844F2" w14:textId="77777777" w:rsidR="00DC0A9A" w:rsidRPr="006D543E" w:rsidRDefault="00DC0A9A" w:rsidP="009C1820">
      <w:pPr>
        <w:jc w:val="left"/>
        <w:rPr>
          <w:color w:val="002060"/>
          <w:sz w:val="24"/>
        </w:rPr>
      </w:pPr>
      <w:r w:rsidRPr="006D543E">
        <w:rPr>
          <w:color w:val="002060"/>
          <w:sz w:val="24"/>
        </w:rPr>
        <w:t>Superannuation Guarantee (SG)</w:t>
      </w:r>
    </w:p>
    <w:tbl>
      <w:tblPr>
        <w:tblStyle w:val="TableGrid"/>
        <w:tblW w:w="0" w:type="auto"/>
        <w:tblInd w:w="76" w:type="dxa"/>
        <w:tblLook w:val="04A0" w:firstRow="1" w:lastRow="0" w:firstColumn="1" w:lastColumn="0" w:noHBand="0" w:noVBand="1"/>
      </w:tblPr>
      <w:tblGrid>
        <w:gridCol w:w="2754"/>
        <w:gridCol w:w="6798"/>
      </w:tblGrid>
      <w:tr w:rsidR="00DC0A9A" w:rsidRPr="00E51BEA" w14:paraId="705F7A7E" w14:textId="77777777" w:rsidTr="00814F2C">
        <w:tc>
          <w:tcPr>
            <w:tcW w:w="2754" w:type="dxa"/>
          </w:tcPr>
          <w:p w14:paraId="1666805E" w14:textId="75930EEC" w:rsidR="00DC0A9A" w:rsidRPr="00BB0D88" w:rsidRDefault="00DC0A9A" w:rsidP="00E164DA">
            <w:pPr>
              <w:pStyle w:val="Instructions"/>
            </w:pPr>
          </w:p>
        </w:tc>
        <w:tc>
          <w:tcPr>
            <w:tcW w:w="6798" w:type="dxa"/>
          </w:tcPr>
          <w:p w14:paraId="755760A0" w14:textId="1946767A" w:rsidR="00DC0A9A" w:rsidRPr="00BB0D88" w:rsidRDefault="00DC0A9A" w:rsidP="00814F2C">
            <w:pPr>
              <w:keepNext/>
              <w:spacing w:after="120"/>
            </w:pPr>
            <w:r w:rsidRPr="00BB0D88">
              <w:t>The Superannuation Guarantee (SG) is a Commonwealth Government program</w:t>
            </w:r>
            <w:r w:rsidR="00DF5D15">
              <w:t xml:space="preserve"> that </w:t>
            </w:r>
            <w:r w:rsidRPr="00BB0D88">
              <w:t>requires all employers to make minimum contributions to a complying superannuation fund for their employees. An employer includes the public and private sector, tax exempt organisations and family companies or trusts if they pay salary or wages.</w:t>
            </w:r>
          </w:p>
          <w:p w14:paraId="3422C918" w14:textId="4F311351" w:rsidR="00DC0A9A" w:rsidRPr="00BB0D88" w:rsidRDefault="00DC0A9A" w:rsidP="00814F2C">
            <w:pPr>
              <w:spacing w:after="120"/>
            </w:pPr>
            <w:r w:rsidRPr="00BB0D88">
              <w:t>The rate of SG for the 20</w:t>
            </w:r>
            <w:r w:rsidR="00765E04">
              <w:t>20</w:t>
            </w:r>
            <w:r w:rsidRPr="00BB0D88">
              <w:t>/2</w:t>
            </w:r>
            <w:r w:rsidR="00765E04">
              <w:t>021</w:t>
            </w:r>
            <w:r w:rsidRPr="00BB0D88">
              <w:t xml:space="preserve"> financial year is equal to 9.5% of Ordinary Time Earnings (required to be paid at least quarterly).  </w:t>
            </w:r>
            <w:r w:rsidR="00DF5D15">
              <w:t xml:space="preserve">An </w:t>
            </w:r>
            <w:r w:rsidRPr="00BB0D88">
              <w:t>employer is no</w:t>
            </w:r>
            <w:r w:rsidR="00DF5D15">
              <w:t>t</w:t>
            </w:r>
            <w:r w:rsidRPr="00BB0D88">
              <w:t xml:space="preserve"> required to contribute beyond an employee’s concessional contributions cap. </w:t>
            </w:r>
          </w:p>
          <w:p w14:paraId="35897802" w14:textId="77777777" w:rsidR="00DC0A9A" w:rsidRPr="00B13888" w:rsidRDefault="00DC0A9A" w:rsidP="00814F2C">
            <w:pPr>
              <w:spacing w:after="120"/>
            </w:pPr>
            <w:r w:rsidRPr="00BB0D88">
              <w:t>Employers have 28 days after the end of the quarter to pay the required SG amount for employees, if they do not do so, then they are required to pay the Superannuation Guarantee Charge (SGC).</w:t>
            </w:r>
          </w:p>
          <w:p w14:paraId="75CDB9D8" w14:textId="77777777" w:rsidR="00DC0A9A" w:rsidRPr="00E51BEA" w:rsidRDefault="00DC0A9A" w:rsidP="00E164DA">
            <w:pPr>
              <w:pStyle w:val="Instructions"/>
            </w:pPr>
          </w:p>
        </w:tc>
      </w:tr>
    </w:tbl>
    <w:p w14:paraId="19EB2AB0" w14:textId="77777777" w:rsidR="00DC0A9A" w:rsidRDefault="00DC0A9A" w:rsidP="00DC0A9A">
      <w:pPr>
        <w:keepNext/>
        <w:spacing w:after="120"/>
      </w:pPr>
    </w:p>
    <w:p w14:paraId="6DD15F9A" w14:textId="77777777" w:rsidR="00DC0A9A" w:rsidRDefault="00DC0A9A" w:rsidP="00DC0A9A">
      <w:pPr>
        <w:pStyle w:val="Coding"/>
      </w:pPr>
    </w:p>
    <w:p w14:paraId="144D8398" w14:textId="28BEE65D" w:rsidR="00DC0A9A" w:rsidRPr="00E11BDB" w:rsidRDefault="00DC0A9A" w:rsidP="009C1820">
      <w:pPr>
        <w:jc w:val="left"/>
        <w:rPr>
          <w:color w:val="002060"/>
          <w:sz w:val="24"/>
        </w:rPr>
      </w:pPr>
      <w:r w:rsidRPr="00E11BDB">
        <w:rPr>
          <w:color w:val="002060"/>
          <w:sz w:val="24"/>
        </w:rPr>
        <w:t>Spouse Contributions</w:t>
      </w:r>
    </w:p>
    <w:tbl>
      <w:tblPr>
        <w:tblStyle w:val="TableGrid"/>
        <w:tblW w:w="0" w:type="auto"/>
        <w:tblInd w:w="76" w:type="dxa"/>
        <w:tblLook w:val="04A0" w:firstRow="1" w:lastRow="0" w:firstColumn="1" w:lastColumn="0" w:noHBand="0" w:noVBand="1"/>
      </w:tblPr>
      <w:tblGrid>
        <w:gridCol w:w="2754"/>
        <w:gridCol w:w="6798"/>
      </w:tblGrid>
      <w:tr w:rsidR="00DC0A9A" w:rsidRPr="00E51BEA" w14:paraId="35D7EE5A" w14:textId="77777777" w:rsidTr="00814F2C">
        <w:tc>
          <w:tcPr>
            <w:tcW w:w="2754" w:type="dxa"/>
          </w:tcPr>
          <w:p w14:paraId="7CBE2061" w14:textId="77777777" w:rsidR="00DC0A9A" w:rsidRPr="00EA0A06" w:rsidRDefault="00DC0A9A" w:rsidP="00814F2C">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24ED11FD" w14:textId="77777777" w:rsidR="00DC0A9A" w:rsidRPr="00E51BEA" w:rsidRDefault="00DC0A9A" w:rsidP="00814F2C">
            <w:pPr>
              <w:pStyle w:val="TableHeader2"/>
              <w:rPr>
                <w:rFonts w:ascii="Calibri Light" w:hAnsi="Calibri Light"/>
              </w:rPr>
            </w:pPr>
          </w:p>
        </w:tc>
      </w:tr>
      <w:tr w:rsidR="00DC0A9A" w:rsidRPr="00E51BEA" w14:paraId="1C30E8DD" w14:textId="77777777" w:rsidTr="00814F2C">
        <w:tc>
          <w:tcPr>
            <w:tcW w:w="2754" w:type="dxa"/>
          </w:tcPr>
          <w:p w14:paraId="37DFCB90" w14:textId="77777777" w:rsidR="00DC0A9A" w:rsidRPr="00EA0A06" w:rsidRDefault="00DC0A9A" w:rsidP="00E164DA">
            <w:pPr>
              <w:pStyle w:val="Instructions"/>
            </w:pPr>
            <w:r w:rsidRPr="00EA0A06">
              <w:t>Title</w:t>
            </w:r>
          </w:p>
        </w:tc>
        <w:tc>
          <w:tcPr>
            <w:tcW w:w="6798" w:type="dxa"/>
          </w:tcPr>
          <w:p w14:paraId="1F911720" w14:textId="77777777" w:rsidR="00DC0A9A" w:rsidRPr="00E51BEA" w:rsidRDefault="00DC0A9A" w:rsidP="00814F2C">
            <w:pPr>
              <w:spacing w:after="120"/>
            </w:pPr>
            <w:r>
              <w:t>Spouse Superannuation Contributions</w:t>
            </w:r>
          </w:p>
        </w:tc>
      </w:tr>
      <w:tr w:rsidR="00DC0A9A" w:rsidRPr="00E51BEA" w14:paraId="12AD860E" w14:textId="77777777" w:rsidTr="00814F2C">
        <w:tc>
          <w:tcPr>
            <w:tcW w:w="2754" w:type="dxa"/>
          </w:tcPr>
          <w:p w14:paraId="1B622FA4" w14:textId="77777777" w:rsidR="00DC0A9A" w:rsidRPr="00EA0A06" w:rsidRDefault="00DC0A9A" w:rsidP="00E164DA">
            <w:pPr>
              <w:pStyle w:val="Instructions"/>
            </w:pPr>
            <w:r w:rsidRPr="00EA0A06">
              <w:t>Explanation</w:t>
            </w:r>
          </w:p>
        </w:tc>
        <w:tc>
          <w:tcPr>
            <w:tcW w:w="6798" w:type="dxa"/>
          </w:tcPr>
          <w:p w14:paraId="20CA79C0" w14:textId="77777777" w:rsidR="00DC0A9A" w:rsidRPr="008D59DD" w:rsidRDefault="00DC0A9A" w:rsidP="00814F2C">
            <w:pPr>
              <w:spacing w:after="120"/>
              <w:rPr>
                <w:rFonts w:ascii="Calibri Light" w:hAnsi="Calibri Light"/>
              </w:rPr>
            </w:pPr>
            <w:r w:rsidRPr="008F5F50">
              <w:rPr>
                <w:color w:val="FF0000"/>
              </w:rPr>
              <w:t>[Client]</w:t>
            </w:r>
            <w:r w:rsidRPr="008D59DD">
              <w:t xml:space="preserve">, </w:t>
            </w:r>
            <w:r w:rsidRPr="00B359C4">
              <w:t>we recommend that you make a spouse contribution of $</w:t>
            </w:r>
            <w:r w:rsidRPr="00B359C4">
              <w:rPr>
                <w:color w:val="FF0000"/>
              </w:rPr>
              <w:t>[__</w:t>
            </w:r>
            <w:proofErr w:type="gramStart"/>
            <w:r w:rsidRPr="00B359C4">
              <w:rPr>
                <w:color w:val="FF0000"/>
              </w:rPr>
              <w:t>_,_</w:t>
            </w:r>
            <w:proofErr w:type="gramEnd"/>
            <w:r w:rsidRPr="00B359C4">
              <w:rPr>
                <w:color w:val="FF0000"/>
              </w:rPr>
              <w:t>__]</w:t>
            </w:r>
            <w:r w:rsidRPr="00B359C4">
              <w:t xml:space="preserve"> this financial year to the</w:t>
            </w:r>
            <w:r w:rsidRPr="008D59DD">
              <w:t xml:space="preserve"> </w:t>
            </w:r>
            <w:r w:rsidRPr="008F5F50">
              <w:rPr>
                <w:color w:val="7030A0"/>
                <w:highlight w:val="yellow"/>
              </w:rPr>
              <w:t>[fund name]</w:t>
            </w:r>
            <w:r w:rsidRPr="008D59DD">
              <w:t>.</w:t>
            </w:r>
            <w:r w:rsidRPr="008D59DD">
              <w:rPr>
                <w:rFonts w:ascii="Calibri Light" w:hAnsi="Calibri Light"/>
              </w:rPr>
              <w:t xml:space="preserve">  </w:t>
            </w:r>
          </w:p>
        </w:tc>
      </w:tr>
      <w:tr w:rsidR="00DC0A9A" w:rsidRPr="00E51BEA" w14:paraId="5C475336" w14:textId="77777777" w:rsidTr="00814F2C">
        <w:tc>
          <w:tcPr>
            <w:tcW w:w="2754" w:type="dxa"/>
          </w:tcPr>
          <w:p w14:paraId="25FC8F9E" w14:textId="77777777" w:rsidR="00DC0A9A" w:rsidRPr="00EA0A06" w:rsidRDefault="00DC0A9A" w:rsidP="00E164DA">
            <w:pPr>
              <w:pStyle w:val="Instructions"/>
            </w:pPr>
            <w:r w:rsidRPr="00EA0A06">
              <w:t>In your Best Interest</w:t>
            </w:r>
          </w:p>
        </w:tc>
        <w:tc>
          <w:tcPr>
            <w:tcW w:w="6798" w:type="dxa"/>
          </w:tcPr>
          <w:p w14:paraId="651E73A4" w14:textId="77777777" w:rsidR="00DC0A9A" w:rsidRPr="00E51BEA" w:rsidRDefault="00DC0A9A" w:rsidP="00B21CF5">
            <w:pPr>
              <w:pStyle w:val="Instructions"/>
            </w:pPr>
          </w:p>
        </w:tc>
      </w:tr>
      <w:tr w:rsidR="00DC0A9A" w:rsidRPr="00E51BEA" w14:paraId="5664F2A0" w14:textId="77777777" w:rsidTr="00814F2C">
        <w:tc>
          <w:tcPr>
            <w:tcW w:w="2754" w:type="dxa"/>
          </w:tcPr>
          <w:p w14:paraId="37502964" w14:textId="77777777" w:rsidR="00DC0A9A" w:rsidRPr="00EA0A06" w:rsidRDefault="00DC0A9A" w:rsidP="00E164DA">
            <w:pPr>
              <w:pStyle w:val="Instructions"/>
            </w:pPr>
            <w:r w:rsidRPr="00EA0A06">
              <w:t>Further Detail</w:t>
            </w:r>
          </w:p>
        </w:tc>
        <w:tc>
          <w:tcPr>
            <w:tcW w:w="6798" w:type="dxa"/>
          </w:tcPr>
          <w:p w14:paraId="1950B4F3" w14:textId="77777777" w:rsidR="00DC0A9A" w:rsidRPr="00B13888" w:rsidRDefault="00DC0A9A" w:rsidP="00814F2C">
            <w:pPr>
              <w:keepNext/>
              <w:spacing w:after="120"/>
            </w:pPr>
            <w:r w:rsidRPr="00B13888">
              <w:t xml:space="preserve">A Spouse Contribution is a </w:t>
            </w:r>
            <w:r>
              <w:t xml:space="preserve">non-concessional </w:t>
            </w:r>
            <w:r w:rsidRPr="00B13888">
              <w:t>contribution made by one spouse to their spouse’s superannuation fund for the benefit of building retirement assets.</w:t>
            </w:r>
          </w:p>
          <w:p w14:paraId="483A9D07" w14:textId="3252DB04" w:rsidR="00DC0A9A" w:rsidRPr="00B13888" w:rsidRDefault="00DC0A9A" w:rsidP="00814F2C">
            <w:pPr>
              <w:spacing w:after="120"/>
            </w:pPr>
            <w:r w:rsidRPr="00B13888">
              <w:t xml:space="preserve">The main income earner generally makes a Spouse Contribution to their non-working or </w:t>
            </w:r>
            <w:r w:rsidR="00396993" w:rsidRPr="00B13888">
              <w:t>low-income</w:t>
            </w:r>
            <w:r w:rsidRPr="00B13888">
              <w:t xml:space="preserve"> earning spouse’s superannuation fund.</w:t>
            </w:r>
          </w:p>
          <w:p w14:paraId="0BA6EBB7" w14:textId="334C014F" w:rsidR="00DC0A9A" w:rsidRDefault="00813B6E" w:rsidP="00814F2C">
            <w:pPr>
              <w:spacing w:after="120"/>
            </w:pPr>
            <w:r>
              <w:t>W</w:t>
            </w:r>
            <w:r w:rsidR="00DC0A9A" w:rsidRPr="00B13888">
              <w:t>here the assessable income of the recipient spouse is less than $</w:t>
            </w:r>
            <w:r w:rsidR="00DC0A9A">
              <w:t>37,000,</w:t>
            </w:r>
            <w:r w:rsidR="00DC0A9A" w:rsidRPr="00B13888">
              <w:t xml:space="preserve"> the contributing spouse is entitled to receive a tax offset up to 18%. </w:t>
            </w:r>
            <w:r w:rsidR="00DC0A9A">
              <w:t>The value of the offset reduces to zero when the receiving spouse earns $40,000 or more.</w:t>
            </w:r>
          </w:p>
          <w:p w14:paraId="1DAD7A9D" w14:textId="77777777" w:rsidR="00DC0A9A" w:rsidRPr="00B13888" w:rsidRDefault="00DC0A9A" w:rsidP="00814F2C">
            <w:pPr>
              <w:spacing w:after="120"/>
            </w:pPr>
            <w:r w:rsidRPr="00B13888">
              <w:t>The tax offset can only be claimed on the first $3,000 contributed, therefore the maximum tax offset the contributing spouse may be entitled to is $540.</w:t>
            </w:r>
          </w:p>
          <w:p w14:paraId="2345962E" w14:textId="7D8A7727" w:rsidR="00DC0A9A" w:rsidRDefault="00DC0A9A" w:rsidP="00814F2C">
            <w:pPr>
              <w:spacing w:after="120"/>
            </w:pPr>
            <w:r w:rsidRPr="00B13888">
              <w:lastRenderedPageBreak/>
              <w:t>Note that in order to implement the strategy</w:t>
            </w:r>
            <w:r w:rsidR="00813B6E">
              <w:t>,</w:t>
            </w:r>
            <w:r w:rsidRPr="00B13888">
              <w:t xml:space="preserve"> the receiving spouse must be under age 6</w:t>
            </w:r>
            <w:r w:rsidR="00FD05E3">
              <w:t>7</w:t>
            </w:r>
            <w:r w:rsidRPr="00B13888">
              <w:t>, or aged 6</w:t>
            </w:r>
            <w:r w:rsidR="00FD05E3">
              <w:t>7</w:t>
            </w:r>
            <w:r w:rsidRPr="00B13888">
              <w:t>-</w:t>
            </w:r>
            <w:r w:rsidR="00FD05E3">
              <w:t>74</w:t>
            </w:r>
            <w:r w:rsidRPr="00B13888">
              <w:t xml:space="preserve"> and </w:t>
            </w:r>
            <w:r w:rsidR="00FD05E3">
              <w:t xml:space="preserve">met the work test or work test </w:t>
            </w:r>
            <w:proofErr w:type="gramStart"/>
            <w:r w:rsidR="00FD05E3">
              <w:t>exemption.</w:t>
            </w:r>
            <w:r w:rsidR="00813B6E">
              <w:t>.</w:t>
            </w:r>
            <w:proofErr w:type="gramEnd"/>
          </w:p>
          <w:p w14:paraId="3F9F1E94" w14:textId="77777777" w:rsidR="00DC0A9A" w:rsidRPr="00E51BEA" w:rsidRDefault="00DC0A9A" w:rsidP="00E164DA">
            <w:pPr>
              <w:pStyle w:val="Instructions"/>
            </w:pPr>
          </w:p>
        </w:tc>
      </w:tr>
    </w:tbl>
    <w:p w14:paraId="79BCBC50" w14:textId="77777777" w:rsidR="00DC0A9A" w:rsidRDefault="00DC0A9A" w:rsidP="00DC0A9A">
      <w:pPr>
        <w:keepNext/>
        <w:spacing w:after="120"/>
      </w:pPr>
    </w:p>
    <w:p w14:paraId="72867E72" w14:textId="77777777" w:rsidR="00D06163" w:rsidRPr="005F763D" w:rsidRDefault="00D06163" w:rsidP="008C7CE9">
      <w:pPr>
        <w:jc w:val="left"/>
      </w:pPr>
    </w:p>
    <w:p w14:paraId="2CADC511" w14:textId="77777777" w:rsidR="00D06163" w:rsidRPr="005F763D" w:rsidRDefault="00D06163" w:rsidP="008C7CE9">
      <w:pPr>
        <w:jc w:val="left"/>
        <w:rPr>
          <w:color w:val="002060"/>
          <w:sz w:val="24"/>
        </w:rPr>
      </w:pPr>
      <w:r w:rsidRPr="005F763D">
        <w:rPr>
          <w:color w:val="002060"/>
          <w:sz w:val="24"/>
        </w:rPr>
        <w:t>Redundancy Payment</w:t>
      </w:r>
    </w:p>
    <w:p w14:paraId="216DD526" w14:textId="70D84983"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379DF4CA"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4D0049C"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B4D82C2" w14:textId="77777777" w:rsidR="00207BF8" w:rsidRPr="00E51BEA" w:rsidRDefault="00207BF8" w:rsidP="00207BF8">
            <w:pPr>
              <w:pStyle w:val="TableHeader2"/>
              <w:rPr>
                <w:rFonts w:ascii="Calibri Light" w:hAnsi="Calibri Light"/>
              </w:rPr>
            </w:pPr>
          </w:p>
        </w:tc>
      </w:tr>
      <w:tr w:rsidR="00207BF8" w:rsidRPr="0088114A" w14:paraId="56EB2D27"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1C4B895" w14:textId="77777777" w:rsidR="00207BF8" w:rsidRPr="00E87AAA" w:rsidRDefault="00207BF8" w:rsidP="00E164DA">
            <w:pPr>
              <w:pStyle w:val="Instructions"/>
            </w:pPr>
            <w:r w:rsidRPr="00E87AAA">
              <w:t>Title</w:t>
            </w:r>
          </w:p>
        </w:tc>
        <w:tc>
          <w:tcPr>
            <w:tcW w:w="6798" w:type="dxa"/>
            <w:shd w:val="clear" w:color="auto" w:fill="auto"/>
          </w:tcPr>
          <w:p w14:paraId="32EA05BF" w14:textId="5D54CA9F" w:rsidR="00207BF8" w:rsidRPr="0088114A" w:rsidRDefault="00E41324" w:rsidP="00207BF8">
            <w:pPr>
              <w:spacing w:before="120"/>
            </w:pPr>
            <w:r>
              <w:t>Redundancy Payment</w:t>
            </w:r>
          </w:p>
        </w:tc>
      </w:tr>
      <w:tr w:rsidR="00207BF8" w:rsidRPr="0088114A" w14:paraId="40E7700F"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3016EC" w14:textId="77777777" w:rsidR="00207BF8" w:rsidRPr="00E87AAA" w:rsidRDefault="00207BF8" w:rsidP="00E164DA">
            <w:pPr>
              <w:pStyle w:val="Instructions"/>
            </w:pPr>
            <w:r w:rsidRPr="00E87AAA">
              <w:t>Explanation</w:t>
            </w:r>
          </w:p>
        </w:tc>
        <w:tc>
          <w:tcPr>
            <w:tcW w:w="6798" w:type="dxa"/>
            <w:shd w:val="clear" w:color="auto" w:fill="auto"/>
          </w:tcPr>
          <w:p w14:paraId="2AEC28D6" w14:textId="45CF07C6" w:rsidR="00207BF8" w:rsidRPr="0088114A" w:rsidRDefault="00E41324">
            <w:pPr>
              <w:pStyle w:val="InterPracBullet"/>
              <w:rPr>
                <w:highlight w:val="yellow"/>
              </w:rPr>
            </w:pPr>
            <w:r w:rsidRPr="007B045E">
              <w:t>We recommend you utilise these funds</w:t>
            </w:r>
            <w:r w:rsidRPr="005F763D">
              <w:t xml:space="preserve"> </w:t>
            </w:r>
            <w:r w:rsidRPr="00332132">
              <w:rPr>
                <w:highlight w:val="yellow"/>
              </w:rPr>
              <w:t>[recommendation]</w:t>
            </w:r>
          </w:p>
        </w:tc>
      </w:tr>
      <w:tr w:rsidR="00207BF8" w:rsidRPr="00E87AAA" w14:paraId="11CB2BF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9C2D2E2" w14:textId="77777777" w:rsidR="00207BF8" w:rsidRPr="00E87AAA" w:rsidRDefault="00207BF8" w:rsidP="00E164DA">
            <w:pPr>
              <w:pStyle w:val="Instructions"/>
            </w:pPr>
            <w:r w:rsidRPr="00E87AAA">
              <w:t>In your Best Interest</w:t>
            </w:r>
          </w:p>
        </w:tc>
        <w:tc>
          <w:tcPr>
            <w:tcW w:w="6798" w:type="dxa"/>
            <w:shd w:val="clear" w:color="auto" w:fill="auto"/>
          </w:tcPr>
          <w:p w14:paraId="1220DD01" w14:textId="77777777" w:rsidR="00207BF8" w:rsidRPr="00E87AAA" w:rsidRDefault="00207BF8" w:rsidP="00207BF8">
            <w:pPr>
              <w:spacing w:before="120"/>
              <w:jc w:val="left"/>
              <w:rPr>
                <w:sz w:val="18"/>
                <w:szCs w:val="18"/>
                <w:highlight w:val="yellow"/>
              </w:rPr>
            </w:pPr>
          </w:p>
        </w:tc>
      </w:tr>
      <w:tr w:rsidR="00207BF8" w:rsidRPr="00E87AAA" w14:paraId="3FF01A8A"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A631400" w14:textId="77777777" w:rsidR="00207BF8" w:rsidRPr="00E87AAA" w:rsidRDefault="00207BF8" w:rsidP="00E164DA">
            <w:pPr>
              <w:pStyle w:val="Instructions"/>
            </w:pPr>
            <w:r>
              <w:t>Further Detail</w:t>
            </w:r>
          </w:p>
        </w:tc>
        <w:tc>
          <w:tcPr>
            <w:tcW w:w="6798" w:type="dxa"/>
            <w:shd w:val="clear" w:color="auto" w:fill="auto"/>
          </w:tcPr>
          <w:p w14:paraId="53DE7BCD" w14:textId="77777777" w:rsidR="00E41324" w:rsidRPr="005F763D" w:rsidRDefault="00E41324" w:rsidP="00E41324">
            <w:pPr>
              <w:pStyle w:val="Normal5ptAfte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you have received a genuine redundancy payment of $</w:t>
            </w:r>
            <w:r w:rsidRPr="005F763D">
              <w:rPr>
                <w:color w:val="FF0000"/>
              </w:rPr>
              <w:t>[__</w:t>
            </w:r>
            <w:proofErr w:type="gramStart"/>
            <w:r w:rsidRPr="005F763D">
              <w:rPr>
                <w:color w:val="FF0000"/>
              </w:rPr>
              <w:t>_,_</w:t>
            </w:r>
            <w:proofErr w:type="gramEnd"/>
            <w:r w:rsidRPr="005F763D">
              <w:rPr>
                <w:color w:val="FF0000"/>
              </w:rPr>
              <w:t>__]</w:t>
            </w:r>
            <w:r w:rsidRPr="005F763D">
              <w:t>, consisting of the following components:</w:t>
            </w:r>
          </w:p>
          <w:tbl>
            <w:tblPr>
              <w:tblW w:w="5000" w:type="pct"/>
              <w:tblBorders>
                <w:insideV w:val="single" w:sz="4" w:space="0" w:color="808080"/>
              </w:tblBorders>
              <w:tblLook w:val="04A0" w:firstRow="1" w:lastRow="0" w:firstColumn="1" w:lastColumn="0" w:noHBand="0" w:noVBand="1"/>
            </w:tblPr>
            <w:tblGrid>
              <w:gridCol w:w="5569"/>
              <w:gridCol w:w="983"/>
            </w:tblGrid>
            <w:tr w:rsidR="00E41324" w:rsidRPr="005F763D" w14:paraId="6E2ECD6E" w14:textId="77777777" w:rsidTr="008D079C">
              <w:tc>
                <w:tcPr>
                  <w:tcW w:w="4250" w:type="pct"/>
                  <w:tcBorders>
                    <w:top w:val="single" w:sz="4" w:space="0" w:color="808080"/>
                    <w:bottom w:val="single" w:sz="4" w:space="0" w:color="808080"/>
                    <w:right w:val="single" w:sz="24" w:space="0" w:color="FFFFFF"/>
                  </w:tcBorders>
                  <w:shd w:val="clear" w:color="auto" w:fill="BFBFBF"/>
                </w:tcPr>
                <w:p w14:paraId="19403B52" w14:textId="77777777" w:rsidR="00E41324" w:rsidRPr="005F763D" w:rsidRDefault="00E41324" w:rsidP="00E41324">
                  <w:pPr>
                    <w:pStyle w:val="TableHeader2"/>
                    <w:rPr>
                      <w:rFonts w:ascii="Calibri" w:hAnsi="Calibri"/>
                    </w:rPr>
                  </w:pPr>
                  <w:r w:rsidRPr="005F763D">
                    <w:rPr>
                      <w:rFonts w:ascii="Calibri" w:hAnsi="Calibri"/>
                    </w:rPr>
                    <w:t>Component</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50307614" w14:textId="77777777" w:rsidR="00E41324" w:rsidRPr="005F763D" w:rsidRDefault="00E41324" w:rsidP="00E41324">
                  <w:pPr>
                    <w:pStyle w:val="TableHeader2-Centre"/>
                    <w:rPr>
                      <w:rFonts w:ascii="Calibri" w:hAnsi="Calibri"/>
                    </w:rPr>
                  </w:pPr>
                  <w:r w:rsidRPr="005F763D">
                    <w:rPr>
                      <w:rFonts w:ascii="Calibri" w:hAnsi="Calibri"/>
                    </w:rPr>
                    <w:t>Value</w:t>
                  </w:r>
                </w:p>
              </w:tc>
            </w:tr>
            <w:tr w:rsidR="00E41324" w:rsidRPr="005F763D" w14:paraId="023A438E" w14:textId="77777777" w:rsidTr="008D079C">
              <w:tc>
                <w:tcPr>
                  <w:tcW w:w="4250" w:type="pct"/>
                  <w:tcBorders>
                    <w:top w:val="single" w:sz="4" w:space="0" w:color="808080"/>
                    <w:bottom w:val="single" w:sz="4" w:space="0" w:color="808080"/>
                    <w:right w:val="single" w:sz="24" w:space="0" w:color="FFFFFF"/>
                  </w:tcBorders>
                  <w:vAlign w:val="center"/>
                </w:tcPr>
                <w:p w14:paraId="148BF1F2" w14:textId="77777777" w:rsidR="00E41324" w:rsidRPr="005F763D" w:rsidRDefault="00E41324" w:rsidP="00E41324">
                  <w:pPr>
                    <w:jc w:val="left"/>
                  </w:pPr>
                  <w:r w:rsidRPr="005F763D">
                    <w:t>Tax Free Amount</w:t>
                  </w:r>
                </w:p>
              </w:tc>
              <w:tc>
                <w:tcPr>
                  <w:tcW w:w="750" w:type="pct"/>
                  <w:tcBorders>
                    <w:top w:val="single" w:sz="4" w:space="0" w:color="808080"/>
                    <w:left w:val="single" w:sz="24" w:space="0" w:color="FFFFFF"/>
                    <w:bottom w:val="single" w:sz="4" w:space="0" w:color="808080"/>
                    <w:right w:val="single" w:sz="24" w:space="0" w:color="FFFFFF"/>
                  </w:tcBorders>
                </w:tcPr>
                <w:p w14:paraId="57CD837D" w14:textId="77777777" w:rsidR="00E41324" w:rsidRPr="005F763D" w:rsidRDefault="00E41324" w:rsidP="000D6E4F">
                  <w:pPr>
                    <w:pStyle w:val="TableText-Right"/>
                    <w:rPr>
                      <w:rFonts w:ascii="Calibri" w:hAnsi="Calibri"/>
                    </w:rPr>
                  </w:pPr>
                  <w:r w:rsidRPr="005F763D">
                    <w:t>$___,___</w:t>
                  </w:r>
                </w:p>
              </w:tc>
            </w:tr>
            <w:tr w:rsidR="00E41324" w:rsidRPr="005F763D" w14:paraId="4E579EEA" w14:textId="77777777" w:rsidTr="008D079C">
              <w:tc>
                <w:tcPr>
                  <w:tcW w:w="4250" w:type="pct"/>
                  <w:tcBorders>
                    <w:top w:val="single" w:sz="4" w:space="0" w:color="808080"/>
                    <w:bottom w:val="single" w:sz="4" w:space="0" w:color="808080"/>
                    <w:right w:val="single" w:sz="24" w:space="0" w:color="FFFFFF"/>
                  </w:tcBorders>
                  <w:vAlign w:val="center"/>
                </w:tcPr>
                <w:p w14:paraId="103E5CB4" w14:textId="77777777" w:rsidR="00E41324" w:rsidRPr="005F763D" w:rsidRDefault="00E41324" w:rsidP="00E41324">
                  <w:pPr>
                    <w:jc w:val="left"/>
                  </w:pPr>
                  <w:r w:rsidRPr="005F763D">
                    <w:t>Employment Termination Payment</w:t>
                  </w:r>
                </w:p>
              </w:tc>
              <w:tc>
                <w:tcPr>
                  <w:tcW w:w="750" w:type="pct"/>
                  <w:tcBorders>
                    <w:top w:val="single" w:sz="4" w:space="0" w:color="808080"/>
                    <w:left w:val="single" w:sz="24" w:space="0" w:color="FFFFFF"/>
                    <w:bottom w:val="single" w:sz="4" w:space="0" w:color="808080"/>
                    <w:right w:val="single" w:sz="24" w:space="0" w:color="FFFFFF"/>
                  </w:tcBorders>
                </w:tcPr>
                <w:p w14:paraId="43772F1F" w14:textId="77777777" w:rsidR="00E41324" w:rsidRPr="005F763D" w:rsidRDefault="00E41324" w:rsidP="000D6E4F">
                  <w:pPr>
                    <w:pStyle w:val="TableText-Right"/>
                    <w:rPr>
                      <w:rFonts w:ascii="Calibri" w:hAnsi="Calibri"/>
                    </w:rPr>
                  </w:pPr>
                  <w:r w:rsidRPr="005F763D">
                    <w:t>$___,___</w:t>
                  </w:r>
                </w:p>
              </w:tc>
            </w:tr>
            <w:tr w:rsidR="00E41324" w:rsidRPr="005F763D" w14:paraId="1F6EF8C9" w14:textId="77777777" w:rsidTr="008D079C">
              <w:tc>
                <w:tcPr>
                  <w:tcW w:w="4250" w:type="pct"/>
                  <w:tcBorders>
                    <w:top w:val="single" w:sz="4" w:space="0" w:color="808080"/>
                    <w:bottom w:val="single" w:sz="4" w:space="0" w:color="808080"/>
                    <w:right w:val="single" w:sz="24" w:space="0" w:color="FFFFFF"/>
                  </w:tcBorders>
                  <w:vAlign w:val="center"/>
                </w:tcPr>
                <w:p w14:paraId="12784B01" w14:textId="77777777" w:rsidR="00E41324" w:rsidRPr="005F763D" w:rsidRDefault="00E41324" w:rsidP="00E41324">
                  <w:pPr>
                    <w:jc w:val="left"/>
                  </w:pPr>
                  <w:r w:rsidRPr="005F763D">
                    <w:t>Tax Free Component</w:t>
                  </w:r>
                </w:p>
              </w:tc>
              <w:tc>
                <w:tcPr>
                  <w:tcW w:w="750" w:type="pct"/>
                  <w:tcBorders>
                    <w:top w:val="single" w:sz="4" w:space="0" w:color="808080"/>
                    <w:left w:val="single" w:sz="24" w:space="0" w:color="FFFFFF"/>
                    <w:bottom w:val="single" w:sz="4" w:space="0" w:color="808080"/>
                    <w:right w:val="single" w:sz="24" w:space="0" w:color="FFFFFF"/>
                  </w:tcBorders>
                </w:tcPr>
                <w:p w14:paraId="2BE23098" w14:textId="77777777" w:rsidR="00E41324" w:rsidRPr="005F763D" w:rsidRDefault="00E41324" w:rsidP="000D6E4F">
                  <w:pPr>
                    <w:pStyle w:val="TableText-Right"/>
                    <w:rPr>
                      <w:rFonts w:ascii="Calibri" w:hAnsi="Calibri"/>
                    </w:rPr>
                  </w:pPr>
                  <w:r w:rsidRPr="005F763D">
                    <w:t>$___,___</w:t>
                  </w:r>
                </w:p>
              </w:tc>
            </w:tr>
            <w:tr w:rsidR="00E41324" w:rsidRPr="005F763D" w14:paraId="4F73C745" w14:textId="77777777" w:rsidTr="008D079C">
              <w:tc>
                <w:tcPr>
                  <w:tcW w:w="4250" w:type="pct"/>
                  <w:tcBorders>
                    <w:top w:val="single" w:sz="4" w:space="0" w:color="808080"/>
                    <w:bottom w:val="single" w:sz="4" w:space="0" w:color="808080"/>
                    <w:right w:val="single" w:sz="24" w:space="0" w:color="FFFFFF"/>
                  </w:tcBorders>
                  <w:vAlign w:val="center"/>
                </w:tcPr>
                <w:p w14:paraId="7F4AE805" w14:textId="77777777" w:rsidR="00E41324" w:rsidRPr="005F763D" w:rsidRDefault="00E41324" w:rsidP="00E41324">
                  <w:pPr>
                    <w:jc w:val="left"/>
                  </w:pPr>
                  <w:r w:rsidRPr="005F763D">
                    <w:t>Taxable Component</w:t>
                  </w:r>
                </w:p>
              </w:tc>
              <w:tc>
                <w:tcPr>
                  <w:tcW w:w="750" w:type="pct"/>
                  <w:tcBorders>
                    <w:top w:val="single" w:sz="4" w:space="0" w:color="808080"/>
                    <w:left w:val="single" w:sz="24" w:space="0" w:color="FFFFFF"/>
                    <w:bottom w:val="single" w:sz="4" w:space="0" w:color="808080"/>
                    <w:right w:val="single" w:sz="24" w:space="0" w:color="FFFFFF"/>
                  </w:tcBorders>
                </w:tcPr>
                <w:p w14:paraId="77B40013" w14:textId="77777777" w:rsidR="00E41324" w:rsidRPr="005F763D" w:rsidRDefault="00E41324" w:rsidP="000D6E4F">
                  <w:pPr>
                    <w:pStyle w:val="TableText-Right"/>
                    <w:rPr>
                      <w:rFonts w:ascii="Calibri" w:hAnsi="Calibri"/>
                    </w:rPr>
                  </w:pPr>
                  <w:r w:rsidRPr="005F763D">
                    <w:t>$___,___</w:t>
                  </w:r>
                </w:p>
              </w:tc>
            </w:tr>
            <w:tr w:rsidR="00E41324" w:rsidRPr="005F763D" w14:paraId="77A26AC2" w14:textId="77777777" w:rsidTr="008D079C">
              <w:tc>
                <w:tcPr>
                  <w:tcW w:w="4250" w:type="pct"/>
                  <w:tcBorders>
                    <w:top w:val="single" w:sz="4" w:space="0" w:color="808080"/>
                    <w:right w:val="single" w:sz="24" w:space="0" w:color="FFFFFF"/>
                  </w:tcBorders>
                  <w:shd w:val="clear" w:color="auto" w:fill="auto"/>
                </w:tcPr>
                <w:p w14:paraId="27B09156" w14:textId="77777777" w:rsidR="00E41324" w:rsidRPr="005F763D" w:rsidRDefault="00E41324"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3BC45FF7" w14:textId="77777777" w:rsidR="00E41324" w:rsidRPr="005F763D" w:rsidRDefault="00E41324" w:rsidP="000D6E4F">
                  <w:pPr>
                    <w:pStyle w:val="TableText-RightBold"/>
                  </w:pPr>
                  <w:r w:rsidRPr="005F763D">
                    <w:t>$___,___</w:t>
                  </w:r>
                </w:p>
              </w:tc>
            </w:tr>
          </w:tbl>
          <w:p w14:paraId="129CEA90" w14:textId="77777777" w:rsidR="00207BF8" w:rsidRDefault="00207BF8" w:rsidP="00207BF8">
            <w:pPr>
              <w:spacing w:before="120"/>
              <w:jc w:val="left"/>
              <w:rPr>
                <w:sz w:val="18"/>
                <w:szCs w:val="18"/>
                <w:highlight w:val="yellow"/>
              </w:rPr>
            </w:pPr>
          </w:p>
          <w:p w14:paraId="7F0109C6" w14:textId="230A9B4D" w:rsidR="00E41324" w:rsidRPr="000D0191" w:rsidRDefault="00E41324" w:rsidP="00E41324">
            <w:pPr>
              <w:jc w:val="left"/>
              <w:rPr>
                <w:highlight w:val="yellow"/>
              </w:rPr>
            </w:pPr>
            <w:r w:rsidRPr="005F763D">
              <w:t>We estimate you will incur tax of $</w:t>
            </w:r>
            <w:r w:rsidRPr="005F763D">
              <w:rPr>
                <w:color w:val="FF0000"/>
              </w:rPr>
              <w:t>[__</w:t>
            </w:r>
            <w:proofErr w:type="gramStart"/>
            <w:r w:rsidRPr="005F763D">
              <w:rPr>
                <w:color w:val="FF0000"/>
              </w:rPr>
              <w:t>_,_</w:t>
            </w:r>
            <w:proofErr w:type="gramEnd"/>
            <w:r w:rsidRPr="005F763D">
              <w:rPr>
                <w:color w:val="FF0000"/>
              </w:rPr>
              <w:t>__]</w:t>
            </w:r>
            <w:r w:rsidRPr="005F763D">
              <w:t>, resulting in a net redundancy payment of $</w:t>
            </w:r>
            <w:r w:rsidRPr="005F763D">
              <w:rPr>
                <w:color w:val="FF0000"/>
              </w:rPr>
              <w:t>[___,___]</w:t>
            </w:r>
            <w:r w:rsidRPr="005F763D">
              <w:t xml:space="preserve">. </w:t>
            </w:r>
          </w:p>
          <w:p w14:paraId="06031959" w14:textId="34C8221B" w:rsidR="00E41324" w:rsidRPr="00E87AAA" w:rsidRDefault="00E41324" w:rsidP="00750EB7">
            <w:pPr>
              <w:spacing w:before="120"/>
              <w:jc w:val="left"/>
              <w:rPr>
                <w:sz w:val="18"/>
                <w:szCs w:val="18"/>
                <w:highlight w:val="yellow"/>
              </w:rPr>
            </w:pPr>
          </w:p>
        </w:tc>
      </w:tr>
    </w:tbl>
    <w:p w14:paraId="3489260B" w14:textId="77777777" w:rsidR="00207BF8" w:rsidRPr="005F763D" w:rsidRDefault="00207BF8" w:rsidP="008C7CE9">
      <w:pPr>
        <w:jc w:val="left"/>
      </w:pPr>
    </w:p>
    <w:p w14:paraId="4DE0E230" w14:textId="77777777" w:rsidR="00D06163" w:rsidRPr="005F763D" w:rsidRDefault="00D06163" w:rsidP="00D06163"/>
    <w:p w14:paraId="726CA87F" w14:textId="77777777" w:rsidR="00F70E54" w:rsidRDefault="00F70E54" w:rsidP="008C7CE9">
      <w:pPr>
        <w:jc w:val="left"/>
        <w:sectPr w:rsidR="00F70E54" w:rsidSect="008C0AC7">
          <w:type w:val="continuous"/>
          <w:pgSz w:w="11906" w:h="16838" w:code="9"/>
          <w:pgMar w:top="1134" w:right="566" w:bottom="426" w:left="709" w:header="567" w:footer="95" w:gutter="0"/>
          <w:cols w:space="708"/>
          <w:docGrid w:linePitch="360"/>
        </w:sectPr>
      </w:pPr>
    </w:p>
    <w:p w14:paraId="26BD93B6" w14:textId="3F1A639F" w:rsidR="00D06163" w:rsidRPr="005F763D" w:rsidRDefault="00D06163" w:rsidP="008C7CE9">
      <w:pPr>
        <w:jc w:val="left"/>
      </w:pPr>
    </w:p>
    <w:p w14:paraId="51D8847C" w14:textId="77777777" w:rsidR="00D06163" w:rsidRPr="005F763D" w:rsidRDefault="00D06163" w:rsidP="008C7CE9">
      <w:pPr>
        <w:jc w:val="left"/>
        <w:rPr>
          <w:color w:val="002060"/>
          <w:sz w:val="24"/>
        </w:rPr>
      </w:pPr>
      <w:r w:rsidRPr="005F763D">
        <w:rPr>
          <w:color w:val="002060"/>
          <w:sz w:val="24"/>
        </w:rPr>
        <w:t>Retain Your Existing Superannuation Fund</w:t>
      </w:r>
    </w:p>
    <w:p w14:paraId="7A5F5AF1" w14:textId="3C21F053"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3D5EC6BE"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FAB6C46"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E65AB06" w14:textId="77777777" w:rsidR="00207BF8" w:rsidRPr="00E51BEA" w:rsidRDefault="00207BF8" w:rsidP="00207BF8">
            <w:pPr>
              <w:pStyle w:val="TableHeader2"/>
              <w:rPr>
                <w:rFonts w:ascii="Calibri Light" w:hAnsi="Calibri Light"/>
              </w:rPr>
            </w:pPr>
          </w:p>
        </w:tc>
      </w:tr>
      <w:tr w:rsidR="00207BF8" w:rsidRPr="0088114A" w14:paraId="07CCFD15"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FB3E63" w14:textId="77777777" w:rsidR="00207BF8" w:rsidRPr="00E87AAA" w:rsidRDefault="00207BF8" w:rsidP="00E164DA">
            <w:pPr>
              <w:pStyle w:val="Instructions"/>
            </w:pPr>
            <w:r w:rsidRPr="00E87AAA">
              <w:t>Title</w:t>
            </w:r>
          </w:p>
        </w:tc>
        <w:tc>
          <w:tcPr>
            <w:tcW w:w="6798" w:type="dxa"/>
            <w:shd w:val="clear" w:color="auto" w:fill="auto"/>
          </w:tcPr>
          <w:p w14:paraId="7C955439" w14:textId="60F1F000" w:rsidR="00207BF8" w:rsidRPr="0088114A" w:rsidRDefault="00E207C4" w:rsidP="00207BF8">
            <w:pPr>
              <w:spacing w:before="120"/>
            </w:pPr>
            <w:r>
              <w:t>Existing Superannuation</w:t>
            </w:r>
            <w:r w:rsidR="008D079C">
              <w:t xml:space="preserve"> - Retain</w:t>
            </w:r>
          </w:p>
        </w:tc>
      </w:tr>
      <w:tr w:rsidR="00207BF8" w:rsidRPr="0088114A" w14:paraId="443367C9"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E15B12B" w14:textId="77777777" w:rsidR="00207BF8" w:rsidRPr="00E87AAA" w:rsidRDefault="00207BF8" w:rsidP="00E164DA">
            <w:pPr>
              <w:pStyle w:val="Instructions"/>
            </w:pPr>
            <w:r w:rsidRPr="00E87AAA">
              <w:t>Explanation</w:t>
            </w:r>
          </w:p>
        </w:tc>
        <w:tc>
          <w:tcPr>
            <w:tcW w:w="6798" w:type="dxa"/>
            <w:shd w:val="clear" w:color="auto" w:fill="auto"/>
          </w:tcPr>
          <w:p w14:paraId="07EDDE68" w14:textId="77777777" w:rsidR="008E3DB3" w:rsidRPr="005F763D" w:rsidRDefault="008E3DB3" w:rsidP="008E3DB3">
            <w:pPr>
              <w:jc w:val="left"/>
            </w:pPr>
            <w:r w:rsidRPr="005F763D">
              <w:t xml:space="preserve">As your current asset allocation is in line with your risk profile, our recommendation is to maintain your current investment option of </w:t>
            </w:r>
            <w:r w:rsidRPr="000D0191">
              <w:rPr>
                <w:color w:val="7030A0"/>
                <w:highlight w:val="yellow"/>
                <w:shd w:val="clear" w:color="auto" w:fill="7030A0"/>
              </w:rPr>
              <w:t>[investment option</w:t>
            </w:r>
            <w:r w:rsidRPr="000D0191">
              <w:rPr>
                <w:color w:val="7030A0"/>
                <w:highlight w:val="yellow"/>
              </w:rPr>
              <w:t>]</w:t>
            </w:r>
            <w:r w:rsidRPr="005F763D">
              <w:t xml:space="preserve"> within your </w:t>
            </w:r>
            <w:r w:rsidRPr="005F763D">
              <w:rPr>
                <w:color w:val="FF0000"/>
              </w:rPr>
              <w:t>[product]</w:t>
            </w:r>
            <w:r w:rsidRPr="005F763D">
              <w:t xml:space="preserve"> superannuation fund.</w:t>
            </w:r>
          </w:p>
          <w:p w14:paraId="013AB4B6" w14:textId="1B05FC5D" w:rsidR="00207BF8" w:rsidRPr="0088114A" w:rsidRDefault="00207BF8" w:rsidP="00207BF8">
            <w:pPr>
              <w:spacing w:before="120"/>
              <w:rPr>
                <w:sz w:val="18"/>
                <w:szCs w:val="18"/>
                <w:highlight w:val="yellow"/>
              </w:rPr>
            </w:pPr>
          </w:p>
        </w:tc>
      </w:tr>
      <w:tr w:rsidR="00207BF8" w:rsidRPr="00E87AAA" w14:paraId="52D7375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321504F" w14:textId="77777777" w:rsidR="00207BF8" w:rsidRPr="00E87AAA" w:rsidRDefault="00207BF8" w:rsidP="00E164DA">
            <w:pPr>
              <w:pStyle w:val="Instructions"/>
            </w:pPr>
            <w:r w:rsidRPr="00E87AAA">
              <w:t>In your Best Interest</w:t>
            </w:r>
          </w:p>
        </w:tc>
        <w:tc>
          <w:tcPr>
            <w:tcW w:w="6798" w:type="dxa"/>
            <w:shd w:val="clear" w:color="auto" w:fill="auto"/>
          </w:tcPr>
          <w:p w14:paraId="30128DD0" w14:textId="77777777" w:rsidR="00207BF8" w:rsidRPr="00E87AAA" w:rsidRDefault="00207BF8" w:rsidP="00207BF8">
            <w:pPr>
              <w:spacing w:before="120"/>
              <w:jc w:val="left"/>
              <w:rPr>
                <w:sz w:val="18"/>
                <w:szCs w:val="18"/>
                <w:highlight w:val="yellow"/>
              </w:rPr>
            </w:pPr>
          </w:p>
        </w:tc>
      </w:tr>
      <w:tr w:rsidR="00207BF8" w:rsidRPr="00E87AAA" w14:paraId="687274F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573AA40" w14:textId="77777777" w:rsidR="00207BF8" w:rsidRPr="00E87AAA" w:rsidRDefault="00207BF8" w:rsidP="00E164DA">
            <w:pPr>
              <w:pStyle w:val="Instructions"/>
            </w:pPr>
            <w:r>
              <w:t>Further Detail</w:t>
            </w:r>
          </w:p>
        </w:tc>
        <w:tc>
          <w:tcPr>
            <w:tcW w:w="6798" w:type="dxa"/>
            <w:shd w:val="clear" w:color="auto" w:fill="auto"/>
          </w:tcPr>
          <w:p w14:paraId="2FD6B4DF" w14:textId="1044CA0D" w:rsidR="00207BF8" w:rsidRDefault="00207BF8" w:rsidP="00207BF8">
            <w:pPr>
              <w:spacing w:before="120"/>
              <w:jc w:val="left"/>
              <w:rPr>
                <w:sz w:val="18"/>
                <w:szCs w:val="18"/>
                <w:highlight w:val="yellow"/>
              </w:rPr>
            </w:pPr>
          </w:p>
          <w:p w14:paraId="193DC8A7" w14:textId="77777777" w:rsidR="00293324" w:rsidRPr="005F763D" w:rsidRDefault="00293324" w:rsidP="00293324">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you currently have $</w:t>
            </w:r>
            <w:r w:rsidRPr="005F763D">
              <w:rPr>
                <w:color w:val="FF0000"/>
              </w:rPr>
              <w:t>[__</w:t>
            </w:r>
            <w:proofErr w:type="gramStart"/>
            <w:r w:rsidRPr="005F763D">
              <w:rPr>
                <w:color w:val="FF0000"/>
              </w:rPr>
              <w:t>_,_</w:t>
            </w:r>
            <w:proofErr w:type="gramEnd"/>
            <w:r w:rsidRPr="005F763D">
              <w:rPr>
                <w:color w:val="FF0000"/>
              </w:rPr>
              <w:t>__]</w:t>
            </w:r>
            <w:r w:rsidRPr="005F763D">
              <w:t xml:space="preserve"> invested in your </w:t>
            </w:r>
            <w:r w:rsidRPr="005F763D">
              <w:rPr>
                <w:color w:val="FF0000"/>
              </w:rPr>
              <w:t>[product]</w:t>
            </w:r>
            <w:r w:rsidRPr="005F763D">
              <w:t xml:space="preserve"> superannuation fund.</w:t>
            </w:r>
          </w:p>
          <w:p w14:paraId="724772A0" w14:textId="77777777" w:rsidR="00293324" w:rsidRPr="005F763D" w:rsidRDefault="00293324" w:rsidP="00293324">
            <w:pPr>
              <w:jc w:val="left"/>
            </w:pPr>
          </w:p>
          <w:p w14:paraId="3A055AAA" w14:textId="77777777" w:rsidR="00293324" w:rsidRPr="005F763D" w:rsidRDefault="00293324" w:rsidP="00293324">
            <w:pPr>
              <w:pStyle w:val="Normal5ptAfter"/>
            </w:pPr>
            <w:r w:rsidRPr="005F763D">
              <w:t xml:space="preserve">Your investment option within your current employer sponsored </w:t>
            </w:r>
            <w:r w:rsidRPr="005F763D">
              <w:rPr>
                <w:color w:val="FF0000"/>
              </w:rPr>
              <w:t>[product]</w:t>
            </w:r>
            <w:r w:rsidRPr="005F763D">
              <w:t xml:space="preserve"> superannuation fund is invested as follows:</w:t>
            </w:r>
          </w:p>
          <w:tbl>
            <w:tblPr>
              <w:tblW w:w="5000" w:type="pct"/>
              <w:tblBorders>
                <w:insideV w:val="single" w:sz="4" w:space="0" w:color="808080"/>
              </w:tblBorders>
              <w:tblLook w:val="04A0" w:firstRow="1" w:lastRow="0" w:firstColumn="1" w:lastColumn="0" w:noHBand="0" w:noVBand="1"/>
            </w:tblPr>
            <w:tblGrid>
              <w:gridCol w:w="5493"/>
              <w:gridCol w:w="1059"/>
            </w:tblGrid>
            <w:tr w:rsidR="00293324" w:rsidRPr="005F763D" w14:paraId="02FE3B05" w14:textId="77777777" w:rsidTr="008D079C">
              <w:tc>
                <w:tcPr>
                  <w:tcW w:w="4250" w:type="pct"/>
                  <w:tcBorders>
                    <w:top w:val="single" w:sz="4" w:space="0" w:color="808080"/>
                    <w:bottom w:val="single" w:sz="4" w:space="0" w:color="808080"/>
                    <w:right w:val="single" w:sz="24" w:space="0" w:color="FFFFFF"/>
                  </w:tcBorders>
                  <w:shd w:val="clear" w:color="auto" w:fill="BFBFBF"/>
                </w:tcPr>
                <w:p w14:paraId="7A73ED04" w14:textId="77777777" w:rsidR="00293324" w:rsidRPr="005F763D" w:rsidRDefault="00293324" w:rsidP="00293324">
                  <w:pPr>
                    <w:pStyle w:val="TableHeader2"/>
                    <w:rPr>
                      <w:rFonts w:ascii="Calibri" w:hAnsi="Calibri"/>
                    </w:rPr>
                  </w:pPr>
                  <w:r w:rsidRPr="005F763D">
                    <w:rPr>
                      <w:rFonts w:ascii="Calibri" w:hAnsi="Calibri"/>
                    </w:rPr>
                    <w:t>Investment Option</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4C58BAAC" w14:textId="77777777" w:rsidR="00293324" w:rsidRPr="005F763D" w:rsidRDefault="00293324" w:rsidP="00293324">
                  <w:pPr>
                    <w:pStyle w:val="TableHeader2-Centre"/>
                    <w:rPr>
                      <w:rFonts w:ascii="Calibri" w:hAnsi="Calibri"/>
                    </w:rPr>
                  </w:pPr>
                  <w:r w:rsidRPr="005F763D">
                    <w:rPr>
                      <w:rFonts w:ascii="Calibri" w:hAnsi="Calibri"/>
                    </w:rPr>
                    <w:t>Allocation</w:t>
                  </w:r>
                </w:p>
              </w:tc>
            </w:tr>
            <w:tr w:rsidR="00293324" w:rsidRPr="005F763D" w14:paraId="59727DBE" w14:textId="77777777" w:rsidTr="008D079C">
              <w:tc>
                <w:tcPr>
                  <w:tcW w:w="4250" w:type="pct"/>
                  <w:tcBorders>
                    <w:top w:val="single" w:sz="4" w:space="0" w:color="808080"/>
                    <w:bottom w:val="single" w:sz="4" w:space="0" w:color="808080"/>
                    <w:right w:val="single" w:sz="24" w:space="0" w:color="FFFFFF"/>
                  </w:tcBorders>
                  <w:vAlign w:val="center"/>
                </w:tcPr>
                <w:p w14:paraId="6E2ADCD2"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7D66525C" w14:textId="77777777" w:rsidR="00293324" w:rsidRPr="000D0191" w:rsidRDefault="00293324" w:rsidP="000D6E4F">
                  <w:pPr>
                    <w:pStyle w:val="TableText-Right"/>
                  </w:pPr>
                  <w:r w:rsidRPr="000D0191">
                    <w:t>X.XX%</w:t>
                  </w:r>
                </w:p>
              </w:tc>
            </w:tr>
            <w:tr w:rsidR="00293324" w:rsidRPr="005F763D" w14:paraId="70DA0C68" w14:textId="77777777" w:rsidTr="008D079C">
              <w:tc>
                <w:tcPr>
                  <w:tcW w:w="4250" w:type="pct"/>
                  <w:tcBorders>
                    <w:top w:val="single" w:sz="4" w:space="0" w:color="808080"/>
                    <w:bottom w:val="single" w:sz="4" w:space="0" w:color="808080"/>
                    <w:right w:val="single" w:sz="24" w:space="0" w:color="FFFFFF"/>
                  </w:tcBorders>
                  <w:vAlign w:val="center"/>
                </w:tcPr>
                <w:p w14:paraId="184ED8A3"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23D9AD4C" w14:textId="77777777" w:rsidR="00293324" w:rsidRPr="000D0191" w:rsidRDefault="00293324" w:rsidP="000D6E4F">
                  <w:pPr>
                    <w:pStyle w:val="TableText-Right"/>
                  </w:pPr>
                  <w:r w:rsidRPr="000D0191">
                    <w:t>X.XX%</w:t>
                  </w:r>
                </w:p>
              </w:tc>
            </w:tr>
            <w:tr w:rsidR="00293324" w:rsidRPr="005F763D" w14:paraId="16D088C1" w14:textId="77777777" w:rsidTr="008D079C">
              <w:tc>
                <w:tcPr>
                  <w:tcW w:w="4250" w:type="pct"/>
                  <w:tcBorders>
                    <w:top w:val="single" w:sz="4" w:space="0" w:color="808080"/>
                    <w:bottom w:val="single" w:sz="4" w:space="0" w:color="808080"/>
                    <w:right w:val="single" w:sz="24" w:space="0" w:color="FFFFFF"/>
                  </w:tcBorders>
                  <w:vAlign w:val="center"/>
                </w:tcPr>
                <w:p w14:paraId="781ADCC7"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3994A6D2" w14:textId="77777777" w:rsidR="00293324" w:rsidRPr="000D0191" w:rsidRDefault="00293324" w:rsidP="000D6E4F">
                  <w:pPr>
                    <w:pStyle w:val="TableText-Right"/>
                  </w:pPr>
                  <w:r w:rsidRPr="000D0191">
                    <w:t>X.XX%</w:t>
                  </w:r>
                </w:p>
              </w:tc>
            </w:tr>
            <w:tr w:rsidR="00293324" w:rsidRPr="005F763D" w14:paraId="478B64FB" w14:textId="77777777" w:rsidTr="008D079C">
              <w:tc>
                <w:tcPr>
                  <w:tcW w:w="4250" w:type="pct"/>
                  <w:tcBorders>
                    <w:top w:val="single" w:sz="4" w:space="0" w:color="808080"/>
                    <w:bottom w:val="single" w:sz="4" w:space="0" w:color="808080"/>
                    <w:right w:val="single" w:sz="24" w:space="0" w:color="FFFFFF"/>
                  </w:tcBorders>
                  <w:vAlign w:val="center"/>
                </w:tcPr>
                <w:p w14:paraId="591B0C02"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7DA895E5" w14:textId="77777777" w:rsidR="00293324" w:rsidRPr="000D0191" w:rsidRDefault="00293324" w:rsidP="000D6E4F">
                  <w:pPr>
                    <w:pStyle w:val="TableText-Right"/>
                  </w:pPr>
                  <w:r w:rsidRPr="000D0191">
                    <w:t>X.XX%</w:t>
                  </w:r>
                </w:p>
              </w:tc>
            </w:tr>
            <w:tr w:rsidR="00293324" w:rsidRPr="005F763D" w14:paraId="64284B47" w14:textId="77777777" w:rsidTr="005134CC">
              <w:trPr>
                <w:trHeight w:val="387"/>
              </w:trPr>
              <w:tc>
                <w:tcPr>
                  <w:tcW w:w="4250" w:type="pct"/>
                  <w:tcBorders>
                    <w:top w:val="single" w:sz="4" w:space="0" w:color="808080"/>
                    <w:right w:val="single" w:sz="24" w:space="0" w:color="FFFFFF"/>
                  </w:tcBorders>
                  <w:shd w:val="clear" w:color="auto" w:fill="auto"/>
                </w:tcPr>
                <w:p w14:paraId="49ADD583" w14:textId="77777777" w:rsidR="00293324" w:rsidRPr="005F763D" w:rsidRDefault="00293324"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2CE4E4BF" w14:textId="77777777" w:rsidR="00293324" w:rsidRPr="005F763D" w:rsidRDefault="00293324" w:rsidP="000D6E4F">
                  <w:pPr>
                    <w:pStyle w:val="TableText-RightBold"/>
                  </w:pPr>
                  <w:r>
                    <w:t>100%</w:t>
                  </w:r>
                </w:p>
              </w:tc>
            </w:tr>
          </w:tbl>
          <w:p w14:paraId="4CCC69E5" w14:textId="77777777" w:rsidR="005134CC" w:rsidRDefault="005134CC" w:rsidP="005134CC">
            <w:pPr>
              <w:jc w:val="left"/>
            </w:pPr>
          </w:p>
          <w:p w14:paraId="0F0AEDCB" w14:textId="15111E84" w:rsidR="005134CC" w:rsidRPr="005F763D" w:rsidRDefault="005134CC" w:rsidP="005134CC">
            <w:pPr>
              <w:jc w:val="left"/>
            </w:pPr>
            <w:r w:rsidRPr="007B045E">
              <w:lastRenderedPageBreak/>
              <w:t>The typical benefit of this recommendation is that all your assets are invested in accordance with your investment risk profile to achieve your financial goals.</w:t>
            </w:r>
          </w:p>
          <w:p w14:paraId="61572D51" w14:textId="2DB29897" w:rsidR="00293324" w:rsidRPr="00E87AAA" w:rsidRDefault="00293324" w:rsidP="005134CC">
            <w:pPr>
              <w:spacing w:before="120"/>
              <w:jc w:val="left"/>
              <w:rPr>
                <w:sz w:val="18"/>
                <w:szCs w:val="18"/>
                <w:highlight w:val="yellow"/>
              </w:rPr>
            </w:pPr>
          </w:p>
        </w:tc>
      </w:tr>
    </w:tbl>
    <w:p w14:paraId="7D0D7139" w14:textId="77777777" w:rsidR="00207BF8" w:rsidRPr="005F763D" w:rsidRDefault="00207BF8" w:rsidP="008C7CE9">
      <w:pPr>
        <w:jc w:val="left"/>
      </w:pPr>
    </w:p>
    <w:p w14:paraId="2681F454" w14:textId="77777777" w:rsidR="00D06163" w:rsidRPr="005F763D" w:rsidRDefault="00D06163" w:rsidP="00D06163"/>
    <w:p w14:paraId="71A669EE" w14:textId="77777777" w:rsidR="00D06163" w:rsidRPr="005F763D" w:rsidRDefault="00D06163" w:rsidP="008C7CE9">
      <w:pPr>
        <w:jc w:val="left"/>
      </w:pPr>
    </w:p>
    <w:p w14:paraId="1F130E69" w14:textId="77777777" w:rsidR="00D06163" w:rsidRPr="005F763D" w:rsidRDefault="00D06163" w:rsidP="008C7CE9">
      <w:pPr>
        <w:jc w:val="left"/>
      </w:pPr>
    </w:p>
    <w:p w14:paraId="40864919" w14:textId="77777777" w:rsidR="00CE2E7C" w:rsidRDefault="00CE2E7C" w:rsidP="008C7CE9">
      <w:pPr>
        <w:jc w:val="left"/>
        <w:rPr>
          <w:color w:val="002060"/>
          <w:sz w:val="24"/>
        </w:rPr>
        <w:sectPr w:rsidR="00CE2E7C" w:rsidSect="008C0AC7">
          <w:type w:val="continuous"/>
          <w:pgSz w:w="11906" w:h="16838" w:code="9"/>
          <w:pgMar w:top="1134" w:right="566" w:bottom="426" w:left="709" w:header="567" w:footer="95" w:gutter="0"/>
          <w:cols w:space="708"/>
          <w:docGrid w:linePitch="360"/>
        </w:sectPr>
      </w:pPr>
    </w:p>
    <w:p w14:paraId="391CA5EA" w14:textId="47C73698" w:rsidR="00D06163" w:rsidRPr="005F763D" w:rsidRDefault="00D06163" w:rsidP="008C7CE9">
      <w:pPr>
        <w:jc w:val="left"/>
        <w:rPr>
          <w:color w:val="002060"/>
          <w:sz w:val="24"/>
        </w:rPr>
      </w:pPr>
      <w:r w:rsidRPr="005F763D">
        <w:rPr>
          <w:color w:val="002060"/>
          <w:sz w:val="24"/>
        </w:rPr>
        <w:t>Rollover Your Existing Superannuation Fund</w:t>
      </w:r>
    </w:p>
    <w:p w14:paraId="1B15DEB2" w14:textId="112CFCBA"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141998F8"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AAAD83E"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73695B2" w14:textId="77777777" w:rsidR="00207BF8" w:rsidRPr="00E51BEA" w:rsidRDefault="00207BF8" w:rsidP="00207BF8">
            <w:pPr>
              <w:pStyle w:val="TableHeader2"/>
              <w:rPr>
                <w:rFonts w:ascii="Calibri Light" w:hAnsi="Calibri Light"/>
              </w:rPr>
            </w:pPr>
          </w:p>
        </w:tc>
      </w:tr>
      <w:tr w:rsidR="00207BF8" w:rsidRPr="0088114A" w14:paraId="610881C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50E2AA0" w14:textId="77777777" w:rsidR="00207BF8" w:rsidRPr="00E87AAA" w:rsidRDefault="00207BF8" w:rsidP="00E164DA">
            <w:pPr>
              <w:pStyle w:val="Instructions"/>
            </w:pPr>
            <w:r w:rsidRPr="00E87AAA">
              <w:t>Title</w:t>
            </w:r>
          </w:p>
        </w:tc>
        <w:tc>
          <w:tcPr>
            <w:tcW w:w="6798" w:type="dxa"/>
            <w:shd w:val="clear" w:color="auto" w:fill="auto"/>
          </w:tcPr>
          <w:p w14:paraId="7B860F5E" w14:textId="0F54B8C9" w:rsidR="00207BF8" w:rsidRPr="0088114A" w:rsidRDefault="00EA2881" w:rsidP="00207BF8">
            <w:pPr>
              <w:spacing w:before="120"/>
            </w:pPr>
            <w:r>
              <w:t>Existing Superannuation _ Rollover</w:t>
            </w:r>
          </w:p>
        </w:tc>
      </w:tr>
      <w:tr w:rsidR="00207BF8" w:rsidRPr="0088114A" w14:paraId="634569A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67C095" w14:textId="77777777" w:rsidR="00207BF8" w:rsidRPr="00E87AAA" w:rsidRDefault="00207BF8" w:rsidP="00E164DA">
            <w:pPr>
              <w:pStyle w:val="Instructions"/>
            </w:pPr>
            <w:r w:rsidRPr="00E87AAA">
              <w:t>Explanation</w:t>
            </w:r>
          </w:p>
        </w:tc>
        <w:tc>
          <w:tcPr>
            <w:tcW w:w="6798" w:type="dxa"/>
            <w:shd w:val="clear" w:color="auto" w:fill="auto"/>
          </w:tcPr>
          <w:p w14:paraId="0D53CF53" w14:textId="77777777" w:rsidR="00207BF8" w:rsidRPr="0088114A" w:rsidRDefault="00207BF8" w:rsidP="00207BF8">
            <w:pPr>
              <w:spacing w:before="120"/>
              <w:rPr>
                <w:sz w:val="18"/>
                <w:szCs w:val="18"/>
                <w:highlight w:val="yellow"/>
              </w:rPr>
            </w:pPr>
          </w:p>
        </w:tc>
      </w:tr>
      <w:tr w:rsidR="00207BF8" w:rsidRPr="00E87AAA" w14:paraId="2AA04853"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8F34F4F" w14:textId="77777777" w:rsidR="00207BF8" w:rsidRPr="00E87AAA" w:rsidRDefault="00207BF8" w:rsidP="00E164DA">
            <w:pPr>
              <w:pStyle w:val="Instructions"/>
            </w:pPr>
            <w:r w:rsidRPr="00E87AAA">
              <w:t>In your Best Interest</w:t>
            </w:r>
          </w:p>
        </w:tc>
        <w:tc>
          <w:tcPr>
            <w:tcW w:w="6798" w:type="dxa"/>
            <w:shd w:val="clear" w:color="auto" w:fill="auto"/>
          </w:tcPr>
          <w:p w14:paraId="29367E84" w14:textId="77777777" w:rsidR="00207BF8" w:rsidRPr="00E87AAA" w:rsidRDefault="00207BF8" w:rsidP="00207BF8">
            <w:pPr>
              <w:spacing w:before="120"/>
              <w:jc w:val="left"/>
              <w:rPr>
                <w:sz w:val="18"/>
                <w:szCs w:val="18"/>
                <w:highlight w:val="yellow"/>
              </w:rPr>
            </w:pPr>
          </w:p>
        </w:tc>
      </w:tr>
      <w:tr w:rsidR="00207BF8" w:rsidRPr="00E87AAA" w14:paraId="2383456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2035EBC" w14:textId="77777777" w:rsidR="00207BF8" w:rsidRPr="00E87AAA" w:rsidRDefault="00207BF8" w:rsidP="00E164DA">
            <w:pPr>
              <w:pStyle w:val="Instructions"/>
            </w:pPr>
            <w:r>
              <w:t>Further Detail</w:t>
            </w:r>
          </w:p>
        </w:tc>
        <w:tc>
          <w:tcPr>
            <w:tcW w:w="6798" w:type="dxa"/>
            <w:shd w:val="clear" w:color="auto" w:fill="auto"/>
          </w:tcPr>
          <w:p w14:paraId="3BE8AF02" w14:textId="1751D617" w:rsidR="00C866AA" w:rsidRPr="005F763D" w:rsidRDefault="00C866AA" w:rsidP="00C866AA">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396993">
              <w:rPr>
                <w:color w:val="FF0000"/>
              </w:rPr>
              <w:t>]</w:t>
            </w:r>
            <w:r w:rsidR="00396993" w:rsidRPr="005F763D">
              <w:t>, rolling</w:t>
            </w:r>
            <w:r w:rsidRPr="007B045E">
              <w:t xml:space="preserve"> over your</w:t>
            </w:r>
            <w:r w:rsidRPr="005F763D">
              <w:t xml:space="preserve"> </w:t>
            </w:r>
            <w:r w:rsidRPr="005F763D">
              <w:rPr>
                <w:color w:val="FF0000"/>
              </w:rPr>
              <w:t>[product]</w:t>
            </w:r>
            <w:r w:rsidRPr="005F763D">
              <w:t xml:space="preserve"> </w:t>
            </w:r>
            <w:r w:rsidRPr="007B045E">
              <w:t xml:space="preserve">superannuation fund into the </w:t>
            </w:r>
            <w:r w:rsidRPr="007B045E">
              <w:rPr>
                <w:color w:val="FF0000"/>
              </w:rPr>
              <w:t>[product]</w:t>
            </w:r>
            <w:r w:rsidRPr="007B045E">
              <w:t xml:space="preserve"> superannuation fund, can typically have the following benefits:</w:t>
            </w:r>
          </w:p>
          <w:p w14:paraId="0D77C719" w14:textId="77777777" w:rsidR="00C866AA" w:rsidRPr="005F763D" w:rsidRDefault="00C866AA">
            <w:pPr>
              <w:pStyle w:val="InterPracBullet"/>
              <w:numPr>
                <w:ilvl w:val="0"/>
                <w:numId w:val="98"/>
              </w:numPr>
            </w:pPr>
            <w:r w:rsidRPr="005F763D">
              <w:t>The recommended fund offers a much wider range of managed investment options and access to direct shares.</w:t>
            </w:r>
          </w:p>
          <w:p w14:paraId="471DC4D3" w14:textId="77777777" w:rsidR="00C866AA" w:rsidRPr="005F763D" w:rsidRDefault="00C866AA">
            <w:pPr>
              <w:pStyle w:val="InterPracBullet"/>
              <w:numPr>
                <w:ilvl w:val="0"/>
                <w:numId w:val="98"/>
              </w:numPr>
            </w:pPr>
            <w:r w:rsidRPr="005F763D">
              <w:t>The recommended fund offers lower ongoing fees than your existing fund.</w:t>
            </w:r>
          </w:p>
          <w:p w14:paraId="5C14BC13" w14:textId="77777777" w:rsidR="00C866AA" w:rsidRPr="005F763D" w:rsidRDefault="00C866AA">
            <w:pPr>
              <w:pStyle w:val="InterPracBullet"/>
              <w:numPr>
                <w:ilvl w:val="0"/>
                <w:numId w:val="98"/>
              </w:numPr>
            </w:pPr>
            <w:r w:rsidRPr="005F763D">
              <w:t>You consolidate your superannuation benefits to reduce the total ongoing management fees charged on your total superannuation benefits.</w:t>
            </w:r>
          </w:p>
          <w:p w14:paraId="2280148C" w14:textId="77777777" w:rsidR="00C866AA" w:rsidRPr="005F763D" w:rsidRDefault="00C866AA">
            <w:pPr>
              <w:pStyle w:val="InterPracBullet"/>
              <w:numPr>
                <w:ilvl w:val="0"/>
                <w:numId w:val="98"/>
              </w:numPr>
            </w:pPr>
            <w:r w:rsidRPr="005F763D">
              <w:t>You consolidate your superannuation benefits for ease of administration.</w:t>
            </w:r>
          </w:p>
          <w:p w14:paraId="26A10B10" w14:textId="77777777" w:rsidR="00C866AA" w:rsidRPr="005F763D" w:rsidRDefault="00C866AA">
            <w:pPr>
              <w:pStyle w:val="InterPracBullet"/>
              <w:numPr>
                <w:ilvl w:val="0"/>
                <w:numId w:val="98"/>
              </w:numPr>
            </w:pPr>
            <w:r w:rsidRPr="005F763D">
              <w:t>Your superannuation benefits will be invested in accordance with your risk profile to achieve your financial goals.</w:t>
            </w:r>
          </w:p>
          <w:p w14:paraId="59341C0D" w14:textId="77777777" w:rsidR="00C866AA" w:rsidRDefault="00C866AA" w:rsidP="00C866AA">
            <w:pPr>
              <w:jc w:val="left"/>
            </w:pPr>
          </w:p>
          <w:p w14:paraId="4E323AAC" w14:textId="53BB72E8" w:rsidR="00C866AA" w:rsidRDefault="00C866AA" w:rsidP="00C866AA">
            <w:pPr>
              <w:jc w:val="left"/>
              <w:rPr>
                <w:b/>
                <w:i/>
              </w:rPr>
            </w:pPr>
            <w:r w:rsidRPr="005F763D">
              <w:t>Before proceeding you should note the following:</w:t>
            </w:r>
          </w:p>
          <w:p w14:paraId="7ED9867D" w14:textId="77777777" w:rsidR="00C866AA" w:rsidRPr="005F763D" w:rsidRDefault="00C866AA">
            <w:pPr>
              <w:pStyle w:val="InterPracBullet"/>
              <w:numPr>
                <w:ilvl w:val="0"/>
                <w:numId w:val="98"/>
              </w:numPr>
            </w:pPr>
            <w:r w:rsidRPr="005F763D">
              <w:t>In rolling over your existing superannuation, there are a number of considerations and implications you need to be aware of, including:</w:t>
            </w:r>
          </w:p>
          <w:p w14:paraId="7A097838" w14:textId="77777777" w:rsidR="00C866AA" w:rsidRPr="005F763D" w:rsidRDefault="00C866AA">
            <w:pPr>
              <w:pStyle w:val="InterPracBullet"/>
              <w:numPr>
                <w:ilvl w:val="0"/>
                <w:numId w:val="98"/>
              </w:numPr>
            </w:pPr>
            <w:r w:rsidRPr="005F763D">
              <w:t>Upfront, ongoing and exit fees;</w:t>
            </w:r>
          </w:p>
          <w:p w14:paraId="585604A3" w14:textId="77777777" w:rsidR="00C866AA" w:rsidRPr="005F763D" w:rsidRDefault="00C866AA">
            <w:pPr>
              <w:pStyle w:val="InterPracBullet"/>
              <w:numPr>
                <w:ilvl w:val="0"/>
                <w:numId w:val="98"/>
              </w:numPr>
            </w:pPr>
            <w:r w:rsidRPr="005F763D">
              <w:t>Buy/Sell costs;</w:t>
            </w:r>
          </w:p>
          <w:p w14:paraId="76FCCAA3" w14:textId="77777777" w:rsidR="00C866AA" w:rsidRPr="005F763D" w:rsidRDefault="00C866AA">
            <w:pPr>
              <w:pStyle w:val="InterPracBullet"/>
              <w:numPr>
                <w:ilvl w:val="0"/>
                <w:numId w:val="98"/>
              </w:numPr>
            </w:pPr>
            <w:r w:rsidRPr="005F763D">
              <w:t>Time out of the market; and</w:t>
            </w:r>
          </w:p>
          <w:p w14:paraId="5AF6BEDB" w14:textId="77777777" w:rsidR="00C866AA" w:rsidRPr="005F763D" w:rsidRDefault="00C866AA">
            <w:pPr>
              <w:pStyle w:val="InterPracBullet"/>
              <w:numPr>
                <w:ilvl w:val="0"/>
                <w:numId w:val="98"/>
              </w:numPr>
            </w:pPr>
            <w:r w:rsidRPr="005F763D">
              <w:t>Loss of insurance, bonuses and auto acceptance.</w:t>
            </w:r>
          </w:p>
          <w:p w14:paraId="623E3642" w14:textId="77777777" w:rsidR="00C866AA" w:rsidRPr="00AB20EB" w:rsidRDefault="00C866AA" w:rsidP="00C866AA">
            <w:pPr>
              <w:jc w:val="left"/>
              <w:rPr>
                <w:b/>
              </w:rPr>
            </w:pPr>
          </w:p>
          <w:p w14:paraId="5BDB39F0" w14:textId="77777777" w:rsidR="00C866AA" w:rsidRPr="00AB20EB" w:rsidRDefault="00C866AA" w:rsidP="00C866AA">
            <w:pPr>
              <w:jc w:val="left"/>
              <w:rPr>
                <w:b/>
              </w:rPr>
            </w:pPr>
          </w:p>
          <w:p w14:paraId="1BE27870" w14:textId="2E144D03" w:rsidR="00C866AA" w:rsidRPr="005F763D" w:rsidRDefault="00C866AA" w:rsidP="00C866AA">
            <w:pPr>
              <w:jc w:val="left"/>
              <w:rPr>
                <w:b/>
                <w:i/>
              </w:rPr>
            </w:pPr>
            <w:r w:rsidRPr="005F763D">
              <w:rPr>
                <w:b/>
                <w:i/>
              </w:rPr>
              <w:t>Please refer to the Replacement of Product Information section of this advice, for further information.</w:t>
            </w:r>
          </w:p>
          <w:p w14:paraId="3656302F" w14:textId="04E5B1AE" w:rsidR="00207BF8" w:rsidRPr="00E87AAA" w:rsidRDefault="00207BF8" w:rsidP="00207BF8">
            <w:pPr>
              <w:spacing w:before="120"/>
              <w:jc w:val="left"/>
              <w:rPr>
                <w:sz w:val="18"/>
                <w:szCs w:val="18"/>
                <w:highlight w:val="yellow"/>
              </w:rPr>
            </w:pPr>
          </w:p>
        </w:tc>
      </w:tr>
    </w:tbl>
    <w:p w14:paraId="05E81456" w14:textId="77777777" w:rsidR="00207BF8" w:rsidRPr="005F763D" w:rsidRDefault="00207BF8" w:rsidP="008C7CE9">
      <w:pPr>
        <w:jc w:val="left"/>
      </w:pPr>
    </w:p>
    <w:p w14:paraId="4D95572D" w14:textId="141E80DB" w:rsidR="00D06163" w:rsidRPr="005F763D" w:rsidRDefault="00D06163" w:rsidP="008C7CE9">
      <w:pPr>
        <w:jc w:val="left"/>
      </w:pPr>
    </w:p>
    <w:p w14:paraId="203C7FDD" w14:textId="77777777" w:rsidR="00D06163" w:rsidRPr="005F763D" w:rsidRDefault="00D06163" w:rsidP="008C7CE9">
      <w:pPr>
        <w:jc w:val="left"/>
      </w:pPr>
    </w:p>
    <w:p w14:paraId="4C02107C" w14:textId="77777777" w:rsidR="00D06163" w:rsidRPr="005F763D" w:rsidRDefault="00D06163" w:rsidP="008C7CE9">
      <w:pPr>
        <w:jc w:val="left"/>
        <w:rPr>
          <w:color w:val="002060"/>
          <w:sz w:val="24"/>
        </w:rPr>
      </w:pPr>
      <w:bookmarkStart w:id="90" w:name="_Hlk504131402"/>
      <w:r w:rsidRPr="005F763D">
        <w:rPr>
          <w:color w:val="002060"/>
          <w:sz w:val="24"/>
        </w:rPr>
        <w:t>Underlying Investment Switch within Your Existing Superannuation Fund</w:t>
      </w:r>
    </w:p>
    <w:p w14:paraId="063F3EAA" w14:textId="31729994"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26DF9A89"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76C9D8B"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CE48C1A" w14:textId="77777777" w:rsidR="00207BF8" w:rsidRPr="00E51BEA" w:rsidRDefault="00207BF8" w:rsidP="00207BF8">
            <w:pPr>
              <w:pStyle w:val="TableHeader2"/>
              <w:rPr>
                <w:rFonts w:ascii="Calibri Light" w:hAnsi="Calibri Light"/>
              </w:rPr>
            </w:pPr>
          </w:p>
        </w:tc>
      </w:tr>
      <w:tr w:rsidR="00207BF8" w:rsidRPr="0088114A" w14:paraId="120C2A14"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B38527B" w14:textId="77777777" w:rsidR="00207BF8" w:rsidRPr="00E87AAA" w:rsidRDefault="00207BF8" w:rsidP="00E164DA">
            <w:pPr>
              <w:pStyle w:val="Instructions"/>
            </w:pPr>
            <w:r w:rsidRPr="00E87AAA">
              <w:t>Title</w:t>
            </w:r>
          </w:p>
        </w:tc>
        <w:tc>
          <w:tcPr>
            <w:tcW w:w="6798" w:type="dxa"/>
            <w:shd w:val="clear" w:color="auto" w:fill="auto"/>
          </w:tcPr>
          <w:p w14:paraId="6AC13B48" w14:textId="16BC2C31" w:rsidR="00207BF8" w:rsidRPr="0088114A" w:rsidRDefault="00226ECF" w:rsidP="00207BF8">
            <w:pPr>
              <w:spacing w:before="120"/>
            </w:pPr>
            <w:r>
              <w:t>Existing Superannu</w:t>
            </w:r>
            <w:r w:rsidR="004C1CC1">
              <w:t>a</w:t>
            </w:r>
            <w:r>
              <w:t>tion Fund _ Investment Switch</w:t>
            </w:r>
          </w:p>
        </w:tc>
      </w:tr>
      <w:tr w:rsidR="00207BF8" w:rsidRPr="0088114A" w14:paraId="333E511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B6EA79" w14:textId="77777777" w:rsidR="00207BF8" w:rsidRPr="00E87AAA" w:rsidRDefault="00207BF8" w:rsidP="00E164DA">
            <w:pPr>
              <w:pStyle w:val="Instructions"/>
            </w:pPr>
            <w:r w:rsidRPr="00E87AAA">
              <w:t>Explanation</w:t>
            </w:r>
          </w:p>
        </w:tc>
        <w:tc>
          <w:tcPr>
            <w:tcW w:w="6798" w:type="dxa"/>
            <w:shd w:val="clear" w:color="auto" w:fill="auto"/>
          </w:tcPr>
          <w:p w14:paraId="6513F793" w14:textId="2A97757D" w:rsidR="00C0038E" w:rsidRDefault="00C0038E" w:rsidP="00C0038E">
            <w:pPr>
              <w:pStyle w:val="Normal5ptAfter"/>
            </w:pPr>
            <w:r w:rsidRPr="005F763D">
              <w:t xml:space="preserve">We recommend you switch your superannuation benefits to the following investment options within your </w:t>
            </w:r>
            <w:r w:rsidRPr="005F763D">
              <w:rPr>
                <w:color w:val="FF0000"/>
              </w:rPr>
              <w:t>[product]</w:t>
            </w:r>
            <w:r w:rsidRPr="005F763D">
              <w:t xml:space="preserve"> superannuation fund:</w:t>
            </w:r>
          </w:p>
          <w:p w14:paraId="0F82F67C" w14:textId="77777777" w:rsidR="00C0038E" w:rsidRPr="005F763D" w:rsidRDefault="00C0038E" w:rsidP="00C0038E">
            <w:pPr>
              <w:pStyle w:val="Normal5ptAfter"/>
            </w:pPr>
          </w:p>
          <w:tbl>
            <w:tblPr>
              <w:tblW w:w="5000" w:type="pct"/>
              <w:tblBorders>
                <w:insideV w:val="single" w:sz="4" w:space="0" w:color="808080"/>
              </w:tblBorders>
              <w:tblLook w:val="04A0" w:firstRow="1" w:lastRow="0" w:firstColumn="1" w:lastColumn="0" w:noHBand="0" w:noVBand="1"/>
            </w:tblPr>
            <w:tblGrid>
              <w:gridCol w:w="2304"/>
              <w:gridCol w:w="987"/>
              <w:gridCol w:w="2304"/>
              <w:gridCol w:w="987"/>
            </w:tblGrid>
            <w:tr w:rsidR="00C0038E" w:rsidRPr="005F763D" w14:paraId="650D8F7D" w14:textId="77777777" w:rsidTr="004D1683">
              <w:tc>
                <w:tcPr>
                  <w:tcW w:w="1750" w:type="pct"/>
                  <w:tcBorders>
                    <w:top w:val="single" w:sz="4" w:space="0" w:color="808080"/>
                    <w:bottom w:val="single" w:sz="4" w:space="0" w:color="808080"/>
                    <w:right w:val="single" w:sz="24" w:space="0" w:color="FFFFFF"/>
                  </w:tcBorders>
                  <w:shd w:val="clear" w:color="auto" w:fill="BFBFBF"/>
                </w:tcPr>
                <w:p w14:paraId="4A0DB305" w14:textId="77777777" w:rsidR="00C0038E" w:rsidRPr="005F763D" w:rsidRDefault="00C0038E" w:rsidP="00C0038E">
                  <w:pPr>
                    <w:pStyle w:val="TableHeader2"/>
                    <w:rPr>
                      <w:rFonts w:ascii="Calibri" w:hAnsi="Calibri"/>
                    </w:rPr>
                  </w:pPr>
                  <w:r w:rsidRPr="005F763D">
                    <w:rPr>
                      <w:rFonts w:ascii="Calibri" w:hAnsi="Calibri"/>
                    </w:rPr>
                    <w:t>Redeemed Fund</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0A99A0E2" w14:textId="77777777" w:rsidR="00C0038E" w:rsidRPr="005F763D" w:rsidRDefault="00C0038E" w:rsidP="00C0038E">
                  <w:pPr>
                    <w:pStyle w:val="TableHeader2-Centre"/>
                    <w:rPr>
                      <w:rFonts w:ascii="Calibri" w:hAnsi="Calibri"/>
                    </w:rPr>
                  </w:pPr>
                  <w:r w:rsidRPr="005F763D">
                    <w:rPr>
                      <w:rFonts w:ascii="Calibri" w:hAnsi="Calibri"/>
                    </w:rPr>
                    <w:t>Value</w:t>
                  </w:r>
                </w:p>
              </w:tc>
              <w:tc>
                <w:tcPr>
                  <w:tcW w:w="1750" w:type="pct"/>
                  <w:tcBorders>
                    <w:top w:val="single" w:sz="4" w:space="0" w:color="808080"/>
                    <w:left w:val="single" w:sz="24" w:space="0" w:color="FFFFFF"/>
                    <w:bottom w:val="single" w:sz="4" w:space="0" w:color="808080"/>
                    <w:right w:val="single" w:sz="24" w:space="0" w:color="FFFFFF"/>
                  </w:tcBorders>
                  <w:shd w:val="clear" w:color="auto" w:fill="BFBFBF"/>
                </w:tcPr>
                <w:p w14:paraId="42BDBE51" w14:textId="77777777" w:rsidR="00C0038E" w:rsidRPr="005F763D" w:rsidRDefault="00C0038E" w:rsidP="00C0038E">
                  <w:pPr>
                    <w:pStyle w:val="TableHeader2"/>
                    <w:rPr>
                      <w:rFonts w:ascii="Calibri" w:hAnsi="Calibri"/>
                    </w:rPr>
                  </w:pPr>
                  <w:r w:rsidRPr="005F763D">
                    <w:rPr>
                      <w:rFonts w:ascii="Calibri" w:hAnsi="Calibri"/>
                    </w:rPr>
                    <w:t>Recommended Fund</w:t>
                  </w:r>
                </w:p>
              </w:tc>
              <w:tc>
                <w:tcPr>
                  <w:tcW w:w="750" w:type="pct"/>
                  <w:tcBorders>
                    <w:top w:val="single" w:sz="4" w:space="0" w:color="808080"/>
                    <w:left w:val="single" w:sz="24" w:space="0" w:color="FFFFFF"/>
                    <w:bottom w:val="single" w:sz="4" w:space="0" w:color="808080"/>
                  </w:tcBorders>
                  <w:shd w:val="clear" w:color="auto" w:fill="BFBFBF"/>
                </w:tcPr>
                <w:p w14:paraId="043AF675" w14:textId="77777777" w:rsidR="00C0038E" w:rsidRPr="005F763D" w:rsidRDefault="00C0038E" w:rsidP="00C0038E">
                  <w:pPr>
                    <w:pStyle w:val="TableHeader2-Centre"/>
                    <w:rPr>
                      <w:rFonts w:ascii="Calibri" w:hAnsi="Calibri"/>
                    </w:rPr>
                  </w:pPr>
                  <w:r w:rsidRPr="005F763D">
                    <w:rPr>
                      <w:rFonts w:ascii="Calibri" w:hAnsi="Calibri"/>
                    </w:rPr>
                    <w:t>Value</w:t>
                  </w:r>
                </w:p>
              </w:tc>
            </w:tr>
            <w:tr w:rsidR="00C0038E" w:rsidRPr="005F763D" w14:paraId="33B53F7A" w14:textId="77777777" w:rsidTr="004D1683">
              <w:tc>
                <w:tcPr>
                  <w:tcW w:w="1750" w:type="pct"/>
                  <w:tcBorders>
                    <w:top w:val="single" w:sz="4" w:space="0" w:color="808080"/>
                    <w:bottom w:val="single" w:sz="4" w:space="0" w:color="808080"/>
                    <w:right w:val="single" w:sz="24" w:space="0" w:color="FFFFFF"/>
                  </w:tcBorders>
                </w:tcPr>
                <w:p w14:paraId="544695F6" w14:textId="294078BF"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32F3D942"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4FE2791D" w14:textId="60D68727"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3E4D39F5" w14:textId="77777777" w:rsidR="00C0038E" w:rsidRPr="005F763D" w:rsidRDefault="00C0038E" w:rsidP="000D6E4F">
                  <w:pPr>
                    <w:pStyle w:val="TableText-Right"/>
                    <w:rPr>
                      <w:rFonts w:ascii="Calibri" w:hAnsi="Calibri"/>
                    </w:rPr>
                  </w:pPr>
                  <w:r w:rsidRPr="005F763D">
                    <w:t>$___,___</w:t>
                  </w:r>
                </w:p>
              </w:tc>
            </w:tr>
            <w:tr w:rsidR="00C0038E" w:rsidRPr="005F763D" w14:paraId="2256E6CC" w14:textId="77777777" w:rsidTr="004D1683">
              <w:tc>
                <w:tcPr>
                  <w:tcW w:w="1750" w:type="pct"/>
                  <w:tcBorders>
                    <w:top w:val="single" w:sz="4" w:space="0" w:color="808080"/>
                    <w:bottom w:val="single" w:sz="4" w:space="0" w:color="808080"/>
                    <w:right w:val="single" w:sz="24" w:space="0" w:color="FFFFFF"/>
                  </w:tcBorders>
                </w:tcPr>
                <w:p w14:paraId="4B50EC22" w14:textId="71D239AD"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7A7FB2C2"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0FF9B796" w14:textId="221E26C1"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7A04B9C0" w14:textId="77777777" w:rsidR="00C0038E" w:rsidRPr="005F763D" w:rsidRDefault="00C0038E" w:rsidP="000D6E4F">
                  <w:pPr>
                    <w:pStyle w:val="TableText-Right"/>
                    <w:rPr>
                      <w:rFonts w:ascii="Calibri" w:hAnsi="Calibri"/>
                    </w:rPr>
                  </w:pPr>
                  <w:r w:rsidRPr="005F763D">
                    <w:t>$___,___</w:t>
                  </w:r>
                </w:p>
              </w:tc>
            </w:tr>
            <w:tr w:rsidR="00C0038E" w:rsidRPr="005F763D" w14:paraId="645FAD95" w14:textId="77777777" w:rsidTr="004D1683">
              <w:tc>
                <w:tcPr>
                  <w:tcW w:w="1750" w:type="pct"/>
                  <w:tcBorders>
                    <w:top w:val="single" w:sz="4" w:space="0" w:color="808080"/>
                    <w:bottom w:val="single" w:sz="4" w:space="0" w:color="808080"/>
                    <w:right w:val="single" w:sz="24" w:space="0" w:color="FFFFFF"/>
                  </w:tcBorders>
                </w:tcPr>
                <w:p w14:paraId="7AE0F73F" w14:textId="26AC7E7D"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237A359B"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22674FC1" w14:textId="64CA38E5"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706B6DC9" w14:textId="77777777" w:rsidR="00C0038E" w:rsidRPr="005F763D" w:rsidRDefault="00C0038E" w:rsidP="000D6E4F">
                  <w:pPr>
                    <w:pStyle w:val="TableText-Right"/>
                    <w:rPr>
                      <w:rFonts w:ascii="Calibri" w:hAnsi="Calibri"/>
                    </w:rPr>
                  </w:pPr>
                  <w:r w:rsidRPr="005F763D">
                    <w:t>$___,___</w:t>
                  </w:r>
                </w:p>
              </w:tc>
            </w:tr>
            <w:tr w:rsidR="00C0038E" w:rsidRPr="005F763D" w14:paraId="22E9186E" w14:textId="77777777" w:rsidTr="004D1683">
              <w:tc>
                <w:tcPr>
                  <w:tcW w:w="1750" w:type="pct"/>
                  <w:tcBorders>
                    <w:top w:val="single" w:sz="4" w:space="0" w:color="808080"/>
                    <w:bottom w:val="single" w:sz="4" w:space="0" w:color="808080"/>
                    <w:right w:val="single" w:sz="24" w:space="0" w:color="FFFFFF"/>
                  </w:tcBorders>
                </w:tcPr>
                <w:p w14:paraId="459306D1" w14:textId="20ECDB8E" w:rsidR="00C0038E" w:rsidRPr="00AA49AA" w:rsidRDefault="00C0038E" w:rsidP="00C0038E">
                  <w:pPr>
                    <w:pStyle w:val="TableText-Left"/>
                  </w:pPr>
                  <w:r w:rsidRPr="00AA49AA">
                    <w:lastRenderedPageBreak/>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34796A06"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30E549D0" w14:textId="57166985"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674D7E09" w14:textId="77777777" w:rsidR="00C0038E" w:rsidRPr="005F763D" w:rsidRDefault="00C0038E" w:rsidP="000D6E4F">
                  <w:pPr>
                    <w:pStyle w:val="TableText-Right"/>
                    <w:rPr>
                      <w:rFonts w:ascii="Calibri" w:hAnsi="Calibri"/>
                    </w:rPr>
                  </w:pPr>
                  <w:r w:rsidRPr="005F763D">
                    <w:t>$___,___</w:t>
                  </w:r>
                </w:p>
              </w:tc>
            </w:tr>
            <w:tr w:rsidR="00C0038E" w:rsidRPr="005F763D" w14:paraId="69FC62D1" w14:textId="77777777" w:rsidTr="004D1683">
              <w:tc>
                <w:tcPr>
                  <w:tcW w:w="1750" w:type="pct"/>
                  <w:tcBorders>
                    <w:top w:val="single" w:sz="4" w:space="0" w:color="808080"/>
                    <w:right w:val="single" w:sz="24" w:space="0" w:color="FFFFFF"/>
                  </w:tcBorders>
                  <w:shd w:val="clear" w:color="auto" w:fill="auto"/>
                </w:tcPr>
                <w:p w14:paraId="635B02C9" w14:textId="77777777" w:rsidR="00C0038E" w:rsidRPr="005F763D" w:rsidRDefault="00C0038E"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3586B628" w14:textId="77777777" w:rsidR="00C0038E" w:rsidRPr="005F763D" w:rsidRDefault="00C0038E" w:rsidP="000D6E4F">
                  <w:pPr>
                    <w:pStyle w:val="TableText-RightBold"/>
                  </w:pPr>
                  <w:r w:rsidRPr="005F763D">
                    <w:t>$___,___</w:t>
                  </w:r>
                </w:p>
              </w:tc>
              <w:tc>
                <w:tcPr>
                  <w:tcW w:w="1750" w:type="pct"/>
                  <w:tcBorders>
                    <w:top w:val="single" w:sz="4" w:space="0" w:color="808080"/>
                    <w:left w:val="single" w:sz="24" w:space="0" w:color="FFFFFF"/>
                    <w:right w:val="single" w:sz="24" w:space="0" w:color="FFFFFF"/>
                  </w:tcBorders>
                  <w:shd w:val="clear" w:color="auto" w:fill="auto"/>
                </w:tcPr>
                <w:p w14:paraId="0C06EDE8" w14:textId="77777777" w:rsidR="00C0038E" w:rsidRPr="005F763D" w:rsidRDefault="00C0038E" w:rsidP="000D6E4F">
                  <w:pPr>
                    <w:pStyle w:val="TableText-RightBold"/>
                  </w:pPr>
                </w:p>
              </w:tc>
              <w:tc>
                <w:tcPr>
                  <w:tcW w:w="750" w:type="pct"/>
                  <w:tcBorders>
                    <w:top w:val="single" w:sz="4" w:space="0" w:color="808080"/>
                    <w:left w:val="single" w:sz="24" w:space="0" w:color="FFFFFF"/>
                    <w:bottom w:val="single" w:sz="4" w:space="0" w:color="808080"/>
                  </w:tcBorders>
                  <w:shd w:val="clear" w:color="auto" w:fill="D9D9D9"/>
                </w:tcPr>
                <w:p w14:paraId="00E19ACD" w14:textId="77777777" w:rsidR="00C0038E" w:rsidRPr="005F763D" w:rsidRDefault="00C0038E" w:rsidP="000D6E4F">
                  <w:pPr>
                    <w:pStyle w:val="TableText-RightBold"/>
                  </w:pPr>
                  <w:r w:rsidRPr="005F763D">
                    <w:t>$___,___</w:t>
                  </w:r>
                </w:p>
              </w:tc>
            </w:tr>
          </w:tbl>
          <w:p w14:paraId="1267DC8C" w14:textId="77777777" w:rsidR="00C0038E" w:rsidRPr="005F763D" w:rsidRDefault="00C0038E" w:rsidP="00C0038E"/>
          <w:p w14:paraId="3F4E206A" w14:textId="77777777" w:rsidR="00207BF8" w:rsidRPr="0088114A" w:rsidRDefault="00207BF8" w:rsidP="00207BF8">
            <w:pPr>
              <w:spacing w:before="120"/>
              <w:rPr>
                <w:sz w:val="18"/>
                <w:szCs w:val="18"/>
                <w:highlight w:val="yellow"/>
              </w:rPr>
            </w:pPr>
          </w:p>
        </w:tc>
      </w:tr>
      <w:tr w:rsidR="00207BF8" w:rsidRPr="00E87AAA" w14:paraId="692E92FF"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8BA6766" w14:textId="77777777" w:rsidR="00207BF8" w:rsidRPr="00E87AAA" w:rsidRDefault="00207BF8" w:rsidP="00E164DA">
            <w:pPr>
              <w:pStyle w:val="Instructions"/>
            </w:pPr>
            <w:r w:rsidRPr="00E87AAA">
              <w:lastRenderedPageBreak/>
              <w:t>In your Best Interest</w:t>
            </w:r>
          </w:p>
        </w:tc>
        <w:tc>
          <w:tcPr>
            <w:tcW w:w="6798" w:type="dxa"/>
            <w:shd w:val="clear" w:color="auto" w:fill="auto"/>
          </w:tcPr>
          <w:p w14:paraId="221DB828" w14:textId="4882E990" w:rsidR="00207BF8" w:rsidRPr="00E87AAA" w:rsidRDefault="00207BF8" w:rsidP="0084508D">
            <w:pPr>
              <w:jc w:val="left"/>
              <w:rPr>
                <w:sz w:val="18"/>
                <w:szCs w:val="18"/>
                <w:highlight w:val="yellow"/>
              </w:rPr>
            </w:pPr>
          </w:p>
        </w:tc>
      </w:tr>
      <w:tr w:rsidR="00207BF8" w:rsidRPr="00E87AAA" w14:paraId="235315F9"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ACA30E1" w14:textId="77777777" w:rsidR="00207BF8" w:rsidRPr="00E87AAA" w:rsidRDefault="00207BF8" w:rsidP="00E164DA">
            <w:pPr>
              <w:pStyle w:val="Instructions"/>
            </w:pPr>
            <w:r>
              <w:t>Further Detail</w:t>
            </w:r>
          </w:p>
        </w:tc>
        <w:tc>
          <w:tcPr>
            <w:tcW w:w="6798" w:type="dxa"/>
            <w:shd w:val="clear" w:color="auto" w:fill="auto"/>
          </w:tcPr>
          <w:p w14:paraId="5BB54565" w14:textId="77777777" w:rsidR="00C0038E" w:rsidRPr="005F763D" w:rsidRDefault="00C0038E" w:rsidP="00C0038E">
            <w:pPr>
              <w:jc w:val="left"/>
            </w:pPr>
            <w:r w:rsidRPr="005F763D">
              <w:t>Your current asset allocation is not in line with your personal investment risk profile.</w:t>
            </w:r>
          </w:p>
          <w:p w14:paraId="5434237C" w14:textId="77777777" w:rsidR="00C0038E" w:rsidRPr="005F763D" w:rsidRDefault="00C0038E" w:rsidP="00C0038E">
            <w:pPr>
              <w:jc w:val="left"/>
            </w:pPr>
          </w:p>
          <w:p w14:paraId="6F42262F" w14:textId="4063B8B7" w:rsidR="00C0038E" w:rsidRDefault="00C0038E" w:rsidP="00C0038E">
            <w:pPr>
              <w:jc w:val="left"/>
            </w:pPr>
            <w:r w:rsidRPr="00AA49AA">
              <w:t xml:space="preserve">We have determined that your entire investment portfolio, including your current and future superannuation benefits should be in line with your </w:t>
            </w:r>
            <w:r w:rsidRPr="00690582">
              <w:rPr>
                <w:color w:val="7030A0"/>
                <w:highlight w:val="yellow"/>
              </w:rPr>
              <w:t>[</w:t>
            </w:r>
            <w:r w:rsidR="00F8464C" w:rsidRPr="00690582">
              <w:rPr>
                <w:color w:val="7030A0"/>
                <w:highlight w:val="yellow"/>
              </w:rPr>
              <w:t>assessed risk profile</w:t>
            </w:r>
            <w:r w:rsidRPr="00690582">
              <w:rPr>
                <w:color w:val="7030A0"/>
                <w:highlight w:val="yellow"/>
              </w:rPr>
              <w:t>]</w:t>
            </w:r>
            <w:r w:rsidRPr="00AA49AA">
              <w:t xml:space="preserve"> risk profile.</w:t>
            </w:r>
          </w:p>
          <w:p w14:paraId="24818044" w14:textId="77777777" w:rsidR="00C0038E" w:rsidRPr="005F763D" w:rsidRDefault="00C0038E" w:rsidP="00C0038E">
            <w:pPr>
              <w:jc w:val="left"/>
            </w:pPr>
          </w:p>
          <w:p w14:paraId="573046D1" w14:textId="77777777" w:rsidR="00C0038E" w:rsidRPr="005F763D" w:rsidRDefault="00C0038E" w:rsidP="00C0038E">
            <w:pPr>
              <w:jc w:val="left"/>
            </w:pPr>
            <w:r w:rsidRPr="005F763D">
              <w:t>Upon switching from your current investment options within your superannuation fund a switching fee of $</w:t>
            </w:r>
            <w:r w:rsidRPr="005F763D">
              <w:rPr>
                <w:color w:val="FF0000"/>
              </w:rPr>
              <w:t>[__</w:t>
            </w:r>
            <w:proofErr w:type="gramStart"/>
            <w:r w:rsidRPr="005F763D">
              <w:rPr>
                <w:color w:val="FF0000"/>
              </w:rPr>
              <w:t>_,_</w:t>
            </w:r>
            <w:proofErr w:type="gramEnd"/>
            <w:r w:rsidRPr="005F763D">
              <w:rPr>
                <w:color w:val="FF0000"/>
              </w:rPr>
              <w:t>__]</w:t>
            </w:r>
            <w:r w:rsidRPr="005F763D">
              <w:t xml:space="preserve"> will be incurred.  The switching fee will be deducted from your superannuation benefits.</w:t>
            </w:r>
          </w:p>
          <w:p w14:paraId="721991E5" w14:textId="77777777" w:rsidR="00C0038E" w:rsidRPr="005F763D" w:rsidRDefault="00C0038E" w:rsidP="00C0038E">
            <w:pPr>
              <w:jc w:val="left"/>
            </w:pPr>
          </w:p>
          <w:p w14:paraId="79C20552" w14:textId="77777777" w:rsidR="00207BF8" w:rsidRPr="00E87AAA" w:rsidRDefault="00207BF8" w:rsidP="00DA4925">
            <w:pPr>
              <w:jc w:val="left"/>
              <w:rPr>
                <w:sz w:val="18"/>
                <w:szCs w:val="18"/>
                <w:highlight w:val="yellow"/>
              </w:rPr>
            </w:pPr>
          </w:p>
        </w:tc>
      </w:tr>
    </w:tbl>
    <w:p w14:paraId="147A968A" w14:textId="77777777" w:rsidR="00207BF8" w:rsidRPr="005F763D" w:rsidRDefault="00207BF8" w:rsidP="008C7CE9">
      <w:pPr>
        <w:jc w:val="left"/>
      </w:pPr>
    </w:p>
    <w:p w14:paraId="2E4174FE" w14:textId="284F718E" w:rsidR="00D06163" w:rsidRDefault="00D06163" w:rsidP="008C7CE9">
      <w:pPr>
        <w:jc w:val="left"/>
      </w:pPr>
    </w:p>
    <w:p w14:paraId="6106AE3B" w14:textId="77777777" w:rsidR="004C1CC1" w:rsidRDefault="004C1CC1" w:rsidP="008C7CE9">
      <w:pPr>
        <w:jc w:val="left"/>
        <w:rPr>
          <w:color w:val="002060"/>
          <w:sz w:val="24"/>
        </w:rPr>
      </w:pPr>
    </w:p>
    <w:p w14:paraId="6C055CDE" w14:textId="77777777" w:rsidR="004C1CC1" w:rsidRDefault="004C1CC1" w:rsidP="008C7CE9">
      <w:pPr>
        <w:jc w:val="left"/>
        <w:rPr>
          <w:color w:val="002060"/>
          <w:sz w:val="24"/>
        </w:rPr>
      </w:pPr>
    </w:p>
    <w:p w14:paraId="284A9485" w14:textId="77777777" w:rsidR="004C1CC1" w:rsidRDefault="004C1CC1" w:rsidP="008C7CE9">
      <w:pPr>
        <w:jc w:val="left"/>
        <w:rPr>
          <w:color w:val="002060"/>
          <w:sz w:val="24"/>
        </w:rPr>
      </w:pPr>
    </w:p>
    <w:p w14:paraId="7B1D3BD8" w14:textId="77777777" w:rsidR="004C1CC1" w:rsidRDefault="004C1CC1" w:rsidP="008C7CE9">
      <w:pPr>
        <w:jc w:val="left"/>
        <w:rPr>
          <w:color w:val="002060"/>
          <w:sz w:val="24"/>
        </w:rPr>
      </w:pPr>
    </w:p>
    <w:p w14:paraId="40969876" w14:textId="77777777" w:rsidR="004C1CC1" w:rsidRDefault="004C1CC1" w:rsidP="008C7CE9">
      <w:pPr>
        <w:jc w:val="left"/>
        <w:rPr>
          <w:color w:val="002060"/>
          <w:sz w:val="24"/>
        </w:rPr>
      </w:pPr>
    </w:p>
    <w:p w14:paraId="089E7979" w14:textId="77777777" w:rsidR="004C1CC1" w:rsidRDefault="004C1CC1" w:rsidP="008C7CE9">
      <w:pPr>
        <w:jc w:val="left"/>
        <w:rPr>
          <w:color w:val="002060"/>
          <w:sz w:val="24"/>
        </w:rPr>
      </w:pPr>
    </w:p>
    <w:p w14:paraId="58C5071A" w14:textId="77777777" w:rsidR="004C1CC1" w:rsidRDefault="004C1CC1" w:rsidP="008C7CE9">
      <w:pPr>
        <w:jc w:val="left"/>
        <w:rPr>
          <w:color w:val="002060"/>
          <w:sz w:val="24"/>
        </w:rPr>
      </w:pPr>
    </w:p>
    <w:p w14:paraId="09ED2795" w14:textId="77777777" w:rsidR="004C1CC1" w:rsidRDefault="004C1CC1" w:rsidP="008C7CE9">
      <w:pPr>
        <w:jc w:val="left"/>
        <w:rPr>
          <w:color w:val="002060"/>
          <w:sz w:val="24"/>
        </w:rPr>
      </w:pPr>
    </w:p>
    <w:p w14:paraId="6D25B2C4" w14:textId="77777777" w:rsidR="004C1CC1" w:rsidRDefault="004C1CC1" w:rsidP="008C7CE9">
      <w:pPr>
        <w:jc w:val="left"/>
        <w:rPr>
          <w:color w:val="002060"/>
          <w:sz w:val="24"/>
        </w:rPr>
      </w:pPr>
    </w:p>
    <w:p w14:paraId="6E58ABCD" w14:textId="77777777" w:rsidR="004C1CC1" w:rsidRDefault="004C1CC1" w:rsidP="008C7CE9">
      <w:pPr>
        <w:jc w:val="left"/>
        <w:rPr>
          <w:color w:val="002060"/>
          <w:sz w:val="24"/>
        </w:rPr>
      </w:pPr>
    </w:p>
    <w:p w14:paraId="623C12F4" w14:textId="204EF218" w:rsidR="004C1CC1" w:rsidRPr="005F763D" w:rsidRDefault="004C1CC1" w:rsidP="004C1CC1">
      <w:pPr>
        <w:jc w:val="left"/>
        <w:rPr>
          <w:color w:val="002060"/>
          <w:sz w:val="24"/>
        </w:rPr>
      </w:pPr>
      <w:r w:rsidRPr="00AA49AA">
        <w:rPr>
          <w:color w:val="002060"/>
          <w:sz w:val="24"/>
        </w:rPr>
        <w:t xml:space="preserve">Underlying Investment Switch within Your Existing Superannuation </w:t>
      </w:r>
      <w:r w:rsidR="000955D3" w:rsidRPr="00AA49AA">
        <w:rPr>
          <w:color w:val="002060"/>
          <w:sz w:val="24"/>
        </w:rPr>
        <w:t xml:space="preserve">Pension </w:t>
      </w:r>
      <w:r w:rsidRPr="00AA49AA">
        <w:rPr>
          <w:color w:val="002060"/>
          <w:sz w:val="24"/>
        </w:rPr>
        <w:t>Fund</w:t>
      </w:r>
    </w:p>
    <w:p w14:paraId="35B00471" w14:textId="77777777" w:rsidR="004C1CC1" w:rsidRDefault="004C1CC1" w:rsidP="004C1CC1">
      <w:pPr>
        <w:jc w:val="left"/>
      </w:pPr>
    </w:p>
    <w:tbl>
      <w:tblPr>
        <w:tblW w:w="0" w:type="auto"/>
        <w:tblInd w:w="76" w:type="dxa"/>
        <w:tblLook w:val="04A0" w:firstRow="1" w:lastRow="0" w:firstColumn="1" w:lastColumn="0" w:noHBand="0" w:noVBand="1"/>
      </w:tblPr>
      <w:tblGrid>
        <w:gridCol w:w="2754"/>
        <w:gridCol w:w="6798"/>
      </w:tblGrid>
      <w:tr w:rsidR="004C1CC1" w:rsidRPr="00E51BEA" w14:paraId="5D7CD531" w14:textId="77777777" w:rsidTr="0058338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CA728CF" w14:textId="77777777" w:rsidR="004C1CC1" w:rsidRPr="00AA2CC6" w:rsidRDefault="004C1CC1" w:rsidP="00583384">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3D56B28" w14:textId="77777777" w:rsidR="004C1CC1" w:rsidRPr="00E51BEA" w:rsidRDefault="004C1CC1" w:rsidP="00583384">
            <w:pPr>
              <w:pStyle w:val="TableHeader2"/>
              <w:rPr>
                <w:rFonts w:ascii="Calibri Light" w:hAnsi="Calibri Light"/>
              </w:rPr>
            </w:pPr>
          </w:p>
        </w:tc>
      </w:tr>
      <w:tr w:rsidR="004C1CC1" w:rsidRPr="0088114A" w14:paraId="3F17230C"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90B95CA" w14:textId="77777777" w:rsidR="004C1CC1" w:rsidRPr="00E87AAA" w:rsidRDefault="004C1CC1" w:rsidP="00E164DA">
            <w:pPr>
              <w:pStyle w:val="Instructions"/>
            </w:pPr>
            <w:r w:rsidRPr="00E87AAA">
              <w:t>Title</w:t>
            </w:r>
          </w:p>
        </w:tc>
        <w:tc>
          <w:tcPr>
            <w:tcW w:w="6798" w:type="dxa"/>
            <w:shd w:val="clear" w:color="auto" w:fill="auto"/>
          </w:tcPr>
          <w:p w14:paraId="6C7E29D1" w14:textId="5D3A51A5" w:rsidR="004C1CC1" w:rsidRPr="0088114A" w:rsidRDefault="004C1CC1" w:rsidP="00583384">
            <w:pPr>
              <w:spacing w:before="120"/>
            </w:pPr>
            <w:r>
              <w:t>Existing Pension Fund _ Investment Switch</w:t>
            </w:r>
          </w:p>
        </w:tc>
      </w:tr>
      <w:tr w:rsidR="004C1CC1" w:rsidRPr="0088114A" w14:paraId="5EC417C8"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5A86164" w14:textId="77777777" w:rsidR="004C1CC1" w:rsidRPr="00E87AAA" w:rsidRDefault="004C1CC1" w:rsidP="00E164DA">
            <w:pPr>
              <w:pStyle w:val="Instructions"/>
            </w:pPr>
            <w:r w:rsidRPr="00E87AAA">
              <w:t>Explanation</w:t>
            </w:r>
          </w:p>
        </w:tc>
        <w:tc>
          <w:tcPr>
            <w:tcW w:w="6798" w:type="dxa"/>
            <w:shd w:val="clear" w:color="auto" w:fill="auto"/>
          </w:tcPr>
          <w:p w14:paraId="57AD37F5" w14:textId="1F5B5278" w:rsidR="004C1CC1" w:rsidRDefault="004C1CC1" w:rsidP="00583384">
            <w:pPr>
              <w:pStyle w:val="Normal5ptAfter"/>
            </w:pPr>
            <w:r w:rsidRPr="005F763D">
              <w:t xml:space="preserve">We recommend you switch your superannuation benefits to the following investment options within your </w:t>
            </w:r>
            <w:r w:rsidRPr="005F763D">
              <w:rPr>
                <w:color w:val="FF0000"/>
              </w:rPr>
              <w:t>[product]</w:t>
            </w:r>
            <w:r w:rsidRPr="005F763D">
              <w:t xml:space="preserve"> superannuation</w:t>
            </w:r>
            <w:r>
              <w:t xml:space="preserve"> Pension</w:t>
            </w:r>
            <w:r w:rsidRPr="005F763D">
              <w:t xml:space="preserve"> fund:</w:t>
            </w:r>
          </w:p>
          <w:p w14:paraId="2B488AF2" w14:textId="77777777" w:rsidR="004C1CC1" w:rsidRPr="005F763D" w:rsidRDefault="004C1CC1" w:rsidP="00583384">
            <w:pPr>
              <w:pStyle w:val="Normal5ptAfter"/>
            </w:pPr>
          </w:p>
          <w:tbl>
            <w:tblPr>
              <w:tblW w:w="5000" w:type="pct"/>
              <w:tblBorders>
                <w:insideV w:val="single" w:sz="4" w:space="0" w:color="808080"/>
              </w:tblBorders>
              <w:tblLook w:val="04A0" w:firstRow="1" w:lastRow="0" w:firstColumn="1" w:lastColumn="0" w:noHBand="0" w:noVBand="1"/>
            </w:tblPr>
            <w:tblGrid>
              <w:gridCol w:w="2304"/>
              <w:gridCol w:w="987"/>
              <w:gridCol w:w="2304"/>
              <w:gridCol w:w="987"/>
            </w:tblGrid>
            <w:tr w:rsidR="004C1CC1" w:rsidRPr="005F763D" w14:paraId="363CE919" w14:textId="77777777" w:rsidTr="00583384">
              <w:tc>
                <w:tcPr>
                  <w:tcW w:w="1750" w:type="pct"/>
                  <w:tcBorders>
                    <w:top w:val="single" w:sz="4" w:space="0" w:color="808080"/>
                    <w:bottom w:val="single" w:sz="4" w:space="0" w:color="808080"/>
                    <w:right w:val="single" w:sz="24" w:space="0" w:color="FFFFFF"/>
                  </w:tcBorders>
                  <w:shd w:val="clear" w:color="auto" w:fill="BFBFBF"/>
                </w:tcPr>
                <w:p w14:paraId="190730B2" w14:textId="77777777" w:rsidR="004C1CC1" w:rsidRPr="005F763D" w:rsidRDefault="004C1CC1" w:rsidP="00583384">
                  <w:pPr>
                    <w:pStyle w:val="TableHeader2"/>
                    <w:rPr>
                      <w:rFonts w:ascii="Calibri" w:hAnsi="Calibri"/>
                    </w:rPr>
                  </w:pPr>
                  <w:r w:rsidRPr="005F763D">
                    <w:rPr>
                      <w:rFonts w:ascii="Calibri" w:hAnsi="Calibri"/>
                    </w:rPr>
                    <w:t>Redeemed Fund</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43E3DAC8" w14:textId="77777777" w:rsidR="004C1CC1" w:rsidRPr="005F763D" w:rsidRDefault="004C1CC1" w:rsidP="00583384">
                  <w:pPr>
                    <w:pStyle w:val="TableHeader2-Centre"/>
                    <w:rPr>
                      <w:rFonts w:ascii="Calibri" w:hAnsi="Calibri"/>
                    </w:rPr>
                  </w:pPr>
                  <w:r w:rsidRPr="005F763D">
                    <w:rPr>
                      <w:rFonts w:ascii="Calibri" w:hAnsi="Calibri"/>
                    </w:rPr>
                    <w:t>Value</w:t>
                  </w:r>
                </w:p>
              </w:tc>
              <w:tc>
                <w:tcPr>
                  <w:tcW w:w="1750" w:type="pct"/>
                  <w:tcBorders>
                    <w:top w:val="single" w:sz="4" w:space="0" w:color="808080"/>
                    <w:left w:val="single" w:sz="24" w:space="0" w:color="FFFFFF"/>
                    <w:bottom w:val="single" w:sz="4" w:space="0" w:color="808080"/>
                    <w:right w:val="single" w:sz="24" w:space="0" w:color="FFFFFF"/>
                  </w:tcBorders>
                  <w:shd w:val="clear" w:color="auto" w:fill="BFBFBF"/>
                </w:tcPr>
                <w:p w14:paraId="174CF463" w14:textId="77777777" w:rsidR="004C1CC1" w:rsidRPr="005F763D" w:rsidRDefault="004C1CC1" w:rsidP="00583384">
                  <w:pPr>
                    <w:pStyle w:val="TableHeader2"/>
                    <w:rPr>
                      <w:rFonts w:ascii="Calibri" w:hAnsi="Calibri"/>
                    </w:rPr>
                  </w:pPr>
                  <w:r w:rsidRPr="005F763D">
                    <w:rPr>
                      <w:rFonts w:ascii="Calibri" w:hAnsi="Calibri"/>
                    </w:rPr>
                    <w:t>Recommended Fund</w:t>
                  </w:r>
                </w:p>
              </w:tc>
              <w:tc>
                <w:tcPr>
                  <w:tcW w:w="750" w:type="pct"/>
                  <w:tcBorders>
                    <w:top w:val="single" w:sz="4" w:space="0" w:color="808080"/>
                    <w:left w:val="single" w:sz="24" w:space="0" w:color="FFFFFF"/>
                    <w:bottom w:val="single" w:sz="4" w:space="0" w:color="808080"/>
                  </w:tcBorders>
                  <w:shd w:val="clear" w:color="auto" w:fill="BFBFBF"/>
                </w:tcPr>
                <w:p w14:paraId="7E48499C" w14:textId="77777777" w:rsidR="004C1CC1" w:rsidRPr="005F763D" w:rsidRDefault="004C1CC1" w:rsidP="00583384">
                  <w:pPr>
                    <w:pStyle w:val="TableHeader2-Centre"/>
                    <w:rPr>
                      <w:rFonts w:ascii="Calibri" w:hAnsi="Calibri"/>
                    </w:rPr>
                  </w:pPr>
                  <w:r w:rsidRPr="005F763D">
                    <w:rPr>
                      <w:rFonts w:ascii="Calibri" w:hAnsi="Calibri"/>
                    </w:rPr>
                    <w:t>Value</w:t>
                  </w:r>
                </w:p>
              </w:tc>
            </w:tr>
            <w:tr w:rsidR="004C1CC1" w:rsidRPr="005F763D" w14:paraId="213C3119" w14:textId="77777777" w:rsidTr="00583384">
              <w:tc>
                <w:tcPr>
                  <w:tcW w:w="1750" w:type="pct"/>
                  <w:tcBorders>
                    <w:top w:val="single" w:sz="4" w:space="0" w:color="808080"/>
                    <w:bottom w:val="single" w:sz="4" w:space="0" w:color="808080"/>
                    <w:right w:val="single" w:sz="24" w:space="0" w:color="FFFFFF"/>
                  </w:tcBorders>
                </w:tcPr>
                <w:p w14:paraId="59C72EA2" w14:textId="18B28469"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4954F2CA"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5AF30579" w14:textId="4ED450D1"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3825E7D9" w14:textId="77777777" w:rsidR="004C1CC1" w:rsidRPr="005F763D" w:rsidRDefault="004C1CC1" w:rsidP="000D6E4F">
                  <w:pPr>
                    <w:pStyle w:val="TableText-Right"/>
                    <w:rPr>
                      <w:rFonts w:ascii="Calibri" w:hAnsi="Calibri"/>
                    </w:rPr>
                  </w:pPr>
                  <w:r w:rsidRPr="005F763D">
                    <w:t>$___,___</w:t>
                  </w:r>
                </w:p>
              </w:tc>
            </w:tr>
            <w:tr w:rsidR="004C1CC1" w:rsidRPr="005F763D" w14:paraId="6428BFED" w14:textId="77777777" w:rsidTr="00583384">
              <w:tc>
                <w:tcPr>
                  <w:tcW w:w="1750" w:type="pct"/>
                  <w:tcBorders>
                    <w:top w:val="single" w:sz="4" w:space="0" w:color="808080"/>
                    <w:bottom w:val="single" w:sz="4" w:space="0" w:color="808080"/>
                    <w:right w:val="single" w:sz="24" w:space="0" w:color="FFFFFF"/>
                  </w:tcBorders>
                </w:tcPr>
                <w:p w14:paraId="1D344794" w14:textId="4B08CAD8"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79AAB4C8"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24E64974" w14:textId="36967E99"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319CB717" w14:textId="77777777" w:rsidR="004C1CC1" w:rsidRPr="005F763D" w:rsidRDefault="004C1CC1" w:rsidP="000D6E4F">
                  <w:pPr>
                    <w:pStyle w:val="TableText-Right"/>
                    <w:rPr>
                      <w:rFonts w:ascii="Calibri" w:hAnsi="Calibri"/>
                    </w:rPr>
                  </w:pPr>
                  <w:r w:rsidRPr="005F763D">
                    <w:t>$___,___</w:t>
                  </w:r>
                </w:p>
              </w:tc>
            </w:tr>
            <w:tr w:rsidR="004C1CC1" w:rsidRPr="005F763D" w14:paraId="30A1BC85" w14:textId="77777777" w:rsidTr="00583384">
              <w:tc>
                <w:tcPr>
                  <w:tcW w:w="1750" w:type="pct"/>
                  <w:tcBorders>
                    <w:top w:val="single" w:sz="4" w:space="0" w:color="808080"/>
                    <w:bottom w:val="single" w:sz="4" w:space="0" w:color="808080"/>
                    <w:right w:val="single" w:sz="24" w:space="0" w:color="FFFFFF"/>
                  </w:tcBorders>
                </w:tcPr>
                <w:p w14:paraId="0A57C762" w14:textId="162E8264"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6488BDBC"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6CE3CBE8" w14:textId="2BB43743"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7A1271B9" w14:textId="77777777" w:rsidR="004C1CC1" w:rsidRPr="005F763D" w:rsidRDefault="004C1CC1" w:rsidP="000D6E4F">
                  <w:pPr>
                    <w:pStyle w:val="TableText-Right"/>
                    <w:rPr>
                      <w:rFonts w:ascii="Calibri" w:hAnsi="Calibri"/>
                    </w:rPr>
                  </w:pPr>
                  <w:r w:rsidRPr="005F763D">
                    <w:t>$___,___</w:t>
                  </w:r>
                </w:p>
              </w:tc>
            </w:tr>
            <w:tr w:rsidR="004C1CC1" w:rsidRPr="005F763D" w14:paraId="671A17EE" w14:textId="77777777" w:rsidTr="00583384">
              <w:tc>
                <w:tcPr>
                  <w:tcW w:w="1750" w:type="pct"/>
                  <w:tcBorders>
                    <w:top w:val="single" w:sz="4" w:space="0" w:color="808080"/>
                    <w:bottom w:val="single" w:sz="4" w:space="0" w:color="808080"/>
                    <w:right w:val="single" w:sz="24" w:space="0" w:color="FFFFFF"/>
                  </w:tcBorders>
                </w:tcPr>
                <w:p w14:paraId="47CA0CF6" w14:textId="0CEE78A9"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2D60209F"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5BD032C6" w14:textId="46C4C26E"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5D38CCEA" w14:textId="77777777" w:rsidR="004C1CC1" w:rsidRPr="005F763D" w:rsidRDefault="004C1CC1" w:rsidP="000D6E4F">
                  <w:pPr>
                    <w:pStyle w:val="TableText-Right"/>
                    <w:rPr>
                      <w:rFonts w:ascii="Calibri" w:hAnsi="Calibri"/>
                    </w:rPr>
                  </w:pPr>
                  <w:r w:rsidRPr="005F763D">
                    <w:t>$___,___</w:t>
                  </w:r>
                </w:p>
              </w:tc>
            </w:tr>
            <w:tr w:rsidR="004C1CC1" w:rsidRPr="005F763D" w14:paraId="1753A876" w14:textId="77777777" w:rsidTr="00583384">
              <w:tc>
                <w:tcPr>
                  <w:tcW w:w="1750" w:type="pct"/>
                  <w:tcBorders>
                    <w:top w:val="single" w:sz="4" w:space="0" w:color="808080"/>
                    <w:right w:val="single" w:sz="24" w:space="0" w:color="FFFFFF"/>
                  </w:tcBorders>
                  <w:shd w:val="clear" w:color="auto" w:fill="auto"/>
                </w:tcPr>
                <w:p w14:paraId="6F14E704" w14:textId="77777777" w:rsidR="004C1CC1" w:rsidRPr="005F763D" w:rsidRDefault="004C1CC1"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0FEF7154" w14:textId="77777777" w:rsidR="004C1CC1" w:rsidRPr="005F763D" w:rsidRDefault="004C1CC1" w:rsidP="000D6E4F">
                  <w:pPr>
                    <w:pStyle w:val="TableText-RightBold"/>
                  </w:pPr>
                  <w:r w:rsidRPr="005F763D">
                    <w:t>$___,___</w:t>
                  </w:r>
                </w:p>
              </w:tc>
              <w:tc>
                <w:tcPr>
                  <w:tcW w:w="1750" w:type="pct"/>
                  <w:tcBorders>
                    <w:top w:val="single" w:sz="4" w:space="0" w:color="808080"/>
                    <w:left w:val="single" w:sz="24" w:space="0" w:color="FFFFFF"/>
                    <w:right w:val="single" w:sz="24" w:space="0" w:color="FFFFFF"/>
                  </w:tcBorders>
                  <w:shd w:val="clear" w:color="auto" w:fill="auto"/>
                </w:tcPr>
                <w:p w14:paraId="6FDB5424" w14:textId="77777777" w:rsidR="004C1CC1" w:rsidRPr="005F763D" w:rsidRDefault="004C1CC1" w:rsidP="000D6E4F">
                  <w:pPr>
                    <w:pStyle w:val="TableText-RightBold"/>
                  </w:pPr>
                </w:p>
              </w:tc>
              <w:tc>
                <w:tcPr>
                  <w:tcW w:w="750" w:type="pct"/>
                  <w:tcBorders>
                    <w:top w:val="single" w:sz="4" w:space="0" w:color="808080"/>
                    <w:left w:val="single" w:sz="24" w:space="0" w:color="FFFFFF"/>
                    <w:bottom w:val="single" w:sz="4" w:space="0" w:color="808080"/>
                  </w:tcBorders>
                  <w:shd w:val="clear" w:color="auto" w:fill="D9D9D9"/>
                </w:tcPr>
                <w:p w14:paraId="4C37E4DC" w14:textId="77777777" w:rsidR="004C1CC1" w:rsidRPr="005F763D" w:rsidRDefault="004C1CC1" w:rsidP="000D6E4F">
                  <w:pPr>
                    <w:pStyle w:val="TableText-RightBold"/>
                  </w:pPr>
                  <w:r w:rsidRPr="005F763D">
                    <w:t>$___,___</w:t>
                  </w:r>
                </w:p>
              </w:tc>
            </w:tr>
          </w:tbl>
          <w:p w14:paraId="7F7276DA" w14:textId="77777777" w:rsidR="004C1CC1" w:rsidRPr="005F763D" w:rsidRDefault="004C1CC1" w:rsidP="00583384"/>
          <w:p w14:paraId="65468E0B" w14:textId="77777777" w:rsidR="004C1CC1" w:rsidRPr="0088114A" w:rsidRDefault="004C1CC1" w:rsidP="00583384">
            <w:pPr>
              <w:spacing w:before="120"/>
              <w:rPr>
                <w:sz w:val="18"/>
                <w:szCs w:val="18"/>
                <w:highlight w:val="yellow"/>
              </w:rPr>
            </w:pPr>
          </w:p>
        </w:tc>
      </w:tr>
      <w:tr w:rsidR="004C1CC1" w:rsidRPr="00E87AAA" w14:paraId="45491C01"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3D1410E" w14:textId="77777777" w:rsidR="004C1CC1" w:rsidRPr="00E87AAA" w:rsidRDefault="004C1CC1" w:rsidP="00E164DA">
            <w:pPr>
              <w:pStyle w:val="Instructions"/>
            </w:pPr>
            <w:r w:rsidRPr="00E87AAA">
              <w:t>In your Best Interest</w:t>
            </w:r>
          </w:p>
        </w:tc>
        <w:tc>
          <w:tcPr>
            <w:tcW w:w="6798" w:type="dxa"/>
            <w:shd w:val="clear" w:color="auto" w:fill="auto"/>
          </w:tcPr>
          <w:p w14:paraId="3E32FE0D" w14:textId="77777777" w:rsidR="004C1CC1" w:rsidRPr="00E87AAA" w:rsidRDefault="004C1CC1" w:rsidP="00E11BDB">
            <w:pPr>
              <w:jc w:val="left"/>
              <w:rPr>
                <w:sz w:val="18"/>
                <w:szCs w:val="18"/>
                <w:highlight w:val="yellow"/>
              </w:rPr>
            </w:pPr>
          </w:p>
        </w:tc>
      </w:tr>
      <w:tr w:rsidR="004C1CC1" w:rsidRPr="00E87AAA" w14:paraId="4C641A5A"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C41FB1" w14:textId="77777777" w:rsidR="004C1CC1" w:rsidRPr="00E87AAA" w:rsidRDefault="004C1CC1" w:rsidP="00E164DA">
            <w:pPr>
              <w:pStyle w:val="Instructions"/>
            </w:pPr>
            <w:r>
              <w:t>Further Detail</w:t>
            </w:r>
          </w:p>
        </w:tc>
        <w:tc>
          <w:tcPr>
            <w:tcW w:w="6798" w:type="dxa"/>
            <w:shd w:val="clear" w:color="auto" w:fill="auto"/>
          </w:tcPr>
          <w:p w14:paraId="1F008E2A" w14:textId="77777777" w:rsidR="004C1CC1" w:rsidRPr="005F763D" w:rsidRDefault="004C1CC1" w:rsidP="00583384">
            <w:pPr>
              <w:jc w:val="left"/>
            </w:pPr>
            <w:r w:rsidRPr="005F763D">
              <w:t>Your current asset allocation is not in line with your personal investment risk profile.</w:t>
            </w:r>
          </w:p>
          <w:p w14:paraId="735A91F5" w14:textId="77777777" w:rsidR="004C1CC1" w:rsidRPr="005F763D" w:rsidRDefault="004C1CC1" w:rsidP="00583384">
            <w:pPr>
              <w:jc w:val="left"/>
            </w:pPr>
          </w:p>
          <w:p w14:paraId="749E66C0" w14:textId="77777777" w:rsidR="004C1CC1" w:rsidRDefault="004C1CC1" w:rsidP="00583384">
            <w:pPr>
              <w:jc w:val="left"/>
            </w:pPr>
            <w:r w:rsidRPr="000955D3">
              <w:t xml:space="preserve">We have determined that your entire investment portfolio, including your current and future superannuation benefits should be in line with your </w:t>
            </w:r>
            <w:r w:rsidRPr="000955D3">
              <w:rPr>
                <w:color w:val="7030A0"/>
                <w:highlight w:val="yellow"/>
              </w:rPr>
              <w:t>[assessed risk profile]</w:t>
            </w:r>
            <w:r w:rsidRPr="000955D3">
              <w:t xml:space="preserve"> risk profile.</w:t>
            </w:r>
          </w:p>
          <w:p w14:paraId="7BD8D29A" w14:textId="77777777" w:rsidR="004C1CC1" w:rsidRPr="005F763D" w:rsidRDefault="004C1CC1" w:rsidP="00583384">
            <w:pPr>
              <w:jc w:val="left"/>
            </w:pPr>
          </w:p>
          <w:p w14:paraId="48144BB7" w14:textId="77777777" w:rsidR="004C1CC1" w:rsidRPr="005F763D" w:rsidRDefault="004C1CC1" w:rsidP="00583384">
            <w:pPr>
              <w:jc w:val="left"/>
            </w:pPr>
            <w:r w:rsidRPr="005F763D">
              <w:lastRenderedPageBreak/>
              <w:t>Upon switching from your current investment options within your superannuation fund a switching fee of $</w:t>
            </w:r>
            <w:r w:rsidRPr="005F763D">
              <w:rPr>
                <w:color w:val="FF0000"/>
              </w:rPr>
              <w:t>[__</w:t>
            </w:r>
            <w:proofErr w:type="gramStart"/>
            <w:r w:rsidRPr="005F763D">
              <w:rPr>
                <w:color w:val="FF0000"/>
              </w:rPr>
              <w:t>_,_</w:t>
            </w:r>
            <w:proofErr w:type="gramEnd"/>
            <w:r w:rsidRPr="005F763D">
              <w:rPr>
                <w:color w:val="FF0000"/>
              </w:rPr>
              <w:t>__]</w:t>
            </w:r>
            <w:r w:rsidRPr="005F763D">
              <w:t xml:space="preserve"> will be incurred.  The switching fee will be deducted from your superannuation benefits.</w:t>
            </w:r>
          </w:p>
          <w:p w14:paraId="4DA9895D" w14:textId="77777777" w:rsidR="004C1CC1" w:rsidRPr="005F763D" w:rsidRDefault="004C1CC1" w:rsidP="00583384">
            <w:pPr>
              <w:jc w:val="left"/>
            </w:pPr>
          </w:p>
          <w:p w14:paraId="7C07A579" w14:textId="77777777" w:rsidR="004C1CC1" w:rsidRPr="00E87AAA" w:rsidRDefault="004C1CC1" w:rsidP="00583384">
            <w:pPr>
              <w:jc w:val="left"/>
              <w:rPr>
                <w:sz w:val="18"/>
                <w:szCs w:val="18"/>
                <w:highlight w:val="yellow"/>
              </w:rPr>
            </w:pPr>
          </w:p>
        </w:tc>
      </w:tr>
    </w:tbl>
    <w:p w14:paraId="62BCBBDE" w14:textId="77777777" w:rsidR="004C1CC1" w:rsidRDefault="004C1CC1" w:rsidP="008C7CE9">
      <w:pPr>
        <w:jc w:val="left"/>
        <w:rPr>
          <w:color w:val="002060"/>
          <w:sz w:val="24"/>
        </w:rPr>
      </w:pPr>
    </w:p>
    <w:p w14:paraId="598C9FDC" w14:textId="77777777" w:rsidR="004C1CC1" w:rsidRDefault="004C1CC1" w:rsidP="008C7CE9">
      <w:pPr>
        <w:jc w:val="left"/>
        <w:rPr>
          <w:color w:val="002060"/>
          <w:sz w:val="24"/>
        </w:rPr>
      </w:pPr>
    </w:p>
    <w:p w14:paraId="0AC41687" w14:textId="123053A6" w:rsidR="00E56EC2" w:rsidRPr="00E56EC2" w:rsidRDefault="00E56EC2" w:rsidP="008C7CE9">
      <w:pPr>
        <w:jc w:val="left"/>
        <w:rPr>
          <w:color w:val="002060"/>
          <w:sz w:val="24"/>
        </w:rPr>
      </w:pPr>
      <w:r w:rsidRPr="00AA49AA">
        <w:rPr>
          <w:color w:val="002060"/>
          <w:sz w:val="24"/>
        </w:rPr>
        <w:t>Consolidate Existing Superannuation Accounts</w:t>
      </w:r>
      <w:r w:rsidR="00725290" w:rsidRPr="00AA49AA">
        <w:rPr>
          <w:color w:val="002060"/>
          <w:sz w:val="24"/>
        </w:rPr>
        <w:t xml:space="preserve"> into Accumulation</w:t>
      </w:r>
    </w:p>
    <w:p w14:paraId="6871A650" w14:textId="1A51FB74" w:rsidR="00E56EC2" w:rsidRDefault="00E56EC2" w:rsidP="008C7CE9">
      <w:pPr>
        <w:jc w:val="left"/>
      </w:pPr>
    </w:p>
    <w:tbl>
      <w:tblPr>
        <w:tblW w:w="0" w:type="auto"/>
        <w:tblInd w:w="76" w:type="dxa"/>
        <w:tblLook w:val="04A0" w:firstRow="1" w:lastRow="0" w:firstColumn="1" w:lastColumn="0" w:noHBand="0" w:noVBand="1"/>
      </w:tblPr>
      <w:tblGrid>
        <w:gridCol w:w="2754"/>
        <w:gridCol w:w="6798"/>
      </w:tblGrid>
      <w:tr w:rsidR="00235ECF" w:rsidRPr="00E51BEA" w14:paraId="13B652D0" w14:textId="77777777" w:rsidTr="004D1683">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873C28C" w14:textId="77777777" w:rsidR="00235ECF" w:rsidRPr="00AA2CC6" w:rsidRDefault="00235ECF" w:rsidP="004D1683">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BFB5346" w14:textId="77777777" w:rsidR="00235ECF" w:rsidRPr="00E51BEA" w:rsidRDefault="00235ECF" w:rsidP="004D1683">
            <w:pPr>
              <w:pStyle w:val="TableHeader2"/>
              <w:rPr>
                <w:rFonts w:ascii="Calibri Light" w:hAnsi="Calibri Light"/>
              </w:rPr>
            </w:pPr>
          </w:p>
        </w:tc>
      </w:tr>
      <w:tr w:rsidR="00235ECF" w:rsidRPr="0088114A" w14:paraId="215CE558"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493B9BF" w14:textId="77777777" w:rsidR="00235ECF" w:rsidRPr="00E87AAA" w:rsidRDefault="00235ECF" w:rsidP="00E164DA">
            <w:pPr>
              <w:pStyle w:val="Instructions"/>
            </w:pPr>
            <w:r w:rsidRPr="00E87AAA">
              <w:t>Title</w:t>
            </w:r>
          </w:p>
        </w:tc>
        <w:tc>
          <w:tcPr>
            <w:tcW w:w="6798" w:type="dxa"/>
            <w:shd w:val="clear" w:color="auto" w:fill="auto"/>
          </w:tcPr>
          <w:p w14:paraId="4249B977" w14:textId="42489AC6" w:rsidR="00235ECF" w:rsidRPr="0088114A" w:rsidRDefault="007159A1" w:rsidP="004D1683">
            <w:pPr>
              <w:spacing w:before="120"/>
            </w:pPr>
            <w:r>
              <w:t xml:space="preserve">Consolidate your existing </w:t>
            </w:r>
            <w:r w:rsidR="00BB3CB4">
              <w:t xml:space="preserve">Superannuation </w:t>
            </w:r>
          </w:p>
        </w:tc>
      </w:tr>
      <w:tr w:rsidR="00235ECF" w:rsidRPr="0088114A" w14:paraId="1A131367"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3D73604" w14:textId="77777777" w:rsidR="00235ECF" w:rsidRPr="00E87AAA" w:rsidRDefault="00235ECF" w:rsidP="00E164DA">
            <w:pPr>
              <w:pStyle w:val="Instructions"/>
            </w:pPr>
            <w:r w:rsidRPr="00E87AAA">
              <w:t>Explanation</w:t>
            </w:r>
          </w:p>
        </w:tc>
        <w:tc>
          <w:tcPr>
            <w:tcW w:w="6798" w:type="dxa"/>
            <w:shd w:val="clear" w:color="auto" w:fill="auto"/>
          </w:tcPr>
          <w:p w14:paraId="3411F22F" w14:textId="4A75A10B" w:rsidR="00235ECF" w:rsidRDefault="004C1CC1" w:rsidP="004D1683">
            <w:pPr>
              <w:spacing w:before="120"/>
              <w:rPr>
                <w:color w:val="7030A0"/>
                <w:highlight w:val="yellow"/>
              </w:rPr>
            </w:pPr>
            <w:r>
              <w:t>We recommend you transfer</w:t>
            </w:r>
            <w:r w:rsidR="00BB3CB4" w:rsidRPr="00BB3CB4">
              <w:t xml:space="preserve"> </w:t>
            </w:r>
            <w:r>
              <w:t xml:space="preserve">these superannuation accounts into the </w:t>
            </w:r>
            <w:r w:rsidRPr="004C1CC1">
              <w:rPr>
                <w:color w:val="7030A0"/>
                <w:highlight w:val="yellow"/>
              </w:rPr>
              <w:t xml:space="preserve">[Super </w:t>
            </w:r>
            <w:r w:rsidR="00612ECD">
              <w:rPr>
                <w:color w:val="7030A0"/>
                <w:highlight w:val="yellow"/>
              </w:rPr>
              <w:t>A</w:t>
            </w:r>
            <w:r w:rsidR="00612ECD" w:rsidRPr="004C1CC1">
              <w:rPr>
                <w:color w:val="7030A0"/>
                <w:highlight w:val="yellow"/>
              </w:rPr>
              <w:t>ccumulation Account</w:t>
            </w:r>
            <w:r w:rsidRPr="004C1CC1">
              <w:rPr>
                <w:color w:val="7030A0"/>
                <w:highlight w:val="yellow"/>
              </w:rPr>
              <w:t>]</w:t>
            </w:r>
            <w:r>
              <w:rPr>
                <w:color w:val="7030A0"/>
                <w:highlight w:val="yellow"/>
              </w:rPr>
              <w:t>:</w:t>
            </w:r>
          </w:p>
          <w:p w14:paraId="1369DEBB" w14:textId="77777777" w:rsidR="004C1CC1" w:rsidRPr="005F763D" w:rsidRDefault="004C1CC1" w:rsidP="004C1CC1">
            <w:pPr>
              <w:pStyle w:val="Normal5ptAfter"/>
            </w:pPr>
          </w:p>
          <w:tbl>
            <w:tblPr>
              <w:tblW w:w="4353" w:type="pct"/>
              <w:tblBorders>
                <w:insideV w:val="single" w:sz="4" w:space="0" w:color="808080"/>
              </w:tblBorders>
              <w:tblLook w:val="04A0" w:firstRow="1" w:lastRow="0" w:firstColumn="1" w:lastColumn="0" w:noHBand="0" w:noVBand="1"/>
            </w:tblPr>
            <w:tblGrid>
              <w:gridCol w:w="4287"/>
              <w:gridCol w:w="1417"/>
            </w:tblGrid>
            <w:tr w:rsidR="004C1CC1" w:rsidRPr="005F763D" w14:paraId="6C880DF3" w14:textId="77777777" w:rsidTr="00472399">
              <w:tc>
                <w:tcPr>
                  <w:tcW w:w="3758" w:type="pct"/>
                  <w:tcBorders>
                    <w:top w:val="single" w:sz="4" w:space="0" w:color="808080"/>
                    <w:bottom w:val="single" w:sz="4" w:space="0" w:color="808080"/>
                    <w:right w:val="single" w:sz="24" w:space="0" w:color="FFFFFF"/>
                  </w:tcBorders>
                  <w:shd w:val="clear" w:color="auto" w:fill="BFBFBF"/>
                </w:tcPr>
                <w:p w14:paraId="5F9274D6" w14:textId="77777777" w:rsidR="004C1CC1" w:rsidRPr="005F763D" w:rsidRDefault="004C1CC1" w:rsidP="004C1CC1">
                  <w:pPr>
                    <w:pStyle w:val="TableHeader2"/>
                    <w:rPr>
                      <w:rFonts w:ascii="Calibri" w:hAnsi="Calibri"/>
                    </w:rPr>
                  </w:pPr>
                  <w:r w:rsidRPr="005F763D">
                    <w:rPr>
                      <w:rFonts w:ascii="Calibri" w:hAnsi="Calibri"/>
                    </w:rPr>
                    <w:t>Redeemed Fund</w:t>
                  </w:r>
                </w:p>
              </w:tc>
              <w:tc>
                <w:tcPr>
                  <w:tcW w:w="1242" w:type="pct"/>
                  <w:tcBorders>
                    <w:top w:val="single" w:sz="4" w:space="0" w:color="808080"/>
                    <w:left w:val="single" w:sz="24" w:space="0" w:color="FFFFFF"/>
                    <w:bottom w:val="single" w:sz="4" w:space="0" w:color="808080"/>
                    <w:right w:val="single" w:sz="24" w:space="0" w:color="FFFFFF"/>
                  </w:tcBorders>
                  <w:shd w:val="clear" w:color="auto" w:fill="BFBFBF"/>
                </w:tcPr>
                <w:p w14:paraId="10992BD5" w14:textId="77777777" w:rsidR="004C1CC1" w:rsidRPr="005F763D" w:rsidRDefault="004C1CC1" w:rsidP="004C1CC1">
                  <w:pPr>
                    <w:pStyle w:val="TableHeader2-Centre"/>
                    <w:rPr>
                      <w:rFonts w:ascii="Calibri" w:hAnsi="Calibri"/>
                    </w:rPr>
                  </w:pPr>
                  <w:r w:rsidRPr="005F763D">
                    <w:rPr>
                      <w:rFonts w:ascii="Calibri" w:hAnsi="Calibri"/>
                    </w:rPr>
                    <w:t>Value</w:t>
                  </w:r>
                </w:p>
              </w:tc>
            </w:tr>
            <w:tr w:rsidR="004C1CC1" w:rsidRPr="005F763D" w14:paraId="5A0EB2E9" w14:textId="77777777" w:rsidTr="00472399">
              <w:tc>
                <w:tcPr>
                  <w:tcW w:w="3758" w:type="pct"/>
                  <w:tcBorders>
                    <w:top w:val="single" w:sz="4" w:space="0" w:color="808080"/>
                    <w:bottom w:val="single" w:sz="4" w:space="0" w:color="808080"/>
                    <w:right w:val="single" w:sz="24" w:space="0" w:color="FFFFFF"/>
                  </w:tcBorders>
                </w:tcPr>
                <w:p w14:paraId="3A8C2474"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2D5F55AD" w14:textId="77777777" w:rsidR="004C1CC1" w:rsidRPr="005F763D" w:rsidRDefault="004C1CC1" w:rsidP="000D6E4F">
                  <w:pPr>
                    <w:pStyle w:val="TableText-Right"/>
                    <w:rPr>
                      <w:rFonts w:ascii="Calibri" w:hAnsi="Calibri"/>
                    </w:rPr>
                  </w:pPr>
                  <w:r w:rsidRPr="005F763D">
                    <w:t>$___,___</w:t>
                  </w:r>
                </w:p>
              </w:tc>
            </w:tr>
            <w:tr w:rsidR="004C1CC1" w:rsidRPr="005F763D" w14:paraId="530C9DDE" w14:textId="77777777" w:rsidTr="00472399">
              <w:tc>
                <w:tcPr>
                  <w:tcW w:w="3758" w:type="pct"/>
                  <w:tcBorders>
                    <w:top w:val="single" w:sz="4" w:space="0" w:color="808080"/>
                    <w:bottom w:val="single" w:sz="4" w:space="0" w:color="808080"/>
                    <w:right w:val="single" w:sz="24" w:space="0" w:color="FFFFFF"/>
                  </w:tcBorders>
                </w:tcPr>
                <w:p w14:paraId="00F287AA"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734B3143" w14:textId="77777777" w:rsidR="004C1CC1" w:rsidRPr="005F763D" w:rsidRDefault="004C1CC1" w:rsidP="000D6E4F">
                  <w:pPr>
                    <w:pStyle w:val="TableText-Right"/>
                    <w:rPr>
                      <w:rFonts w:ascii="Calibri" w:hAnsi="Calibri"/>
                    </w:rPr>
                  </w:pPr>
                  <w:r w:rsidRPr="005F763D">
                    <w:t>$___,___</w:t>
                  </w:r>
                </w:p>
              </w:tc>
            </w:tr>
            <w:tr w:rsidR="004C1CC1" w:rsidRPr="005F763D" w14:paraId="71BD2D82" w14:textId="77777777" w:rsidTr="00472399">
              <w:tc>
                <w:tcPr>
                  <w:tcW w:w="3758" w:type="pct"/>
                  <w:tcBorders>
                    <w:top w:val="single" w:sz="4" w:space="0" w:color="808080"/>
                    <w:bottom w:val="single" w:sz="4" w:space="0" w:color="808080"/>
                    <w:right w:val="single" w:sz="24" w:space="0" w:color="FFFFFF"/>
                  </w:tcBorders>
                </w:tcPr>
                <w:p w14:paraId="26113B92"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7E27156B" w14:textId="77777777" w:rsidR="004C1CC1" w:rsidRPr="005F763D" w:rsidRDefault="004C1CC1" w:rsidP="000D6E4F">
                  <w:pPr>
                    <w:pStyle w:val="TableText-Right"/>
                    <w:rPr>
                      <w:rFonts w:ascii="Calibri" w:hAnsi="Calibri"/>
                    </w:rPr>
                  </w:pPr>
                  <w:r w:rsidRPr="005F763D">
                    <w:t>$___,___</w:t>
                  </w:r>
                </w:p>
              </w:tc>
            </w:tr>
            <w:tr w:rsidR="004C1CC1" w:rsidRPr="005F763D" w14:paraId="2342C0B2" w14:textId="77777777" w:rsidTr="00472399">
              <w:tc>
                <w:tcPr>
                  <w:tcW w:w="3758" w:type="pct"/>
                  <w:tcBorders>
                    <w:top w:val="single" w:sz="4" w:space="0" w:color="808080"/>
                    <w:bottom w:val="single" w:sz="4" w:space="0" w:color="808080"/>
                    <w:right w:val="single" w:sz="24" w:space="0" w:color="FFFFFF"/>
                  </w:tcBorders>
                </w:tcPr>
                <w:p w14:paraId="0187C48C"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508BED20" w14:textId="77777777" w:rsidR="004C1CC1" w:rsidRPr="005F763D" w:rsidRDefault="004C1CC1" w:rsidP="000D6E4F">
                  <w:pPr>
                    <w:pStyle w:val="TableText-Right"/>
                    <w:rPr>
                      <w:rFonts w:ascii="Calibri" w:hAnsi="Calibri"/>
                    </w:rPr>
                  </w:pPr>
                  <w:r w:rsidRPr="005F763D">
                    <w:t>$___,___</w:t>
                  </w:r>
                </w:p>
              </w:tc>
            </w:tr>
            <w:tr w:rsidR="004C1CC1" w:rsidRPr="005F763D" w14:paraId="012B9E8D" w14:textId="77777777" w:rsidTr="00472399">
              <w:tc>
                <w:tcPr>
                  <w:tcW w:w="3758" w:type="pct"/>
                  <w:tcBorders>
                    <w:top w:val="single" w:sz="4" w:space="0" w:color="808080"/>
                    <w:right w:val="single" w:sz="24" w:space="0" w:color="FFFFFF"/>
                  </w:tcBorders>
                  <w:shd w:val="clear" w:color="auto" w:fill="auto"/>
                </w:tcPr>
                <w:p w14:paraId="52E71F64" w14:textId="77777777" w:rsidR="004C1CC1" w:rsidRPr="005F763D" w:rsidRDefault="004C1CC1" w:rsidP="000D6E4F">
                  <w:pPr>
                    <w:pStyle w:val="TableText-RightBold"/>
                  </w:pPr>
                  <w:r w:rsidRPr="005F763D">
                    <w:t>Total</w:t>
                  </w:r>
                </w:p>
              </w:tc>
              <w:tc>
                <w:tcPr>
                  <w:tcW w:w="1242" w:type="pct"/>
                  <w:tcBorders>
                    <w:top w:val="single" w:sz="4" w:space="0" w:color="808080"/>
                    <w:left w:val="single" w:sz="24" w:space="0" w:color="FFFFFF"/>
                    <w:bottom w:val="single" w:sz="4" w:space="0" w:color="808080"/>
                    <w:right w:val="single" w:sz="24" w:space="0" w:color="FFFFFF"/>
                  </w:tcBorders>
                  <w:shd w:val="clear" w:color="auto" w:fill="D9D9D9"/>
                </w:tcPr>
                <w:p w14:paraId="07AC180C" w14:textId="77777777" w:rsidR="004C1CC1" w:rsidRPr="005F763D" w:rsidRDefault="004C1CC1" w:rsidP="000D6E4F">
                  <w:pPr>
                    <w:pStyle w:val="TableText-RightBold"/>
                  </w:pPr>
                  <w:r w:rsidRPr="005F763D">
                    <w:t>$___,___</w:t>
                  </w:r>
                </w:p>
              </w:tc>
            </w:tr>
          </w:tbl>
          <w:p w14:paraId="016E4904" w14:textId="77777777" w:rsidR="004C1CC1" w:rsidRPr="005F763D" w:rsidRDefault="004C1CC1" w:rsidP="004C1CC1"/>
          <w:p w14:paraId="723FF125" w14:textId="1DE9F969" w:rsidR="004C1CC1" w:rsidRPr="00BB3CB4" w:rsidRDefault="004C1CC1" w:rsidP="004D1683">
            <w:pPr>
              <w:spacing w:before="120"/>
            </w:pPr>
          </w:p>
        </w:tc>
      </w:tr>
      <w:tr w:rsidR="00235ECF" w:rsidRPr="00E87AAA" w14:paraId="57351A85"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8DC0CBD" w14:textId="77777777" w:rsidR="00235ECF" w:rsidRPr="00E87AAA" w:rsidRDefault="00235ECF" w:rsidP="00E164DA">
            <w:pPr>
              <w:pStyle w:val="Instructions"/>
            </w:pPr>
            <w:r w:rsidRPr="00E87AAA">
              <w:t>In your Best Interest</w:t>
            </w:r>
          </w:p>
        </w:tc>
        <w:tc>
          <w:tcPr>
            <w:tcW w:w="6798" w:type="dxa"/>
            <w:shd w:val="clear" w:color="auto" w:fill="auto"/>
          </w:tcPr>
          <w:p w14:paraId="5CE1A2F3" w14:textId="77777777" w:rsidR="00235ECF" w:rsidRPr="00BB3CB4" w:rsidRDefault="00235ECF" w:rsidP="00BB3CB4">
            <w:pPr>
              <w:spacing w:before="120"/>
            </w:pPr>
          </w:p>
        </w:tc>
      </w:tr>
      <w:tr w:rsidR="00235ECF" w:rsidRPr="00E87AAA" w14:paraId="26293875"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B473CC8" w14:textId="77777777" w:rsidR="00235ECF" w:rsidRPr="00E87AAA" w:rsidRDefault="00235ECF" w:rsidP="00E164DA">
            <w:pPr>
              <w:pStyle w:val="Instructions"/>
            </w:pPr>
            <w:r>
              <w:t>Further Detail</w:t>
            </w:r>
          </w:p>
        </w:tc>
        <w:tc>
          <w:tcPr>
            <w:tcW w:w="6798" w:type="dxa"/>
            <w:shd w:val="clear" w:color="auto" w:fill="auto"/>
          </w:tcPr>
          <w:p w14:paraId="52C33B51" w14:textId="75693F13" w:rsidR="00D8052E" w:rsidRPr="005F763D" w:rsidRDefault="00D8052E" w:rsidP="00D8052E">
            <w:pPr>
              <w:jc w:val="left"/>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612ECD">
              <w:rPr>
                <w:color w:val="FF0000"/>
              </w:rPr>
              <w:t>]</w:t>
            </w:r>
            <w:r w:rsidR="00612ECD" w:rsidRPr="005F763D">
              <w:t>, consolidating</w:t>
            </w:r>
            <w:r>
              <w:t xml:space="preserve"> </w:t>
            </w:r>
            <w:r w:rsidRPr="00D8052E">
              <w:t>superannuation fund</w:t>
            </w:r>
            <w:r>
              <w:t>s</w:t>
            </w:r>
            <w:r w:rsidRPr="00D8052E">
              <w:t xml:space="preserve"> into the</w:t>
            </w:r>
            <w:r>
              <w:t xml:space="preserve"> </w:t>
            </w:r>
            <w:r w:rsidR="00612ECD">
              <w:t>one</w:t>
            </w:r>
            <w:r w:rsidR="00612ECD" w:rsidRPr="00D8052E">
              <w:t xml:space="preserve"> superannuation</w:t>
            </w:r>
            <w:r w:rsidRPr="00D8052E">
              <w:t xml:space="preserve"> fund, can typically have the following benefits:</w:t>
            </w:r>
          </w:p>
          <w:p w14:paraId="26C76C1E" w14:textId="77777777" w:rsidR="00D8052E" w:rsidRPr="005F763D" w:rsidRDefault="00D8052E">
            <w:pPr>
              <w:pStyle w:val="InterPracBullet"/>
              <w:numPr>
                <w:ilvl w:val="0"/>
                <w:numId w:val="98"/>
              </w:numPr>
            </w:pPr>
            <w:r w:rsidRPr="005F763D">
              <w:t>The recommended fund offers a much wider range of managed investment options and access to direct shares.</w:t>
            </w:r>
          </w:p>
          <w:p w14:paraId="4B8B7EA2" w14:textId="77777777" w:rsidR="00D8052E" w:rsidRPr="005F763D" w:rsidRDefault="00D8052E">
            <w:pPr>
              <w:pStyle w:val="InterPracBullet"/>
              <w:numPr>
                <w:ilvl w:val="0"/>
                <w:numId w:val="98"/>
              </w:numPr>
            </w:pPr>
            <w:r w:rsidRPr="005F763D">
              <w:t>The recommended fund offers lower ongoing fees than your existing fund.</w:t>
            </w:r>
          </w:p>
          <w:p w14:paraId="4185EE7C" w14:textId="77777777" w:rsidR="00D8052E" w:rsidRPr="005F763D" w:rsidRDefault="00D8052E">
            <w:pPr>
              <w:pStyle w:val="InterPracBullet"/>
              <w:numPr>
                <w:ilvl w:val="0"/>
                <w:numId w:val="98"/>
              </w:numPr>
            </w:pPr>
            <w:r w:rsidRPr="005F763D">
              <w:t>You consolidate your superannuation benefits to reduce the total ongoing management fees charged on your total superannuation benefits.</w:t>
            </w:r>
          </w:p>
          <w:p w14:paraId="4A1AD886" w14:textId="77777777" w:rsidR="00D8052E" w:rsidRPr="005F763D" w:rsidRDefault="00D8052E">
            <w:pPr>
              <w:pStyle w:val="InterPracBullet"/>
              <w:numPr>
                <w:ilvl w:val="0"/>
                <w:numId w:val="98"/>
              </w:numPr>
            </w:pPr>
            <w:r w:rsidRPr="005F763D">
              <w:t>You consolidate your superannuation benefits for ease of administration.</w:t>
            </w:r>
          </w:p>
          <w:p w14:paraId="02F15F7B" w14:textId="77777777" w:rsidR="00D8052E" w:rsidRPr="005F763D" w:rsidRDefault="00D8052E">
            <w:pPr>
              <w:pStyle w:val="InterPracBullet"/>
              <w:numPr>
                <w:ilvl w:val="0"/>
                <w:numId w:val="98"/>
              </w:numPr>
            </w:pPr>
            <w:r w:rsidRPr="005F763D">
              <w:t>Your superannuation benefits will be invested in accordance with your risk profile to achieve your financial goals.</w:t>
            </w:r>
          </w:p>
          <w:p w14:paraId="00E89A26" w14:textId="77777777" w:rsidR="00D8052E" w:rsidRDefault="00D8052E" w:rsidP="00D8052E">
            <w:pPr>
              <w:jc w:val="left"/>
            </w:pPr>
          </w:p>
          <w:p w14:paraId="766E5A94" w14:textId="77777777" w:rsidR="00D8052E" w:rsidRDefault="00D8052E" w:rsidP="00D8052E">
            <w:pPr>
              <w:jc w:val="left"/>
              <w:rPr>
                <w:b/>
                <w:i/>
              </w:rPr>
            </w:pPr>
            <w:r w:rsidRPr="005F763D">
              <w:t>Before proceeding you should note the following:</w:t>
            </w:r>
          </w:p>
          <w:p w14:paraId="0295C824" w14:textId="77777777" w:rsidR="00D8052E" w:rsidRPr="005F763D" w:rsidRDefault="00D8052E">
            <w:pPr>
              <w:pStyle w:val="InterPracBullet"/>
              <w:numPr>
                <w:ilvl w:val="0"/>
                <w:numId w:val="98"/>
              </w:numPr>
            </w:pPr>
            <w:commentRangeStart w:id="91"/>
            <w:r w:rsidRPr="005F763D">
              <w:t>In rolling over your existing superannuation, there are a number of considerations and implications you need to be aware of, including:</w:t>
            </w:r>
          </w:p>
          <w:p w14:paraId="472BAE6C" w14:textId="77777777" w:rsidR="00D8052E" w:rsidRPr="005F763D" w:rsidRDefault="00D8052E">
            <w:pPr>
              <w:pStyle w:val="InterPracBullet"/>
              <w:numPr>
                <w:ilvl w:val="0"/>
                <w:numId w:val="98"/>
              </w:numPr>
            </w:pPr>
            <w:r w:rsidRPr="005F763D">
              <w:t>Upfront, ongoing and exit fees;</w:t>
            </w:r>
          </w:p>
          <w:p w14:paraId="71CF388E" w14:textId="77777777" w:rsidR="00D8052E" w:rsidRPr="005F763D" w:rsidRDefault="00D8052E">
            <w:pPr>
              <w:pStyle w:val="InterPracBullet"/>
              <w:numPr>
                <w:ilvl w:val="0"/>
                <w:numId w:val="98"/>
              </w:numPr>
            </w:pPr>
            <w:r w:rsidRPr="005F763D">
              <w:t>Buy/Sell costs;</w:t>
            </w:r>
          </w:p>
          <w:p w14:paraId="35B98FD4" w14:textId="77777777" w:rsidR="00D8052E" w:rsidRPr="005F763D" w:rsidRDefault="00D8052E">
            <w:pPr>
              <w:pStyle w:val="InterPracBullet"/>
              <w:numPr>
                <w:ilvl w:val="0"/>
                <w:numId w:val="98"/>
              </w:numPr>
            </w:pPr>
            <w:r w:rsidRPr="005F763D">
              <w:t>Time out of the market; and</w:t>
            </w:r>
          </w:p>
          <w:p w14:paraId="2ACF95C1" w14:textId="77777777" w:rsidR="00D8052E" w:rsidRPr="005F763D" w:rsidRDefault="00D8052E">
            <w:pPr>
              <w:pStyle w:val="InterPracBullet"/>
              <w:numPr>
                <w:ilvl w:val="0"/>
                <w:numId w:val="98"/>
              </w:numPr>
            </w:pPr>
            <w:r w:rsidRPr="005F763D">
              <w:t>Loss of insurance, bonuses and auto acceptance.</w:t>
            </w:r>
            <w:commentRangeEnd w:id="91"/>
            <w:r w:rsidR="00FD61ED">
              <w:rPr>
                <w:rStyle w:val="CommentReference"/>
                <w:rFonts w:eastAsia="MS Mincho"/>
                <w:lang w:val="en-AU" w:eastAsia="ja-JP"/>
              </w:rPr>
              <w:commentReference w:id="91"/>
            </w:r>
          </w:p>
          <w:p w14:paraId="78B0C981" w14:textId="77777777" w:rsidR="00D8052E" w:rsidRPr="00AB20EB" w:rsidRDefault="00D8052E" w:rsidP="00D8052E">
            <w:pPr>
              <w:jc w:val="left"/>
              <w:rPr>
                <w:b/>
              </w:rPr>
            </w:pPr>
          </w:p>
          <w:p w14:paraId="312F4324" w14:textId="77777777" w:rsidR="00D8052E" w:rsidRPr="00AB20EB" w:rsidRDefault="00D8052E" w:rsidP="00D8052E">
            <w:pPr>
              <w:jc w:val="left"/>
              <w:rPr>
                <w:b/>
              </w:rPr>
            </w:pPr>
          </w:p>
          <w:p w14:paraId="7D2F777E" w14:textId="77777777" w:rsidR="00D8052E" w:rsidRPr="005F763D" w:rsidRDefault="00D8052E" w:rsidP="00D8052E">
            <w:pPr>
              <w:jc w:val="left"/>
              <w:rPr>
                <w:b/>
                <w:i/>
              </w:rPr>
            </w:pPr>
            <w:r w:rsidRPr="005F763D">
              <w:rPr>
                <w:b/>
                <w:i/>
              </w:rPr>
              <w:t>Please refer to the Replacement of Product Information section of this advice, for further information.</w:t>
            </w:r>
          </w:p>
          <w:p w14:paraId="66F37DAD" w14:textId="77777777" w:rsidR="00235ECF" w:rsidRPr="00BB3CB4" w:rsidRDefault="00235ECF" w:rsidP="00BB3CB4">
            <w:pPr>
              <w:spacing w:before="120"/>
            </w:pPr>
          </w:p>
        </w:tc>
      </w:tr>
    </w:tbl>
    <w:p w14:paraId="562853C0" w14:textId="697DABD6" w:rsidR="00E56EC2" w:rsidRDefault="00E56EC2" w:rsidP="008C7CE9">
      <w:pPr>
        <w:jc w:val="left"/>
      </w:pPr>
    </w:p>
    <w:p w14:paraId="15361141" w14:textId="77777777" w:rsidR="00235ECF" w:rsidRDefault="00235ECF" w:rsidP="008C7CE9">
      <w:pPr>
        <w:jc w:val="left"/>
      </w:pPr>
    </w:p>
    <w:p w14:paraId="0FF5CDD8" w14:textId="17C5CF15" w:rsidR="00E56EC2" w:rsidRDefault="00E56EC2" w:rsidP="008C7CE9">
      <w:pPr>
        <w:jc w:val="left"/>
      </w:pPr>
      <w:r w:rsidRPr="00AA49AA">
        <w:rPr>
          <w:color w:val="002060"/>
          <w:sz w:val="24"/>
        </w:rPr>
        <w:t xml:space="preserve">Consolidate Existing Superannuation Accounts </w:t>
      </w:r>
      <w:r w:rsidR="00725290" w:rsidRPr="00AA49AA">
        <w:rPr>
          <w:color w:val="002060"/>
          <w:sz w:val="24"/>
        </w:rPr>
        <w:t xml:space="preserve">into a new </w:t>
      </w:r>
      <w:r w:rsidRPr="00AA49AA">
        <w:rPr>
          <w:color w:val="002060"/>
          <w:sz w:val="24"/>
        </w:rPr>
        <w:t>Pension</w:t>
      </w:r>
    </w:p>
    <w:p w14:paraId="3103EE39" w14:textId="3E6A7FA2" w:rsidR="00E56EC2" w:rsidRDefault="00E56EC2" w:rsidP="008C7CE9">
      <w:pPr>
        <w:jc w:val="left"/>
      </w:pPr>
    </w:p>
    <w:tbl>
      <w:tblPr>
        <w:tblW w:w="0" w:type="auto"/>
        <w:tblInd w:w="76" w:type="dxa"/>
        <w:tblLook w:val="04A0" w:firstRow="1" w:lastRow="0" w:firstColumn="1" w:lastColumn="0" w:noHBand="0" w:noVBand="1"/>
      </w:tblPr>
      <w:tblGrid>
        <w:gridCol w:w="2754"/>
        <w:gridCol w:w="6798"/>
      </w:tblGrid>
      <w:tr w:rsidR="00F937DC" w:rsidRPr="00E51BEA" w14:paraId="7D715B40" w14:textId="77777777" w:rsidTr="0058338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538980B" w14:textId="77777777" w:rsidR="00F937DC" w:rsidRPr="00AA2CC6" w:rsidRDefault="00F937DC" w:rsidP="00583384">
            <w:pPr>
              <w:pStyle w:val="TableHeader2"/>
              <w:rPr>
                <w:szCs w:val="20"/>
              </w:rPr>
            </w:pPr>
            <w:r w:rsidRPr="00AA2CC6">
              <w:rPr>
                <w:rFonts w:ascii="Calibri Light" w:hAnsi="Calibri Light"/>
                <w:color w:val="000000" w:themeColor="text1"/>
              </w:rPr>
              <w:lastRenderedPageBreak/>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72DA721" w14:textId="77777777" w:rsidR="00F937DC" w:rsidRPr="00E51BEA" w:rsidRDefault="00F937DC" w:rsidP="00583384">
            <w:pPr>
              <w:pStyle w:val="TableHeader2"/>
              <w:rPr>
                <w:rFonts w:ascii="Calibri Light" w:hAnsi="Calibri Light"/>
              </w:rPr>
            </w:pPr>
          </w:p>
        </w:tc>
      </w:tr>
      <w:tr w:rsidR="00F937DC" w:rsidRPr="0088114A" w14:paraId="1148A2DE"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C6A449" w14:textId="77777777" w:rsidR="00F937DC" w:rsidRPr="00E87AAA" w:rsidRDefault="00F937DC" w:rsidP="00E164DA">
            <w:pPr>
              <w:pStyle w:val="Instructions"/>
            </w:pPr>
            <w:r w:rsidRPr="00E87AAA">
              <w:t>Title</w:t>
            </w:r>
          </w:p>
        </w:tc>
        <w:tc>
          <w:tcPr>
            <w:tcW w:w="6798" w:type="dxa"/>
            <w:shd w:val="clear" w:color="auto" w:fill="auto"/>
          </w:tcPr>
          <w:p w14:paraId="5F9925B6" w14:textId="77777777" w:rsidR="00F937DC" w:rsidRPr="0088114A" w:rsidRDefault="00F937DC" w:rsidP="00583384">
            <w:pPr>
              <w:spacing w:before="120"/>
            </w:pPr>
            <w:r>
              <w:t xml:space="preserve">Consolidate your existing Superannuation </w:t>
            </w:r>
          </w:p>
        </w:tc>
      </w:tr>
      <w:tr w:rsidR="00F937DC" w:rsidRPr="00BB3CB4" w14:paraId="196FBD76"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A9CE53C" w14:textId="77777777" w:rsidR="00F937DC" w:rsidRPr="00E87AAA" w:rsidRDefault="00F937DC" w:rsidP="00E164DA">
            <w:pPr>
              <w:pStyle w:val="Instructions"/>
            </w:pPr>
            <w:r w:rsidRPr="00E87AAA">
              <w:t>Explanation</w:t>
            </w:r>
          </w:p>
        </w:tc>
        <w:tc>
          <w:tcPr>
            <w:tcW w:w="6798" w:type="dxa"/>
            <w:shd w:val="clear" w:color="auto" w:fill="auto"/>
          </w:tcPr>
          <w:p w14:paraId="6012E651" w14:textId="227774B7" w:rsidR="00F937DC" w:rsidRDefault="00F937DC" w:rsidP="00583384">
            <w:pPr>
              <w:spacing w:before="120"/>
              <w:rPr>
                <w:color w:val="7030A0"/>
                <w:highlight w:val="yellow"/>
              </w:rPr>
            </w:pPr>
            <w:r>
              <w:t>We recommend you transfer</w:t>
            </w:r>
            <w:r w:rsidRPr="00BB3CB4">
              <w:t xml:space="preserve"> </w:t>
            </w:r>
            <w:r>
              <w:t xml:space="preserve">these superannuation accounts into a new </w:t>
            </w:r>
            <w:r w:rsidRPr="004C1CC1">
              <w:rPr>
                <w:color w:val="7030A0"/>
                <w:highlight w:val="yellow"/>
              </w:rPr>
              <w:t xml:space="preserve">[Super </w:t>
            </w:r>
            <w:r>
              <w:rPr>
                <w:color w:val="7030A0"/>
                <w:highlight w:val="yellow"/>
              </w:rPr>
              <w:t>Pension</w:t>
            </w:r>
            <w:r w:rsidRPr="004C1CC1">
              <w:rPr>
                <w:color w:val="7030A0"/>
                <w:highlight w:val="yellow"/>
              </w:rPr>
              <w:t xml:space="preserve"> Account]</w:t>
            </w:r>
            <w:r>
              <w:rPr>
                <w:color w:val="7030A0"/>
                <w:highlight w:val="yellow"/>
              </w:rPr>
              <w:t>:</w:t>
            </w:r>
          </w:p>
          <w:p w14:paraId="501AA21E" w14:textId="77777777" w:rsidR="00F937DC" w:rsidRPr="005F763D" w:rsidRDefault="00F937DC" w:rsidP="00583384">
            <w:pPr>
              <w:pStyle w:val="Normal5ptAfter"/>
            </w:pPr>
          </w:p>
          <w:tbl>
            <w:tblPr>
              <w:tblW w:w="4353" w:type="pct"/>
              <w:tblBorders>
                <w:insideV w:val="single" w:sz="4" w:space="0" w:color="808080"/>
              </w:tblBorders>
              <w:tblLook w:val="04A0" w:firstRow="1" w:lastRow="0" w:firstColumn="1" w:lastColumn="0" w:noHBand="0" w:noVBand="1"/>
            </w:tblPr>
            <w:tblGrid>
              <w:gridCol w:w="4287"/>
              <w:gridCol w:w="1417"/>
            </w:tblGrid>
            <w:tr w:rsidR="00F937DC" w:rsidRPr="005F763D" w14:paraId="0A76A1C7" w14:textId="77777777" w:rsidTr="00583384">
              <w:tc>
                <w:tcPr>
                  <w:tcW w:w="3758" w:type="pct"/>
                  <w:tcBorders>
                    <w:top w:val="single" w:sz="4" w:space="0" w:color="808080"/>
                    <w:bottom w:val="single" w:sz="4" w:space="0" w:color="808080"/>
                    <w:right w:val="single" w:sz="24" w:space="0" w:color="FFFFFF"/>
                  </w:tcBorders>
                  <w:shd w:val="clear" w:color="auto" w:fill="BFBFBF"/>
                </w:tcPr>
                <w:p w14:paraId="28CA39EF" w14:textId="77777777" w:rsidR="00F937DC" w:rsidRPr="005F763D" w:rsidRDefault="00F937DC" w:rsidP="00583384">
                  <w:pPr>
                    <w:pStyle w:val="TableHeader2"/>
                    <w:rPr>
                      <w:rFonts w:ascii="Calibri" w:hAnsi="Calibri"/>
                    </w:rPr>
                  </w:pPr>
                  <w:r w:rsidRPr="005F763D">
                    <w:rPr>
                      <w:rFonts w:ascii="Calibri" w:hAnsi="Calibri"/>
                    </w:rPr>
                    <w:t>Redeemed Fund</w:t>
                  </w:r>
                </w:p>
              </w:tc>
              <w:tc>
                <w:tcPr>
                  <w:tcW w:w="1242" w:type="pct"/>
                  <w:tcBorders>
                    <w:top w:val="single" w:sz="4" w:space="0" w:color="808080"/>
                    <w:left w:val="single" w:sz="24" w:space="0" w:color="FFFFFF"/>
                    <w:bottom w:val="single" w:sz="4" w:space="0" w:color="808080"/>
                    <w:right w:val="single" w:sz="24" w:space="0" w:color="FFFFFF"/>
                  </w:tcBorders>
                  <w:shd w:val="clear" w:color="auto" w:fill="BFBFBF"/>
                </w:tcPr>
                <w:p w14:paraId="711D41EA" w14:textId="77777777" w:rsidR="00F937DC" w:rsidRPr="005F763D" w:rsidRDefault="00F937DC" w:rsidP="00583384">
                  <w:pPr>
                    <w:pStyle w:val="TableHeader2-Centre"/>
                    <w:rPr>
                      <w:rFonts w:ascii="Calibri" w:hAnsi="Calibri"/>
                    </w:rPr>
                  </w:pPr>
                  <w:r w:rsidRPr="005F763D">
                    <w:rPr>
                      <w:rFonts w:ascii="Calibri" w:hAnsi="Calibri"/>
                    </w:rPr>
                    <w:t>Value</w:t>
                  </w:r>
                </w:p>
              </w:tc>
            </w:tr>
            <w:tr w:rsidR="00F937DC" w:rsidRPr="005F763D" w14:paraId="2BE53AE3" w14:textId="77777777" w:rsidTr="00583384">
              <w:tc>
                <w:tcPr>
                  <w:tcW w:w="3758" w:type="pct"/>
                  <w:tcBorders>
                    <w:top w:val="single" w:sz="4" w:space="0" w:color="808080"/>
                    <w:bottom w:val="single" w:sz="4" w:space="0" w:color="808080"/>
                    <w:right w:val="single" w:sz="24" w:space="0" w:color="FFFFFF"/>
                  </w:tcBorders>
                </w:tcPr>
                <w:p w14:paraId="0428F4D6"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3245694B" w14:textId="77777777" w:rsidR="00F937DC" w:rsidRPr="005F763D" w:rsidRDefault="00F937DC" w:rsidP="000D6E4F">
                  <w:pPr>
                    <w:pStyle w:val="TableText-Right"/>
                    <w:rPr>
                      <w:rFonts w:ascii="Calibri" w:hAnsi="Calibri"/>
                    </w:rPr>
                  </w:pPr>
                  <w:r w:rsidRPr="005F763D">
                    <w:t>$___,___</w:t>
                  </w:r>
                </w:p>
              </w:tc>
            </w:tr>
            <w:tr w:rsidR="00F937DC" w:rsidRPr="005F763D" w14:paraId="21F594CA" w14:textId="77777777" w:rsidTr="00583384">
              <w:tc>
                <w:tcPr>
                  <w:tcW w:w="3758" w:type="pct"/>
                  <w:tcBorders>
                    <w:top w:val="single" w:sz="4" w:space="0" w:color="808080"/>
                    <w:bottom w:val="single" w:sz="4" w:space="0" w:color="808080"/>
                    <w:right w:val="single" w:sz="24" w:space="0" w:color="FFFFFF"/>
                  </w:tcBorders>
                </w:tcPr>
                <w:p w14:paraId="1410EBBC"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683059E5" w14:textId="77777777" w:rsidR="00F937DC" w:rsidRPr="005F763D" w:rsidRDefault="00F937DC" w:rsidP="000D6E4F">
                  <w:pPr>
                    <w:pStyle w:val="TableText-Right"/>
                    <w:rPr>
                      <w:rFonts w:ascii="Calibri" w:hAnsi="Calibri"/>
                    </w:rPr>
                  </w:pPr>
                  <w:r w:rsidRPr="005F763D">
                    <w:t>$___,___</w:t>
                  </w:r>
                </w:p>
              </w:tc>
            </w:tr>
            <w:tr w:rsidR="00F937DC" w:rsidRPr="005F763D" w14:paraId="4429C3EC" w14:textId="77777777" w:rsidTr="00583384">
              <w:tc>
                <w:tcPr>
                  <w:tcW w:w="3758" w:type="pct"/>
                  <w:tcBorders>
                    <w:top w:val="single" w:sz="4" w:space="0" w:color="808080"/>
                    <w:bottom w:val="single" w:sz="4" w:space="0" w:color="808080"/>
                    <w:right w:val="single" w:sz="24" w:space="0" w:color="FFFFFF"/>
                  </w:tcBorders>
                </w:tcPr>
                <w:p w14:paraId="6559C0C1"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3F448EDE" w14:textId="77777777" w:rsidR="00F937DC" w:rsidRPr="005F763D" w:rsidRDefault="00F937DC" w:rsidP="000D6E4F">
                  <w:pPr>
                    <w:pStyle w:val="TableText-Right"/>
                    <w:rPr>
                      <w:rFonts w:ascii="Calibri" w:hAnsi="Calibri"/>
                    </w:rPr>
                  </w:pPr>
                  <w:r w:rsidRPr="005F763D">
                    <w:t>$___,___</w:t>
                  </w:r>
                </w:p>
              </w:tc>
            </w:tr>
            <w:tr w:rsidR="00F937DC" w:rsidRPr="005F763D" w14:paraId="066EF3D1" w14:textId="77777777" w:rsidTr="00583384">
              <w:tc>
                <w:tcPr>
                  <w:tcW w:w="3758" w:type="pct"/>
                  <w:tcBorders>
                    <w:top w:val="single" w:sz="4" w:space="0" w:color="808080"/>
                    <w:bottom w:val="single" w:sz="4" w:space="0" w:color="808080"/>
                    <w:right w:val="single" w:sz="24" w:space="0" w:color="FFFFFF"/>
                  </w:tcBorders>
                </w:tcPr>
                <w:p w14:paraId="114E1672"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7BBFC17E" w14:textId="77777777" w:rsidR="00F937DC" w:rsidRPr="005F763D" w:rsidRDefault="00F937DC" w:rsidP="000D6E4F">
                  <w:pPr>
                    <w:pStyle w:val="TableText-Right"/>
                    <w:rPr>
                      <w:rFonts w:ascii="Calibri" w:hAnsi="Calibri"/>
                    </w:rPr>
                  </w:pPr>
                  <w:r w:rsidRPr="005F763D">
                    <w:t>$___,___</w:t>
                  </w:r>
                </w:p>
              </w:tc>
            </w:tr>
            <w:tr w:rsidR="00F937DC" w:rsidRPr="005F763D" w14:paraId="7EBBAC0C" w14:textId="77777777" w:rsidTr="00583384">
              <w:tc>
                <w:tcPr>
                  <w:tcW w:w="3758" w:type="pct"/>
                  <w:tcBorders>
                    <w:top w:val="single" w:sz="4" w:space="0" w:color="808080"/>
                    <w:right w:val="single" w:sz="24" w:space="0" w:color="FFFFFF"/>
                  </w:tcBorders>
                  <w:shd w:val="clear" w:color="auto" w:fill="auto"/>
                </w:tcPr>
                <w:p w14:paraId="698C41E9" w14:textId="77777777" w:rsidR="00F937DC" w:rsidRPr="005F763D" w:rsidRDefault="00F937DC" w:rsidP="000D6E4F">
                  <w:pPr>
                    <w:pStyle w:val="TableText-RightBold"/>
                  </w:pPr>
                  <w:r w:rsidRPr="005F763D">
                    <w:t>Total</w:t>
                  </w:r>
                </w:p>
              </w:tc>
              <w:tc>
                <w:tcPr>
                  <w:tcW w:w="1242" w:type="pct"/>
                  <w:tcBorders>
                    <w:top w:val="single" w:sz="4" w:space="0" w:color="808080"/>
                    <w:left w:val="single" w:sz="24" w:space="0" w:color="FFFFFF"/>
                    <w:bottom w:val="single" w:sz="4" w:space="0" w:color="808080"/>
                    <w:right w:val="single" w:sz="24" w:space="0" w:color="FFFFFF"/>
                  </w:tcBorders>
                  <w:shd w:val="clear" w:color="auto" w:fill="D9D9D9"/>
                </w:tcPr>
                <w:p w14:paraId="44C96F32" w14:textId="77777777" w:rsidR="00F937DC" w:rsidRPr="005F763D" w:rsidRDefault="00F937DC" w:rsidP="000D6E4F">
                  <w:pPr>
                    <w:pStyle w:val="TableText-RightBold"/>
                  </w:pPr>
                  <w:r w:rsidRPr="005F763D">
                    <w:t>$___,___</w:t>
                  </w:r>
                </w:p>
              </w:tc>
            </w:tr>
          </w:tbl>
          <w:p w14:paraId="00C4553B" w14:textId="77777777" w:rsidR="00F937DC" w:rsidRPr="005F763D" w:rsidRDefault="00F937DC" w:rsidP="00583384"/>
          <w:p w14:paraId="07065822" w14:textId="77777777" w:rsidR="00F937DC" w:rsidRPr="00BB3CB4" w:rsidRDefault="00F937DC" w:rsidP="00583384">
            <w:pPr>
              <w:spacing w:before="120"/>
            </w:pPr>
          </w:p>
        </w:tc>
      </w:tr>
      <w:tr w:rsidR="00F937DC" w:rsidRPr="00BB3CB4" w14:paraId="04F78BC4"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EC4242E" w14:textId="77777777" w:rsidR="00F937DC" w:rsidRPr="00E87AAA" w:rsidRDefault="00F937DC" w:rsidP="00E164DA">
            <w:pPr>
              <w:pStyle w:val="Instructions"/>
            </w:pPr>
            <w:r w:rsidRPr="00E87AAA">
              <w:t>In your Best Interest</w:t>
            </w:r>
          </w:p>
        </w:tc>
        <w:tc>
          <w:tcPr>
            <w:tcW w:w="6798" w:type="dxa"/>
            <w:shd w:val="clear" w:color="auto" w:fill="auto"/>
          </w:tcPr>
          <w:p w14:paraId="75ACE5C4" w14:textId="77777777" w:rsidR="00F937DC" w:rsidRPr="00BB3CB4" w:rsidRDefault="00F937DC" w:rsidP="00583384">
            <w:pPr>
              <w:spacing w:before="120"/>
            </w:pPr>
          </w:p>
        </w:tc>
      </w:tr>
      <w:tr w:rsidR="00F937DC" w:rsidRPr="00BB3CB4" w14:paraId="7C5BBA59"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7B97F8C" w14:textId="77777777" w:rsidR="00F937DC" w:rsidRPr="00E87AAA" w:rsidRDefault="00F937DC" w:rsidP="00E164DA">
            <w:pPr>
              <w:pStyle w:val="Instructions"/>
            </w:pPr>
            <w:r>
              <w:t>Further Detail</w:t>
            </w:r>
          </w:p>
        </w:tc>
        <w:tc>
          <w:tcPr>
            <w:tcW w:w="6798" w:type="dxa"/>
            <w:shd w:val="clear" w:color="auto" w:fill="auto"/>
          </w:tcPr>
          <w:p w14:paraId="125EF12F" w14:textId="461DAC92" w:rsidR="00F937DC" w:rsidRPr="005F763D" w:rsidRDefault="00F937DC" w:rsidP="00583384">
            <w:pPr>
              <w:jc w:val="left"/>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213BF3">
              <w:rPr>
                <w:color w:val="FF0000"/>
              </w:rPr>
              <w:t>]</w:t>
            </w:r>
            <w:r w:rsidR="00213BF3" w:rsidRPr="005F763D">
              <w:t>, consolidating</w:t>
            </w:r>
            <w:r w:rsidR="00213BF3">
              <w:t xml:space="preserve"> </w:t>
            </w:r>
            <w:r w:rsidR="00213BF3" w:rsidRPr="00D8052E">
              <w:t>funds</w:t>
            </w:r>
            <w:r w:rsidRPr="00D8052E">
              <w:t xml:space="preserve"> into the</w:t>
            </w:r>
            <w:r>
              <w:t xml:space="preserve"> one</w:t>
            </w:r>
            <w:r w:rsidRPr="00D8052E">
              <w:t xml:space="preserve"> </w:t>
            </w:r>
            <w:r w:rsidR="00721D4B">
              <w:t xml:space="preserve">new </w:t>
            </w:r>
            <w:r w:rsidRPr="00D8052E">
              <w:t xml:space="preserve">superannuation </w:t>
            </w:r>
            <w:r w:rsidR="00721D4B">
              <w:t>pension</w:t>
            </w:r>
            <w:r w:rsidRPr="00D8052E">
              <w:t>, can typically have the following benefits:</w:t>
            </w:r>
          </w:p>
          <w:p w14:paraId="46AC4451" w14:textId="54B0CDE4" w:rsidR="008F71C2" w:rsidRDefault="008F71C2">
            <w:pPr>
              <w:pStyle w:val="InterPracBullet"/>
              <w:numPr>
                <w:ilvl w:val="0"/>
                <w:numId w:val="98"/>
              </w:numPr>
            </w:pPr>
            <w:r>
              <w:t>More investment capital grows in a tax-free earnings environment.</w:t>
            </w:r>
          </w:p>
          <w:p w14:paraId="5F574AF3" w14:textId="4697BFF7" w:rsidR="00F937DC" w:rsidRPr="005F763D" w:rsidRDefault="00F937DC">
            <w:pPr>
              <w:pStyle w:val="InterPracBullet"/>
              <w:numPr>
                <w:ilvl w:val="0"/>
                <w:numId w:val="98"/>
              </w:numPr>
            </w:pPr>
            <w:r w:rsidRPr="005F763D">
              <w:t>The recommended fund offers a much wider range of managed investment options and access to direct shares.</w:t>
            </w:r>
          </w:p>
          <w:p w14:paraId="32E332EE" w14:textId="77777777" w:rsidR="00F937DC" w:rsidRPr="005F763D" w:rsidRDefault="00F937DC">
            <w:pPr>
              <w:pStyle w:val="InterPracBullet"/>
              <w:numPr>
                <w:ilvl w:val="0"/>
                <w:numId w:val="98"/>
              </w:numPr>
            </w:pPr>
            <w:r w:rsidRPr="005F763D">
              <w:t>The recommended fund offers lower ongoing fees than your existing fund.</w:t>
            </w:r>
          </w:p>
          <w:p w14:paraId="5125A874" w14:textId="77777777" w:rsidR="00F937DC" w:rsidRPr="005F763D" w:rsidRDefault="00F937DC">
            <w:pPr>
              <w:pStyle w:val="InterPracBullet"/>
              <w:numPr>
                <w:ilvl w:val="0"/>
                <w:numId w:val="98"/>
              </w:numPr>
            </w:pPr>
            <w:r w:rsidRPr="005F763D">
              <w:t>You consolidate your superannuation benefits to reduce the total ongoing management fees charged on your total superannuation benefits.</w:t>
            </w:r>
          </w:p>
          <w:p w14:paraId="2CBC5BBC" w14:textId="77777777" w:rsidR="00F937DC" w:rsidRPr="005F763D" w:rsidRDefault="00F937DC">
            <w:pPr>
              <w:pStyle w:val="InterPracBullet"/>
              <w:numPr>
                <w:ilvl w:val="0"/>
                <w:numId w:val="98"/>
              </w:numPr>
            </w:pPr>
            <w:r w:rsidRPr="005F763D">
              <w:t>You consolidate your superannuation benefits for ease of administration.</w:t>
            </w:r>
          </w:p>
          <w:p w14:paraId="5117FCDC" w14:textId="77777777" w:rsidR="00F937DC" w:rsidRPr="005F763D" w:rsidRDefault="00F937DC">
            <w:pPr>
              <w:pStyle w:val="InterPracBullet"/>
              <w:numPr>
                <w:ilvl w:val="0"/>
                <w:numId w:val="98"/>
              </w:numPr>
            </w:pPr>
            <w:r w:rsidRPr="005F763D">
              <w:t>Your superannuation benefits will be invested in accordance with your risk profile to achieve your financial goals.</w:t>
            </w:r>
          </w:p>
          <w:p w14:paraId="1F6C7B97" w14:textId="77777777" w:rsidR="00F937DC" w:rsidRPr="005F763D" w:rsidRDefault="00F937DC">
            <w:pPr>
              <w:pStyle w:val="InterPracBullet"/>
            </w:pPr>
            <w:r w:rsidRPr="005F763D">
              <w:t>In rolling over your existing superannuation, there are a number of considerations and implications you need to be aware of, including:</w:t>
            </w:r>
          </w:p>
          <w:p w14:paraId="1102D5B2" w14:textId="15A837CC" w:rsidR="00725290" w:rsidRDefault="00725290">
            <w:pPr>
              <w:pStyle w:val="InterPracBullet"/>
              <w:numPr>
                <w:ilvl w:val="0"/>
                <w:numId w:val="98"/>
              </w:numPr>
            </w:pPr>
            <w:r>
              <w:t>Fresh monies cannot be added into a pre-existing pension. Consequently, monies in a pre-existing pension must first be rolled back to accumulation superannuation before a new pension is commenced.</w:t>
            </w:r>
          </w:p>
          <w:p w14:paraId="1FCE11B8" w14:textId="0925FA5F" w:rsidR="00F937DC" w:rsidRPr="005F763D" w:rsidRDefault="00F937DC">
            <w:pPr>
              <w:pStyle w:val="InterPracBullet"/>
              <w:numPr>
                <w:ilvl w:val="0"/>
                <w:numId w:val="98"/>
              </w:numPr>
            </w:pPr>
            <w:commentRangeStart w:id="92"/>
            <w:r w:rsidRPr="005F763D">
              <w:t>Upfront, ongoing and exit fees;</w:t>
            </w:r>
          </w:p>
          <w:p w14:paraId="3F8A8CB8" w14:textId="77777777" w:rsidR="00F937DC" w:rsidRPr="005F763D" w:rsidRDefault="00F937DC">
            <w:pPr>
              <w:pStyle w:val="InterPracBullet"/>
              <w:numPr>
                <w:ilvl w:val="0"/>
                <w:numId w:val="98"/>
              </w:numPr>
            </w:pPr>
            <w:r w:rsidRPr="005F763D">
              <w:t>Buy/Sell costs;</w:t>
            </w:r>
          </w:p>
          <w:p w14:paraId="4145569F" w14:textId="77777777" w:rsidR="00F937DC" w:rsidRPr="005F763D" w:rsidRDefault="00F937DC">
            <w:pPr>
              <w:pStyle w:val="InterPracBullet"/>
              <w:numPr>
                <w:ilvl w:val="0"/>
                <w:numId w:val="98"/>
              </w:numPr>
            </w:pPr>
            <w:r w:rsidRPr="005F763D">
              <w:t>Time out of the market; and</w:t>
            </w:r>
          </w:p>
          <w:p w14:paraId="1C18DB32" w14:textId="77777777" w:rsidR="00F937DC" w:rsidRPr="005F763D" w:rsidRDefault="00F937DC">
            <w:pPr>
              <w:pStyle w:val="InterPracBullet"/>
              <w:numPr>
                <w:ilvl w:val="0"/>
                <w:numId w:val="98"/>
              </w:numPr>
            </w:pPr>
            <w:r w:rsidRPr="005F763D">
              <w:t>Loss of insurance, bonuses and auto acceptance.</w:t>
            </w:r>
            <w:commentRangeEnd w:id="92"/>
            <w:r w:rsidR="00EF2D2E">
              <w:rPr>
                <w:rStyle w:val="CommentReference"/>
                <w:rFonts w:eastAsia="MS Mincho"/>
                <w:lang w:val="en-AU" w:eastAsia="ja-JP"/>
              </w:rPr>
              <w:commentReference w:id="92"/>
            </w:r>
          </w:p>
          <w:p w14:paraId="009DC0F2" w14:textId="77777777" w:rsidR="00F937DC" w:rsidRPr="00AB20EB" w:rsidRDefault="00F937DC" w:rsidP="00583384">
            <w:pPr>
              <w:jc w:val="left"/>
              <w:rPr>
                <w:b/>
              </w:rPr>
            </w:pPr>
          </w:p>
          <w:p w14:paraId="3EFFA4BC" w14:textId="77777777" w:rsidR="00F937DC" w:rsidRPr="00AB20EB" w:rsidRDefault="00F937DC" w:rsidP="00583384">
            <w:pPr>
              <w:jc w:val="left"/>
              <w:rPr>
                <w:b/>
              </w:rPr>
            </w:pPr>
          </w:p>
          <w:p w14:paraId="705F8933" w14:textId="77777777" w:rsidR="00F937DC" w:rsidRPr="005F763D" w:rsidRDefault="00F937DC" w:rsidP="00583384">
            <w:pPr>
              <w:jc w:val="left"/>
              <w:rPr>
                <w:b/>
                <w:i/>
              </w:rPr>
            </w:pPr>
            <w:r w:rsidRPr="005F763D">
              <w:rPr>
                <w:b/>
                <w:i/>
              </w:rPr>
              <w:t>Please refer to the Replacement of Product Information section of this advice, for further information.</w:t>
            </w:r>
          </w:p>
          <w:p w14:paraId="1C1F6B15" w14:textId="77777777" w:rsidR="00F937DC" w:rsidRPr="00BB3CB4" w:rsidRDefault="00F937DC" w:rsidP="00583384">
            <w:pPr>
              <w:spacing w:before="120"/>
            </w:pPr>
          </w:p>
        </w:tc>
      </w:tr>
    </w:tbl>
    <w:p w14:paraId="16AF4EDC" w14:textId="77777777" w:rsidR="00A67B58" w:rsidRPr="005F763D" w:rsidRDefault="00A67B58" w:rsidP="008C7CE9">
      <w:pPr>
        <w:jc w:val="left"/>
      </w:pPr>
    </w:p>
    <w:p w14:paraId="567B2080" w14:textId="77777777" w:rsidR="00D06163" w:rsidRPr="005F763D" w:rsidRDefault="00D06163" w:rsidP="008C7CE9">
      <w:pPr>
        <w:jc w:val="left"/>
      </w:pPr>
    </w:p>
    <w:p w14:paraId="5BA8D0FF" w14:textId="77777777" w:rsidR="00DA15E2" w:rsidRDefault="00DA15E2" w:rsidP="008C7CE9">
      <w:pPr>
        <w:jc w:val="left"/>
        <w:rPr>
          <w:color w:val="002060"/>
          <w:sz w:val="24"/>
        </w:rPr>
        <w:sectPr w:rsidR="00DA15E2" w:rsidSect="008C0AC7">
          <w:type w:val="continuous"/>
          <w:pgSz w:w="11906" w:h="16838" w:code="9"/>
          <w:pgMar w:top="1134" w:right="566" w:bottom="426" w:left="709" w:header="567" w:footer="95" w:gutter="0"/>
          <w:cols w:space="708"/>
          <w:docGrid w:linePitch="360"/>
        </w:sectPr>
      </w:pPr>
      <w:bookmarkStart w:id="93" w:name="_Hlk485720064"/>
      <w:bookmarkEnd w:id="90"/>
    </w:p>
    <w:p w14:paraId="4C9ABA3F" w14:textId="36A10E27" w:rsidR="00D06163" w:rsidRPr="005F763D" w:rsidRDefault="00D06163" w:rsidP="008C7CE9">
      <w:pPr>
        <w:jc w:val="left"/>
        <w:rPr>
          <w:color w:val="002060"/>
          <w:sz w:val="24"/>
        </w:rPr>
      </w:pPr>
      <w:r w:rsidRPr="005F763D">
        <w:rPr>
          <w:color w:val="002060"/>
          <w:sz w:val="24"/>
        </w:rPr>
        <w:t>Withdrawal &amp; Re-Contribution Strategy</w:t>
      </w:r>
    </w:p>
    <w:p w14:paraId="66E7E45E" w14:textId="2370CB80" w:rsidR="00D06163" w:rsidRDefault="00D06163" w:rsidP="008C7CE9">
      <w:pPr>
        <w:jc w:val="left"/>
      </w:pPr>
    </w:p>
    <w:tbl>
      <w:tblPr>
        <w:tblW w:w="0" w:type="auto"/>
        <w:tblInd w:w="76" w:type="dxa"/>
        <w:tblLayout w:type="fixed"/>
        <w:tblLook w:val="04A0" w:firstRow="1" w:lastRow="0" w:firstColumn="1" w:lastColumn="0" w:noHBand="0" w:noVBand="1"/>
      </w:tblPr>
      <w:tblGrid>
        <w:gridCol w:w="1904"/>
        <w:gridCol w:w="8641"/>
      </w:tblGrid>
      <w:tr w:rsidR="00B368F7" w:rsidRPr="00E51BEA" w14:paraId="06D7F961" w14:textId="77777777" w:rsidTr="00E11BDB">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4151C4B"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48EB52E5" w14:textId="77777777" w:rsidR="00B368F7" w:rsidRPr="00E51BEA" w:rsidRDefault="00B368F7" w:rsidP="00207BF8">
            <w:pPr>
              <w:pStyle w:val="TableHeader2"/>
              <w:rPr>
                <w:rFonts w:ascii="Calibri Light" w:hAnsi="Calibri Light"/>
              </w:rPr>
            </w:pPr>
          </w:p>
        </w:tc>
      </w:tr>
      <w:tr w:rsidR="00B368F7" w:rsidRPr="0088114A" w14:paraId="44B57084"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2686BE14" w14:textId="77777777" w:rsidR="00B368F7" w:rsidRPr="00E87AAA" w:rsidRDefault="00B368F7" w:rsidP="00E164DA">
            <w:pPr>
              <w:pStyle w:val="Instructions"/>
            </w:pPr>
            <w:r w:rsidRPr="00E87AAA">
              <w:t>Title</w:t>
            </w:r>
          </w:p>
        </w:tc>
        <w:tc>
          <w:tcPr>
            <w:tcW w:w="8641" w:type="dxa"/>
            <w:shd w:val="clear" w:color="auto" w:fill="auto"/>
          </w:tcPr>
          <w:p w14:paraId="1A36D5D1" w14:textId="406C2783" w:rsidR="00B368F7" w:rsidRPr="0088114A" w:rsidRDefault="00EE5D61" w:rsidP="00207BF8">
            <w:pPr>
              <w:spacing w:before="120"/>
            </w:pPr>
            <w:r>
              <w:t>Withdrawal and Re-contribution</w:t>
            </w:r>
          </w:p>
        </w:tc>
      </w:tr>
      <w:tr w:rsidR="00B368F7" w:rsidRPr="0088114A" w14:paraId="5DDBFEFC"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7FAA5DA1" w14:textId="77777777" w:rsidR="00B368F7" w:rsidRPr="00E87AAA" w:rsidRDefault="00B368F7" w:rsidP="00E164DA">
            <w:pPr>
              <w:pStyle w:val="Instructions"/>
            </w:pPr>
            <w:r w:rsidRPr="00E87AAA">
              <w:t>Explanation</w:t>
            </w:r>
          </w:p>
        </w:tc>
        <w:tc>
          <w:tcPr>
            <w:tcW w:w="8641" w:type="dxa"/>
            <w:shd w:val="clear" w:color="auto" w:fill="auto"/>
          </w:tcPr>
          <w:p w14:paraId="45C87EE2" w14:textId="77777777" w:rsidR="00474F62" w:rsidRPr="005F763D" w:rsidRDefault="00474F62" w:rsidP="00474F62">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implement a withdrawal and re-contribution strategy as follows:</w:t>
            </w:r>
          </w:p>
          <w:p w14:paraId="20FBD644" w14:textId="440A1698" w:rsidR="00474F62" w:rsidRPr="005F763D" w:rsidRDefault="00474F62">
            <w:pPr>
              <w:pStyle w:val="InterPracBullet"/>
            </w:pPr>
            <w:r w:rsidRPr="005F763D">
              <w:lastRenderedPageBreak/>
              <w:t xml:space="preserve">Withdraw sufficient funds from your </w:t>
            </w:r>
            <w:r w:rsidRPr="005F763D">
              <w:rPr>
                <w:color w:val="FF0000"/>
              </w:rPr>
              <w:t>[product]</w:t>
            </w:r>
            <w:r w:rsidRPr="005F763D">
              <w:t xml:space="preserve"> super fund in order to utilise the low rate cap amount of $</w:t>
            </w:r>
            <w:r>
              <w:t>2</w:t>
            </w:r>
            <w:r w:rsidR="00F502F9">
              <w:rPr>
                <w:lang w:val="en-US"/>
              </w:rPr>
              <w:t>1</w:t>
            </w:r>
            <w:r w:rsidR="00DF6FDA">
              <w:rPr>
                <w:lang w:val="en-AU"/>
              </w:rPr>
              <w:t>5</w:t>
            </w:r>
            <w:r w:rsidRPr="005F763D">
              <w:t>,000 (amounts within this limit can be withdrawn tax free).  Specifically, we recommend a total withdrawal of $</w:t>
            </w:r>
            <w:r w:rsidRPr="005F763D">
              <w:rPr>
                <w:color w:val="FF0000"/>
              </w:rPr>
              <w:t>[___,___]</w:t>
            </w:r>
            <w:r w:rsidRPr="005F763D">
              <w:t>, consisting of a taxable component of $</w:t>
            </w:r>
            <w:r w:rsidRPr="005F763D">
              <w:rPr>
                <w:color w:val="FF0000"/>
              </w:rPr>
              <w:t>[___,___]</w:t>
            </w:r>
            <w:r w:rsidRPr="005F763D">
              <w:t xml:space="preserve"> and a tax free component of $</w:t>
            </w:r>
            <w:r w:rsidRPr="005F763D">
              <w:rPr>
                <w:color w:val="FF0000"/>
              </w:rPr>
              <w:t>[___,___]</w:t>
            </w:r>
            <w:r w:rsidRPr="005F763D">
              <w:t>.</w:t>
            </w:r>
          </w:p>
          <w:p w14:paraId="7857C026" w14:textId="77777777" w:rsidR="00474F62" w:rsidRPr="005F763D" w:rsidRDefault="00474F62">
            <w:pPr>
              <w:pStyle w:val="InterPracBullet"/>
            </w:pPr>
            <w:r w:rsidRPr="005F763D">
              <w:t>Re-contribute $</w:t>
            </w:r>
            <w:r w:rsidRPr="005F763D">
              <w:rPr>
                <w:color w:val="FF0000"/>
              </w:rPr>
              <w:t>[___,___]</w:t>
            </w:r>
            <w:r w:rsidRPr="005F763D">
              <w:t xml:space="preserve"> back into super as a Non-Concessional Contribution</w:t>
            </w:r>
            <w:r w:rsidRPr="005F763D">
              <w:rPr>
                <w:vertAlign w:val="superscript"/>
              </w:rPr>
              <w:t>[1]</w:t>
            </w:r>
            <w:r w:rsidRPr="005F763D">
              <w:t>. These funds will subsequently make up the tax free component of the superannuation fund.</w:t>
            </w:r>
          </w:p>
          <w:p w14:paraId="208C4799" w14:textId="77777777" w:rsidR="00474F62" w:rsidRPr="005F763D" w:rsidRDefault="00474F62" w:rsidP="00474F62">
            <w:pPr>
              <w:pStyle w:val="Notes-Heading"/>
            </w:pPr>
            <w:r w:rsidRPr="005F763D">
              <w:t>Notes:</w:t>
            </w:r>
          </w:p>
          <w:tbl>
            <w:tblPr>
              <w:tblW w:w="9429" w:type="dxa"/>
              <w:tblLayout w:type="fixed"/>
              <w:tblLook w:val="01E0" w:firstRow="1" w:lastRow="1" w:firstColumn="1" w:lastColumn="1" w:noHBand="0" w:noVBand="0"/>
            </w:tblPr>
            <w:tblGrid>
              <w:gridCol w:w="425"/>
              <w:gridCol w:w="9004"/>
            </w:tblGrid>
            <w:tr w:rsidR="00474F62" w:rsidRPr="005F763D" w14:paraId="69D7B0A3" w14:textId="77777777" w:rsidTr="00E11BDB">
              <w:trPr>
                <w:trHeight w:val="83"/>
              </w:trPr>
              <w:tc>
                <w:tcPr>
                  <w:tcW w:w="425" w:type="dxa"/>
                </w:tcPr>
                <w:p w14:paraId="40A374F9" w14:textId="77777777" w:rsidR="00474F62" w:rsidRPr="000D0191" w:rsidRDefault="00474F62" w:rsidP="00474F62">
                  <w:pPr>
                    <w:pStyle w:val="Notes-Numbers"/>
                    <w:rPr>
                      <w:sz w:val="16"/>
                      <w:szCs w:val="16"/>
                    </w:rPr>
                  </w:pPr>
                  <w:r w:rsidRPr="000D0191">
                    <w:rPr>
                      <w:sz w:val="16"/>
                      <w:szCs w:val="16"/>
                    </w:rPr>
                    <w:t>[1]</w:t>
                  </w:r>
                </w:p>
              </w:tc>
              <w:tc>
                <w:tcPr>
                  <w:tcW w:w="9004" w:type="dxa"/>
                </w:tcPr>
                <w:p w14:paraId="59CB5DBB" w14:textId="77777777" w:rsidR="00474F62" w:rsidRPr="000D0191" w:rsidRDefault="00474F62" w:rsidP="00474F62">
                  <w:pPr>
                    <w:pStyle w:val="Notes-Text"/>
                    <w:rPr>
                      <w:sz w:val="16"/>
                      <w:szCs w:val="16"/>
                    </w:rPr>
                  </w:pPr>
                  <w:r w:rsidRPr="000D0191">
                    <w:rPr>
                      <w:sz w:val="16"/>
                      <w:szCs w:val="16"/>
                    </w:rPr>
                    <w:t xml:space="preserve">The recommended Non-Concessional Contribution is within the maximum cap $100,000 per year or $300,000 averaged over 3 </w:t>
                  </w:r>
                  <w:commentRangeStart w:id="94"/>
                  <w:r w:rsidRPr="000D0191">
                    <w:rPr>
                      <w:sz w:val="16"/>
                      <w:szCs w:val="16"/>
                    </w:rPr>
                    <w:t>years</w:t>
                  </w:r>
                  <w:commentRangeEnd w:id="94"/>
                  <w:r w:rsidR="00FD61ED">
                    <w:rPr>
                      <w:rStyle w:val="CommentReference"/>
                      <w:rFonts w:eastAsia="MS Mincho"/>
                      <w:lang w:eastAsia="ja-JP"/>
                    </w:rPr>
                    <w:commentReference w:id="94"/>
                  </w:r>
                  <w:r w:rsidRPr="000D0191">
                    <w:rPr>
                      <w:sz w:val="16"/>
                      <w:szCs w:val="16"/>
                    </w:rPr>
                    <w:t>).</w:t>
                  </w:r>
                </w:p>
              </w:tc>
            </w:tr>
          </w:tbl>
          <w:p w14:paraId="45D6D5FC" w14:textId="77777777" w:rsidR="00B368F7" w:rsidRPr="0088114A" w:rsidRDefault="00B368F7" w:rsidP="00207BF8">
            <w:pPr>
              <w:spacing w:before="120"/>
              <w:rPr>
                <w:sz w:val="18"/>
                <w:szCs w:val="18"/>
                <w:highlight w:val="yellow"/>
              </w:rPr>
            </w:pPr>
          </w:p>
        </w:tc>
      </w:tr>
      <w:tr w:rsidR="00B368F7" w:rsidRPr="00E87AAA" w14:paraId="74320D27"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5BD1EC9A" w14:textId="77777777" w:rsidR="00B368F7" w:rsidRPr="00E87AAA" w:rsidRDefault="00B368F7" w:rsidP="00E164DA">
            <w:pPr>
              <w:pStyle w:val="Instructions"/>
            </w:pPr>
            <w:r w:rsidRPr="00E87AAA">
              <w:lastRenderedPageBreak/>
              <w:t>In your Best Interest</w:t>
            </w:r>
          </w:p>
        </w:tc>
        <w:tc>
          <w:tcPr>
            <w:tcW w:w="8641" w:type="dxa"/>
            <w:shd w:val="clear" w:color="auto" w:fill="auto"/>
          </w:tcPr>
          <w:p w14:paraId="1F6EAEBB" w14:textId="77777777" w:rsidR="00B368F7" w:rsidRPr="00E87AAA" w:rsidRDefault="00B368F7" w:rsidP="00207BF8">
            <w:pPr>
              <w:spacing w:before="120"/>
              <w:jc w:val="left"/>
              <w:rPr>
                <w:sz w:val="18"/>
                <w:szCs w:val="18"/>
                <w:highlight w:val="yellow"/>
              </w:rPr>
            </w:pPr>
          </w:p>
        </w:tc>
      </w:tr>
      <w:tr w:rsidR="00B368F7" w:rsidRPr="00E87AAA" w14:paraId="7B173104"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3F2F8D79" w14:textId="77777777" w:rsidR="00B368F7" w:rsidRPr="00E87AAA" w:rsidRDefault="00B368F7" w:rsidP="00E164DA">
            <w:pPr>
              <w:pStyle w:val="Instructions"/>
            </w:pPr>
            <w:r>
              <w:t>Further Detail</w:t>
            </w:r>
          </w:p>
        </w:tc>
        <w:tc>
          <w:tcPr>
            <w:tcW w:w="8641" w:type="dxa"/>
            <w:shd w:val="clear" w:color="auto" w:fill="auto"/>
          </w:tcPr>
          <w:p w14:paraId="2D7DCA58" w14:textId="24DD747C" w:rsidR="003048D6" w:rsidRPr="005F763D" w:rsidRDefault="00213BF3" w:rsidP="003048D6">
            <w:pPr>
              <w:jc w:val="left"/>
            </w:pPr>
            <w:r w:rsidRPr="005F763D">
              <w:t>T</w:t>
            </w:r>
            <w:r>
              <w:t>ypically,</w:t>
            </w:r>
            <w:r w:rsidR="003048D6">
              <w:t xml:space="preserve"> t</w:t>
            </w:r>
            <w:r w:rsidR="003048D6" w:rsidRPr="005F763D">
              <w:t>he benefits of this recommendation are:</w:t>
            </w:r>
          </w:p>
          <w:p w14:paraId="4DC863DD" w14:textId="77777777" w:rsidR="003048D6" w:rsidRPr="005F763D" w:rsidRDefault="003048D6">
            <w:pPr>
              <w:pStyle w:val="InterPracBullet"/>
              <w:numPr>
                <w:ilvl w:val="0"/>
                <w:numId w:val="99"/>
              </w:numPr>
            </w:pPr>
            <w:r w:rsidRPr="005F763D">
              <w:t>You minimise the level of income tax incurred on your prospective retirement income stream.</w:t>
            </w:r>
          </w:p>
          <w:p w14:paraId="1BAC0395" w14:textId="77777777" w:rsidR="003048D6" w:rsidRPr="005F763D" w:rsidRDefault="003048D6">
            <w:pPr>
              <w:pStyle w:val="InterPracBullet"/>
              <w:numPr>
                <w:ilvl w:val="0"/>
                <w:numId w:val="99"/>
              </w:numPr>
            </w:pPr>
            <w:r w:rsidRPr="005F763D">
              <w:t>In the event of death, a higher tax free amount reduces the tax payable on lump sums received by non-dependant beneficiaries. The taxable component of a death benefit is taxed at 1</w:t>
            </w:r>
            <w:r>
              <w:t>5</w:t>
            </w:r>
            <w:r w:rsidRPr="005F763D">
              <w:t xml:space="preserve">% </w:t>
            </w:r>
            <w:r>
              <w:t xml:space="preserve">plus any applicable </w:t>
            </w:r>
            <w:proofErr w:type="spellStart"/>
            <w:r>
              <w:t>medicare</w:t>
            </w:r>
            <w:proofErr w:type="spellEnd"/>
            <w:r>
              <w:t xml:space="preserve"> levy </w:t>
            </w:r>
            <w:r w:rsidRPr="005F763D">
              <w:t>when distributed to non-dependants, compared to nil tax on the tax free component.</w:t>
            </w:r>
          </w:p>
          <w:p w14:paraId="6D76B365" w14:textId="77777777" w:rsidR="00B368F7" w:rsidRDefault="00B368F7" w:rsidP="00207BF8">
            <w:pPr>
              <w:spacing w:before="120"/>
              <w:jc w:val="left"/>
              <w:rPr>
                <w:sz w:val="18"/>
                <w:szCs w:val="18"/>
                <w:highlight w:val="yellow"/>
              </w:rPr>
            </w:pPr>
          </w:p>
          <w:p w14:paraId="609440A0" w14:textId="2D7FDB4A" w:rsidR="00A0309D" w:rsidRPr="005F763D" w:rsidRDefault="00213BF3" w:rsidP="00A0309D">
            <w:pPr>
              <w:jc w:val="left"/>
            </w:pPr>
            <w:r w:rsidRPr="005F763D">
              <w:t>T</w:t>
            </w:r>
            <w:r>
              <w:t>ypically,</w:t>
            </w:r>
            <w:r w:rsidR="00A0309D">
              <w:t xml:space="preserve"> t</w:t>
            </w:r>
            <w:r w:rsidR="00A0309D" w:rsidRPr="005F763D">
              <w:t>he risks associated with this recommendation are:</w:t>
            </w:r>
          </w:p>
          <w:p w14:paraId="32802952" w14:textId="52118FC6" w:rsidR="00A0309D" w:rsidRPr="005F763D" w:rsidRDefault="00A0309D">
            <w:pPr>
              <w:pStyle w:val="InterPracBullet"/>
              <w:numPr>
                <w:ilvl w:val="0"/>
                <w:numId w:val="100"/>
              </w:numPr>
            </w:pPr>
            <w:r>
              <w:t>A</w:t>
            </w:r>
            <w:r w:rsidRPr="005F763D">
              <w:t xml:space="preserve"> taxable component of up to $</w:t>
            </w:r>
            <w:r>
              <w:t>2</w:t>
            </w:r>
            <w:r w:rsidR="00F502F9">
              <w:rPr>
                <w:lang w:val="en-US"/>
              </w:rPr>
              <w:t>1</w:t>
            </w:r>
            <w:r w:rsidR="00DF6FDA">
              <w:rPr>
                <w:lang w:val="en-AU"/>
              </w:rPr>
              <w:t>5</w:t>
            </w:r>
            <w:r w:rsidRPr="005F763D">
              <w:t>,000 can be withdrawn tax free, the amount is still included in your assessable income (a tax offset is received to ensure the amount is tax free). This may result in:</w:t>
            </w:r>
          </w:p>
          <w:p w14:paraId="79BDF78B" w14:textId="77777777" w:rsidR="00A0309D" w:rsidRPr="00010E11" w:rsidRDefault="00A0309D">
            <w:pPr>
              <w:pStyle w:val="InterPracBullet"/>
              <w:numPr>
                <w:ilvl w:val="0"/>
                <w:numId w:val="100"/>
              </w:numPr>
            </w:pPr>
            <w:r w:rsidRPr="00010E11">
              <w:t>An increase in your tax liability as you may lose your entitlement to various tax offsets which you may otherwise have received.</w:t>
            </w:r>
          </w:p>
          <w:p w14:paraId="07CE77A6" w14:textId="77777777" w:rsidR="00A0309D" w:rsidRPr="00010E11" w:rsidRDefault="00A0309D">
            <w:pPr>
              <w:pStyle w:val="InterPracBullet"/>
              <w:numPr>
                <w:ilvl w:val="0"/>
                <w:numId w:val="100"/>
              </w:numPr>
            </w:pPr>
            <w:r w:rsidRPr="00010E11">
              <w:t>The loss of your entitlement to the Government Co-contribution.</w:t>
            </w:r>
          </w:p>
          <w:p w14:paraId="16D0E15E" w14:textId="77777777" w:rsidR="00A0309D" w:rsidRPr="00010E11" w:rsidRDefault="00A0309D">
            <w:pPr>
              <w:pStyle w:val="InterPracBullet"/>
              <w:numPr>
                <w:ilvl w:val="0"/>
                <w:numId w:val="100"/>
              </w:numPr>
            </w:pPr>
            <w:r w:rsidRPr="00010E11">
              <w:t>The loss of your partner’s entitlement to a rebate on Spouse Contributions.</w:t>
            </w:r>
          </w:p>
          <w:p w14:paraId="1E5341FC" w14:textId="5682A813" w:rsidR="00A0309D" w:rsidRPr="00E87AAA" w:rsidRDefault="00A0309D" w:rsidP="00207BF8">
            <w:pPr>
              <w:spacing w:before="120"/>
              <w:jc w:val="left"/>
              <w:rPr>
                <w:sz w:val="18"/>
                <w:szCs w:val="18"/>
                <w:highlight w:val="yellow"/>
              </w:rPr>
            </w:pPr>
          </w:p>
        </w:tc>
      </w:tr>
    </w:tbl>
    <w:p w14:paraId="393BAED7" w14:textId="77777777" w:rsidR="00B368F7" w:rsidRPr="005F763D" w:rsidRDefault="00B368F7" w:rsidP="008C7CE9">
      <w:pPr>
        <w:jc w:val="left"/>
      </w:pPr>
    </w:p>
    <w:p w14:paraId="3159DA60" w14:textId="77777777" w:rsidR="00D06163" w:rsidRPr="005F763D" w:rsidRDefault="00D06163" w:rsidP="008C7CE9">
      <w:pPr>
        <w:jc w:val="left"/>
      </w:pPr>
    </w:p>
    <w:p w14:paraId="42513A51" w14:textId="77777777" w:rsidR="00D06163" w:rsidRPr="005F763D" w:rsidRDefault="00D06163" w:rsidP="008C7CE9">
      <w:pPr>
        <w:jc w:val="left"/>
      </w:pPr>
    </w:p>
    <w:bookmarkEnd w:id="93"/>
    <w:p w14:paraId="563236C8" w14:textId="77777777" w:rsidR="00D23CD8" w:rsidRPr="005F763D" w:rsidRDefault="00D23CD8" w:rsidP="008C7CE9">
      <w:pPr>
        <w:jc w:val="left"/>
      </w:pPr>
    </w:p>
    <w:p w14:paraId="5F6C6F85" w14:textId="3F484230" w:rsidR="00D06163" w:rsidRDefault="00D06163" w:rsidP="008C7CE9">
      <w:pPr>
        <w:jc w:val="left"/>
        <w:rPr>
          <w:color w:val="002060"/>
          <w:sz w:val="24"/>
        </w:rPr>
      </w:pPr>
      <w:bookmarkStart w:id="95" w:name="_Hlk485730610"/>
      <w:r w:rsidRPr="005F763D">
        <w:rPr>
          <w:color w:val="002060"/>
          <w:sz w:val="24"/>
        </w:rPr>
        <w:t>Personal Concessional Contributions</w:t>
      </w:r>
    </w:p>
    <w:p w14:paraId="521FF970" w14:textId="70F1C6DA" w:rsidR="00B368F7" w:rsidRDefault="00B368F7" w:rsidP="008C7CE9">
      <w:pPr>
        <w:jc w:val="left"/>
        <w:rPr>
          <w:color w:val="002060"/>
          <w:sz w:val="24"/>
        </w:rPr>
      </w:pPr>
    </w:p>
    <w:tbl>
      <w:tblPr>
        <w:tblW w:w="0" w:type="auto"/>
        <w:tblInd w:w="76" w:type="dxa"/>
        <w:tblLook w:val="04A0" w:firstRow="1" w:lastRow="0" w:firstColumn="1" w:lastColumn="0" w:noHBand="0" w:noVBand="1"/>
      </w:tblPr>
      <w:tblGrid>
        <w:gridCol w:w="2754"/>
        <w:gridCol w:w="6798"/>
      </w:tblGrid>
      <w:tr w:rsidR="00B368F7" w:rsidRPr="00E51BEA" w14:paraId="28959DDB"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8F432FF"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B550B0C" w14:textId="77777777" w:rsidR="00B368F7" w:rsidRPr="00E51BEA" w:rsidRDefault="00B368F7" w:rsidP="00207BF8">
            <w:pPr>
              <w:pStyle w:val="TableHeader2"/>
              <w:rPr>
                <w:rFonts w:ascii="Calibri Light" w:hAnsi="Calibri Light"/>
              </w:rPr>
            </w:pPr>
          </w:p>
        </w:tc>
      </w:tr>
      <w:tr w:rsidR="00B368F7" w:rsidRPr="0088114A" w14:paraId="53FB99B9"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ED5B3E0" w14:textId="77777777" w:rsidR="00B368F7" w:rsidRPr="00E87AAA" w:rsidRDefault="00B368F7" w:rsidP="00E164DA">
            <w:pPr>
              <w:pStyle w:val="Instructions"/>
            </w:pPr>
            <w:r w:rsidRPr="00E87AAA">
              <w:t>Title</w:t>
            </w:r>
          </w:p>
        </w:tc>
        <w:tc>
          <w:tcPr>
            <w:tcW w:w="6798" w:type="dxa"/>
            <w:shd w:val="clear" w:color="auto" w:fill="auto"/>
          </w:tcPr>
          <w:p w14:paraId="37625FA2" w14:textId="6965FEAF" w:rsidR="00B368F7" w:rsidRPr="0088114A" w:rsidRDefault="00EE5D61" w:rsidP="00207BF8">
            <w:pPr>
              <w:spacing w:before="120"/>
            </w:pPr>
            <w:r>
              <w:t>Personal Concessional Contributions</w:t>
            </w:r>
          </w:p>
        </w:tc>
      </w:tr>
      <w:tr w:rsidR="00B368F7" w:rsidRPr="0088114A" w14:paraId="12370B1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45402C" w14:textId="77777777" w:rsidR="00B368F7" w:rsidRPr="00E87AAA" w:rsidRDefault="00B368F7" w:rsidP="00E164DA">
            <w:pPr>
              <w:pStyle w:val="Instructions"/>
            </w:pPr>
            <w:r w:rsidRPr="00E87AAA">
              <w:t>Explanation</w:t>
            </w:r>
          </w:p>
        </w:tc>
        <w:tc>
          <w:tcPr>
            <w:tcW w:w="6798" w:type="dxa"/>
            <w:shd w:val="clear" w:color="auto" w:fill="auto"/>
          </w:tcPr>
          <w:p w14:paraId="3C35E829" w14:textId="45D9E5CA" w:rsidR="00EE5D61" w:rsidRPr="005F763D" w:rsidRDefault="00EE5D61" w:rsidP="00EE5D61">
            <w:pPr>
              <w:spacing w:before="120"/>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Concessional Contribution of $</w:t>
            </w:r>
            <w:r w:rsidRPr="005F763D">
              <w:rPr>
                <w:color w:val="FF0000"/>
              </w:rPr>
              <w:t>[__</w:t>
            </w:r>
            <w:proofErr w:type="gramStart"/>
            <w:r w:rsidRPr="005F763D">
              <w:rPr>
                <w:color w:val="FF0000"/>
              </w:rPr>
              <w:t>_,_</w:t>
            </w:r>
            <w:proofErr w:type="gramEnd"/>
            <w:r w:rsidRPr="005F763D">
              <w:rPr>
                <w:color w:val="FF0000"/>
              </w:rPr>
              <w:t>__]</w:t>
            </w:r>
            <w:r>
              <w:rPr>
                <w:color w:val="FF0000"/>
              </w:rPr>
              <w:t xml:space="preserve"> </w:t>
            </w:r>
            <w:r w:rsidRPr="005F763D">
              <w:t xml:space="preserve">this financial year into your </w:t>
            </w:r>
            <w:r w:rsidRPr="005F763D">
              <w:rPr>
                <w:color w:val="FF0000"/>
              </w:rPr>
              <w:t>[super fund]</w:t>
            </w:r>
            <w:r w:rsidRPr="005F763D">
              <w:t xml:space="preserve">.  This contribution will be sourced from </w:t>
            </w:r>
            <w:r w:rsidRPr="000D0191">
              <w:rPr>
                <w:color w:val="7030A0"/>
                <w:highlight w:val="yellow"/>
              </w:rPr>
              <w:t>[</w:t>
            </w:r>
            <w:r>
              <w:rPr>
                <w:color w:val="7030A0"/>
                <w:highlight w:val="yellow"/>
              </w:rPr>
              <w:t xml:space="preserve">source </w:t>
            </w:r>
            <w:proofErr w:type="spellStart"/>
            <w:r w:rsidR="00213BF3">
              <w:rPr>
                <w:color w:val="7030A0"/>
                <w:highlight w:val="yellow"/>
              </w:rPr>
              <w:t>eg.</w:t>
            </w:r>
            <w:proofErr w:type="spellEnd"/>
            <w:r w:rsidR="00213BF3" w:rsidRPr="000D0191">
              <w:rPr>
                <w:color w:val="7030A0"/>
                <w:highlight w:val="yellow"/>
              </w:rPr>
              <w:t xml:space="preserve"> your</w:t>
            </w:r>
            <w:r w:rsidRPr="000D0191">
              <w:rPr>
                <w:color w:val="7030A0"/>
                <w:highlight w:val="yellow"/>
              </w:rPr>
              <w:t xml:space="preserve"> cash reserves]</w:t>
            </w:r>
            <w:r w:rsidRPr="005F763D">
              <w:t>.</w:t>
            </w:r>
          </w:p>
          <w:p w14:paraId="59BBBC63" w14:textId="77777777" w:rsidR="00B368F7" w:rsidRPr="0088114A" w:rsidRDefault="00B368F7" w:rsidP="00207BF8">
            <w:pPr>
              <w:spacing w:before="120"/>
              <w:rPr>
                <w:sz w:val="18"/>
                <w:szCs w:val="18"/>
                <w:highlight w:val="yellow"/>
              </w:rPr>
            </w:pPr>
          </w:p>
        </w:tc>
      </w:tr>
      <w:tr w:rsidR="00B368F7" w:rsidRPr="00E87AAA" w14:paraId="7992FFF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4B14520" w14:textId="77777777" w:rsidR="00B368F7" w:rsidRPr="00E87AAA" w:rsidRDefault="00B368F7" w:rsidP="00E164DA">
            <w:pPr>
              <w:pStyle w:val="Instructions"/>
            </w:pPr>
            <w:r w:rsidRPr="00E87AAA">
              <w:t>In your Best Interest</w:t>
            </w:r>
          </w:p>
        </w:tc>
        <w:tc>
          <w:tcPr>
            <w:tcW w:w="6798" w:type="dxa"/>
            <w:shd w:val="clear" w:color="auto" w:fill="auto"/>
          </w:tcPr>
          <w:p w14:paraId="7FB5B94F" w14:textId="77777777" w:rsidR="00B368F7" w:rsidRPr="00E87AAA" w:rsidRDefault="00B368F7" w:rsidP="00207BF8">
            <w:pPr>
              <w:spacing w:before="120"/>
              <w:jc w:val="left"/>
              <w:rPr>
                <w:sz w:val="18"/>
                <w:szCs w:val="18"/>
                <w:highlight w:val="yellow"/>
              </w:rPr>
            </w:pPr>
          </w:p>
        </w:tc>
      </w:tr>
      <w:tr w:rsidR="00B368F7" w:rsidRPr="00E87AAA" w14:paraId="2E5AFEBE"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736328" w14:textId="77777777" w:rsidR="00B368F7" w:rsidRPr="00E87AAA" w:rsidRDefault="00B368F7" w:rsidP="00E164DA">
            <w:pPr>
              <w:pStyle w:val="Instructions"/>
            </w:pPr>
            <w:r>
              <w:t>Further Detail</w:t>
            </w:r>
          </w:p>
        </w:tc>
        <w:tc>
          <w:tcPr>
            <w:tcW w:w="6798" w:type="dxa"/>
            <w:shd w:val="clear" w:color="auto" w:fill="auto"/>
          </w:tcPr>
          <w:p w14:paraId="6283A03B" w14:textId="77777777" w:rsidR="00EE5D61" w:rsidRPr="005F763D" w:rsidRDefault="00EE5D61" w:rsidP="00EE5D61">
            <w:pPr>
              <w:jc w:val="left"/>
            </w:pPr>
            <w:r w:rsidRPr="005F763D">
              <w:t>Please note that Concessional Contributions incur contributions tax of 15%.  Therefore, your net contribution to superannuation will be $</w:t>
            </w:r>
            <w:r w:rsidRPr="005F763D">
              <w:rPr>
                <w:color w:val="FF0000"/>
              </w:rPr>
              <w:t>[__</w:t>
            </w:r>
            <w:proofErr w:type="gramStart"/>
            <w:r w:rsidRPr="005F763D">
              <w:rPr>
                <w:color w:val="FF0000"/>
              </w:rPr>
              <w:t>_,_</w:t>
            </w:r>
            <w:proofErr w:type="gramEnd"/>
            <w:r w:rsidRPr="005F763D">
              <w:rPr>
                <w:color w:val="FF0000"/>
              </w:rPr>
              <w:t>__]</w:t>
            </w:r>
            <w:r w:rsidRPr="005F763D">
              <w:t>.</w:t>
            </w:r>
          </w:p>
          <w:p w14:paraId="6EA6F4F0" w14:textId="77777777" w:rsidR="00EE5D61" w:rsidRPr="005F763D" w:rsidRDefault="00EE5D61" w:rsidP="00EE5D61">
            <w:pPr>
              <w:jc w:val="left"/>
            </w:pPr>
          </w:p>
          <w:p w14:paraId="160F7E8C" w14:textId="5F968E4A" w:rsidR="00EE5D61" w:rsidRPr="005F763D" w:rsidRDefault="00EE5D61" w:rsidP="00EE5D61">
            <w:pPr>
              <w:jc w:val="left"/>
            </w:pPr>
            <w:r w:rsidRPr="005F763D">
              <w:t xml:space="preserve">We believe that making a concessional contribution to superannuation </w:t>
            </w:r>
            <w:r w:rsidR="00213BF3">
              <w:t>typically</w:t>
            </w:r>
            <w:r>
              <w:t xml:space="preserve"> </w:t>
            </w:r>
            <w:r w:rsidRPr="005F763D">
              <w:t>meets your needs/objectives for the following reasons:</w:t>
            </w:r>
          </w:p>
          <w:p w14:paraId="6B766EF0" w14:textId="77777777" w:rsidR="00EE5D61" w:rsidRPr="005F763D" w:rsidRDefault="00EE5D61">
            <w:pPr>
              <w:pStyle w:val="InterPracBullet"/>
              <w:numPr>
                <w:ilvl w:val="0"/>
                <w:numId w:val="101"/>
              </w:numPr>
            </w:pPr>
            <w:r w:rsidRPr="005F763D">
              <w:t>Increasing your superannuation savings helps you save for retirement.</w:t>
            </w:r>
          </w:p>
          <w:p w14:paraId="398AE23A" w14:textId="77777777" w:rsidR="00EE5D61" w:rsidRPr="005F763D" w:rsidRDefault="00EE5D61">
            <w:pPr>
              <w:pStyle w:val="InterPracBullet"/>
              <w:numPr>
                <w:ilvl w:val="0"/>
                <w:numId w:val="101"/>
              </w:numPr>
            </w:pPr>
            <w:r w:rsidRPr="005F763D">
              <w:rPr>
                <w:rFonts w:cs="Calibri"/>
              </w:rPr>
              <w:t>Y</w:t>
            </w:r>
            <w:r w:rsidRPr="005F763D">
              <w:t xml:space="preserve">ou can claim </w:t>
            </w:r>
            <w:r w:rsidRPr="005F763D">
              <w:rPr>
                <w:rFonts w:cs="Calibri"/>
              </w:rPr>
              <w:t xml:space="preserve">a 100% personal tax deduction for the </w:t>
            </w:r>
            <w:r w:rsidRPr="005F763D">
              <w:t>Concessional Contributions to you make to superannuation</w:t>
            </w:r>
            <w:r w:rsidRPr="005F763D">
              <w:rPr>
                <w:rFonts w:cs="Calibri"/>
              </w:rPr>
              <w:t>.</w:t>
            </w:r>
          </w:p>
          <w:p w14:paraId="20159A6C" w14:textId="77777777" w:rsidR="00EE5D61" w:rsidRPr="000D0191" w:rsidRDefault="00EE5D61">
            <w:pPr>
              <w:pStyle w:val="InterPracBullet"/>
              <w:numPr>
                <w:ilvl w:val="0"/>
                <w:numId w:val="101"/>
              </w:numPr>
            </w:pPr>
            <w:r w:rsidRPr="005F763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77D1E26B" w14:textId="77777777" w:rsidR="00EE5D61" w:rsidRPr="005F763D" w:rsidRDefault="00EE5D61">
            <w:pPr>
              <w:pStyle w:val="InterPracBullet"/>
            </w:pPr>
            <w:r w:rsidRPr="005F763D">
              <w:t>In addition:</w:t>
            </w:r>
          </w:p>
          <w:p w14:paraId="49E8241F" w14:textId="77777777" w:rsidR="00EE5D61" w:rsidRPr="00B14A22" w:rsidRDefault="00EE5D61">
            <w:pPr>
              <w:pStyle w:val="InterPracBullet"/>
              <w:numPr>
                <w:ilvl w:val="0"/>
                <w:numId w:val="102"/>
              </w:numPr>
            </w:pPr>
            <w:r w:rsidRPr="00B14A22">
              <w:lastRenderedPageBreak/>
              <w:t>The Fund will be entitled to a refund of excess franking credits (if any), which can also improve the tax effectiveness of the investments in your Fund.</w:t>
            </w:r>
          </w:p>
          <w:p w14:paraId="69BE9FD6" w14:textId="77777777" w:rsidR="00EE5D61" w:rsidRPr="00B14A22" w:rsidRDefault="00EE5D61">
            <w:pPr>
              <w:pStyle w:val="InterPracBullet"/>
              <w:numPr>
                <w:ilvl w:val="0"/>
                <w:numId w:val="102"/>
              </w:numPr>
            </w:pPr>
            <w:r w:rsidRPr="00B14A22">
              <w:t>Any capital gains arising from the sale of an asset that has been held for at least 12 months will be concessionally taxed. In this case, only two thirds of the gain is taxable at 15%.  This effectively reduces the capital gains tax rate to 10%.</w:t>
            </w:r>
          </w:p>
          <w:p w14:paraId="5106C822" w14:textId="77777777" w:rsidR="00EE5D61" w:rsidRPr="005F763D" w:rsidRDefault="00EE5D61">
            <w:pPr>
              <w:pStyle w:val="InterPracBullet"/>
              <w:numPr>
                <w:ilvl w:val="0"/>
                <w:numId w:val="102"/>
              </w:numPr>
            </w:pPr>
            <w:r w:rsidRPr="005F763D">
              <w:t>These concessional tax rates will help your overall superannuation savings grow faster.</w:t>
            </w:r>
          </w:p>
          <w:p w14:paraId="0C388FB4" w14:textId="77777777" w:rsidR="00EE5D61" w:rsidRPr="005F763D" w:rsidRDefault="00EE5D61" w:rsidP="00EE5D61">
            <w:pPr>
              <w:jc w:val="left"/>
            </w:pPr>
          </w:p>
          <w:p w14:paraId="70EDAD93" w14:textId="77777777" w:rsidR="00EE5D61" w:rsidRPr="005F763D" w:rsidRDefault="00EE5D61" w:rsidP="00EE5D61">
            <w:pPr>
              <w:jc w:val="left"/>
            </w:pPr>
            <w:r w:rsidRPr="005F763D">
              <w:t>Before proceeding you should note the following:</w:t>
            </w:r>
          </w:p>
          <w:p w14:paraId="6928E1A7" w14:textId="77777777" w:rsidR="00EE5D61" w:rsidRPr="005F763D" w:rsidRDefault="00EE5D61">
            <w:pPr>
              <w:pStyle w:val="InterPracBullet"/>
              <w:numPr>
                <w:ilvl w:val="0"/>
                <w:numId w:val="103"/>
              </w:numPr>
            </w:pPr>
            <w:r w:rsidRPr="005F763D">
              <w:t>Funds invested within the superannuation environment are subject to preservation rules are not generally accessible until you satisfy a condition of release such as retirement or reaching age 65.</w:t>
            </w:r>
          </w:p>
          <w:p w14:paraId="6065AA3E" w14:textId="77777777" w:rsidR="00EE5D61" w:rsidRDefault="00EE5D61">
            <w:pPr>
              <w:pStyle w:val="InterPracBullet"/>
              <w:numPr>
                <w:ilvl w:val="0"/>
                <w:numId w:val="103"/>
              </w:numPr>
            </w:pPr>
            <w:r w:rsidRPr="005F763D">
              <w:t>Making concessional contributions to super will incur 15% contributions tax on the contribution.</w:t>
            </w:r>
          </w:p>
          <w:p w14:paraId="3740FFEA" w14:textId="77777777" w:rsidR="00EE5D61" w:rsidRPr="005F763D" w:rsidRDefault="00EE5D61">
            <w:pPr>
              <w:pStyle w:val="InterPracBullet"/>
              <w:numPr>
                <w:ilvl w:val="0"/>
                <w:numId w:val="103"/>
              </w:numPr>
            </w:pPr>
            <w:r>
              <w:rPr>
                <w:lang w:val="en-AU"/>
              </w:rPr>
              <w:t>C</w:t>
            </w:r>
            <w:proofErr w:type="spellStart"/>
            <w:r w:rsidRPr="005F763D">
              <w:t>oncessional</w:t>
            </w:r>
            <w:proofErr w:type="spellEnd"/>
            <w:r w:rsidRPr="005F763D">
              <w:t xml:space="preserve"> contributions are limited to $</w:t>
            </w:r>
            <w:r>
              <w:rPr>
                <w:lang w:val="en-AU"/>
              </w:rPr>
              <w:t>25</w:t>
            </w:r>
            <w:r w:rsidRPr="005F763D">
              <w:t>,000 per annum.  Excess concessional arising from contributions can be refunded.  These amounts will be added to your assessable income and taxed at your marginal tax rate (less 15%</w:t>
            </w:r>
            <w:r>
              <w:rPr>
                <w:lang w:val="en-AU"/>
              </w:rPr>
              <w:t>)</w:t>
            </w:r>
            <w:r w:rsidRPr="005F763D">
              <w:t xml:space="preserve"> plus penalties.</w:t>
            </w:r>
          </w:p>
          <w:p w14:paraId="53A6835B" w14:textId="5D6520D8" w:rsidR="00EE5D61" w:rsidRDefault="00EE5D61">
            <w:pPr>
              <w:pStyle w:val="InterPracBullet"/>
              <w:numPr>
                <w:ilvl w:val="0"/>
                <w:numId w:val="103"/>
              </w:numPr>
            </w:pPr>
            <w:r w:rsidRPr="005F763D">
              <w:t>In order to claim a tax deduction for this contribution, you will need to complete a ‘Section 290’ notice.  This needs to be completed within a specified timeframe and you should work with your tax adviser to ensure these requirements are met.  If you do not fulfil these requirements, you will not be able to claim the tax deduction.</w:t>
            </w:r>
          </w:p>
          <w:p w14:paraId="3DB8388F" w14:textId="3CFAF958" w:rsidR="00EE5D61" w:rsidRPr="00E11BDB" w:rsidRDefault="00EE5D61">
            <w:pPr>
              <w:pStyle w:val="InterPracBullet"/>
              <w:numPr>
                <w:ilvl w:val="0"/>
                <w:numId w:val="103"/>
              </w:numPr>
            </w:pPr>
            <w:r w:rsidRPr="00E11BDB">
              <w:t>As your total income</w:t>
            </w:r>
            <w:r w:rsidR="00AF552E">
              <w:rPr>
                <w:lang w:val="en-US"/>
              </w:rPr>
              <w:t xml:space="preserve"> (including taxable </w:t>
            </w:r>
            <w:proofErr w:type="spellStart"/>
            <w:r w:rsidR="00AF552E">
              <w:rPr>
                <w:lang w:val="en-US"/>
              </w:rPr>
              <w:t>superannution</w:t>
            </w:r>
            <w:proofErr w:type="spellEnd"/>
            <w:r w:rsidR="00AF552E">
              <w:rPr>
                <w:lang w:val="en-US"/>
              </w:rPr>
              <w:t xml:space="preserve"> contributions)</w:t>
            </w:r>
            <w:r w:rsidRPr="00E11BDB">
              <w:t xml:space="preserve"> is expected to exceed $250,000, your concessional contributions (up to your concessional contributions cap) will incur an additional 15% contributions tax.</w:t>
            </w:r>
          </w:p>
          <w:p w14:paraId="40AFABB4" w14:textId="77777777" w:rsidR="00B368F7" w:rsidRPr="00E87AAA" w:rsidRDefault="00B368F7" w:rsidP="00207BF8">
            <w:pPr>
              <w:spacing w:before="120"/>
              <w:jc w:val="left"/>
              <w:rPr>
                <w:sz w:val="18"/>
                <w:szCs w:val="18"/>
                <w:highlight w:val="yellow"/>
              </w:rPr>
            </w:pPr>
          </w:p>
        </w:tc>
      </w:tr>
    </w:tbl>
    <w:p w14:paraId="06669B80" w14:textId="77777777" w:rsidR="00B368F7" w:rsidRPr="005F763D" w:rsidRDefault="00B368F7" w:rsidP="008C7CE9">
      <w:pPr>
        <w:jc w:val="left"/>
        <w:rPr>
          <w:color w:val="002060"/>
          <w:sz w:val="24"/>
        </w:rPr>
      </w:pPr>
    </w:p>
    <w:p w14:paraId="0A544F97" w14:textId="77777777" w:rsidR="00D06163" w:rsidRPr="005F763D" w:rsidRDefault="00D06163" w:rsidP="008C7CE9">
      <w:pPr>
        <w:jc w:val="left"/>
      </w:pPr>
    </w:p>
    <w:bookmarkEnd w:id="95"/>
    <w:p w14:paraId="2C0A93C3" w14:textId="77777777" w:rsidR="00F451E2" w:rsidRPr="005F763D" w:rsidRDefault="00F451E2" w:rsidP="008C7CE9">
      <w:pPr>
        <w:jc w:val="left"/>
      </w:pPr>
    </w:p>
    <w:p w14:paraId="6562C4CF" w14:textId="77777777" w:rsidR="00B14A22" w:rsidRDefault="00B14A22" w:rsidP="008C7CE9">
      <w:pPr>
        <w:jc w:val="left"/>
        <w:rPr>
          <w:color w:val="002060"/>
          <w:sz w:val="24"/>
        </w:rPr>
        <w:sectPr w:rsidR="00B14A22" w:rsidSect="008C0AC7">
          <w:type w:val="continuous"/>
          <w:pgSz w:w="11906" w:h="16838" w:code="9"/>
          <w:pgMar w:top="1134" w:right="566" w:bottom="426" w:left="709" w:header="567" w:footer="95" w:gutter="0"/>
          <w:cols w:space="708"/>
          <w:docGrid w:linePitch="360"/>
        </w:sectPr>
      </w:pPr>
      <w:bookmarkStart w:id="96" w:name="_Hlk485721101"/>
    </w:p>
    <w:p w14:paraId="2CD3629A" w14:textId="618C7B4B" w:rsidR="00D06163" w:rsidRPr="005F763D" w:rsidRDefault="00D06163" w:rsidP="008C7CE9">
      <w:pPr>
        <w:jc w:val="left"/>
        <w:rPr>
          <w:color w:val="002060"/>
          <w:sz w:val="24"/>
        </w:rPr>
      </w:pPr>
      <w:r w:rsidRPr="005F763D">
        <w:rPr>
          <w:color w:val="002060"/>
          <w:sz w:val="24"/>
        </w:rPr>
        <w:t>Personal Non-Concessional Contributions</w:t>
      </w:r>
    </w:p>
    <w:p w14:paraId="447A81B7" w14:textId="2898098E"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B368F7" w:rsidRPr="00E51BEA" w14:paraId="79CB8F7E"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F7C756B"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4B1886E" w14:textId="77777777" w:rsidR="00B368F7" w:rsidRPr="00E51BEA" w:rsidRDefault="00B368F7" w:rsidP="00207BF8">
            <w:pPr>
              <w:pStyle w:val="TableHeader2"/>
              <w:rPr>
                <w:rFonts w:ascii="Calibri Light" w:hAnsi="Calibri Light"/>
              </w:rPr>
            </w:pPr>
          </w:p>
        </w:tc>
      </w:tr>
      <w:tr w:rsidR="00B368F7" w:rsidRPr="0088114A" w14:paraId="792D7B4B"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14CC312" w14:textId="77777777" w:rsidR="00B368F7" w:rsidRPr="00E87AAA" w:rsidRDefault="00B368F7" w:rsidP="00E164DA">
            <w:pPr>
              <w:pStyle w:val="Instructions"/>
            </w:pPr>
            <w:r w:rsidRPr="00E87AAA">
              <w:t>Title</w:t>
            </w:r>
          </w:p>
        </w:tc>
        <w:tc>
          <w:tcPr>
            <w:tcW w:w="6798" w:type="dxa"/>
            <w:shd w:val="clear" w:color="auto" w:fill="auto"/>
          </w:tcPr>
          <w:p w14:paraId="48E44B67" w14:textId="332E5A40" w:rsidR="00B368F7" w:rsidRPr="0088114A" w:rsidRDefault="00C5127B" w:rsidP="00207BF8">
            <w:pPr>
              <w:spacing w:before="120"/>
            </w:pPr>
            <w:r>
              <w:t>Personal Non-Concessional Contributions</w:t>
            </w:r>
          </w:p>
        </w:tc>
      </w:tr>
      <w:tr w:rsidR="00B368F7" w:rsidRPr="0088114A" w14:paraId="725B21AE"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0DFD405" w14:textId="77777777" w:rsidR="00B368F7" w:rsidRPr="00E87AAA" w:rsidRDefault="00B368F7" w:rsidP="00E164DA">
            <w:pPr>
              <w:pStyle w:val="Instructions"/>
            </w:pPr>
            <w:r w:rsidRPr="00E87AAA">
              <w:t>Explanation</w:t>
            </w:r>
          </w:p>
        </w:tc>
        <w:tc>
          <w:tcPr>
            <w:tcW w:w="6798" w:type="dxa"/>
            <w:shd w:val="clear" w:color="auto" w:fill="auto"/>
          </w:tcPr>
          <w:p w14:paraId="3766C03D" w14:textId="3EDE1C43" w:rsidR="00C5127B" w:rsidRPr="005F763D" w:rsidRDefault="00C5127B" w:rsidP="00C5127B">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proofErr w:type="gramStart"/>
            <w:r>
              <w:rPr>
                <w:color w:val="FF0000"/>
              </w:rPr>
              <w:t>]</w:t>
            </w:r>
            <w:r w:rsidRPr="005F763D">
              <w:t>,  we</w:t>
            </w:r>
            <w:proofErr w:type="gramEnd"/>
            <w:r w:rsidRPr="005F763D">
              <w:t xml:space="preserve"> recommend you make a Non-Concessional Contribution of $</w:t>
            </w:r>
            <w:r w:rsidRPr="005F763D">
              <w:rPr>
                <w:color w:val="FF0000"/>
              </w:rPr>
              <w:t>[___,___]</w:t>
            </w:r>
            <w:r w:rsidRPr="005F763D">
              <w:t xml:space="preserve"> this financial year into your </w:t>
            </w:r>
            <w:r w:rsidRPr="005F763D">
              <w:rPr>
                <w:color w:val="FF0000"/>
              </w:rPr>
              <w:t>[super fund]</w:t>
            </w:r>
            <w:r w:rsidRPr="005F763D">
              <w:t xml:space="preserve">.  This contribution will be sourced from </w:t>
            </w:r>
            <w:r w:rsidRPr="000D0191">
              <w:rPr>
                <w:color w:val="7030A0"/>
                <w:highlight w:val="yellow"/>
              </w:rPr>
              <w:t>[</w:t>
            </w:r>
            <w:r w:rsidRPr="00C95ECF">
              <w:rPr>
                <w:color w:val="7030A0"/>
                <w:highlight w:val="yellow"/>
              </w:rPr>
              <w:t xml:space="preserve">source </w:t>
            </w:r>
            <w:proofErr w:type="spellStart"/>
            <w:r w:rsidR="00213BF3" w:rsidRPr="00C95ECF">
              <w:rPr>
                <w:color w:val="7030A0"/>
                <w:highlight w:val="yellow"/>
              </w:rPr>
              <w:t>eg.</w:t>
            </w:r>
            <w:proofErr w:type="spellEnd"/>
            <w:r w:rsidR="00213BF3" w:rsidRPr="00C95ECF">
              <w:rPr>
                <w:color w:val="7030A0"/>
                <w:highlight w:val="yellow"/>
              </w:rPr>
              <w:t xml:space="preserve"> your</w:t>
            </w:r>
            <w:r w:rsidRPr="00C95ECF">
              <w:rPr>
                <w:color w:val="7030A0"/>
                <w:highlight w:val="yellow"/>
              </w:rPr>
              <w:t xml:space="preserve"> cash reserves</w:t>
            </w:r>
            <w:r w:rsidRPr="000D0191">
              <w:rPr>
                <w:color w:val="7030A0"/>
                <w:highlight w:val="yellow"/>
              </w:rPr>
              <w:t>]</w:t>
            </w:r>
            <w:r w:rsidRPr="005F763D">
              <w:t>.</w:t>
            </w:r>
          </w:p>
          <w:p w14:paraId="05D5B3B0" w14:textId="77777777" w:rsidR="00B368F7" w:rsidRPr="0088114A" w:rsidRDefault="00B368F7" w:rsidP="00207BF8">
            <w:pPr>
              <w:spacing w:before="120"/>
              <w:rPr>
                <w:sz w:val="18"/>
                <w:szCs w:val="18"/>
                <w:highlight w:val="yellow"/>
              </w:rPr>
            </w:pPr>
          </w:p>
        </w:tc>
      </w:tr>
      <w:tr w:rsidR="00B368F7" w:rsidRPr="00E87AAA" w14:paraId="3BE2D336"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D27F9A3" w14:textId="77777777" w:rsidR="00B368F7" w:rsidRPr="00E87AAA" w:rsidRDefault="00B368F7" w:rsidP="00E164DA">
            <w:pPr>
              <w:pStyle w:val="Instructions"/>
            </w:pPr>
            <w:r w:rsidRPr="00E87AAA">
              <w:t>In your Best Interest</w:t>
            </w:r>
          </w:p>
        </w:tc>
        <w:tc>
          <w:tcPr>
            <w:tcW w:w="6798" w:type="dxa"/>
            <w:shd w:val="clear" w:color="auto" w:fill="auto"/>
          </w:tcPr>
          <w:p w14:paraId="71A0AB91" w14:textId="77777777" w:rsidR="00B368F7" w:rsidRPr="00E87AAA" w:rsidRDefault="00B368F7" w:rsidP="00207BF8">
            <w:pPr>
              <w:spacing w:before="120"/>
              <w:jc w:val="left"/>
              <w:rPr>
                <w:sz w:val="18"/>
                <w:szCs w:val="18"/>
                <w:highlight w:val="yellow"/>
              </w:rPr>
            </w:pPr>
          </w:p>
        </w:tc>
      </w:tr>
      <w:tr w:rsidR="00B368F7" w:rsidRPr="00E87AAA" w14:paraId="134B36B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7CD8A13" w14:textId="77777777" w:rsidR="00B368F7" w:rsidRPr="00E87AAA" w:rsidRDefault="00B368F7" w:rsidP="00E164DA">
            <w:pPr>
              <w:pStyle w:val="Instructions"/>
            </w:pPr>
            <w:r>
              <w:t>Further Detail</w:t>
            </w:r>
          </w:p>
        </w:tc>
        <w:tc>
          <w:tcPr>
            <w:tcW w:w="6798" w:type="dxa"/>
            <w:shd w:val="clear" w:color="auto" w:fill="auto"/>
          </w:tcPr>
          <w:p w14:paraId="4E19DC5D" w14:textId="064481AE" w:rsidR="00C5127B" w:rsidRPr="005F763D" w:rsidRDefault="00C5127B" w:rsidP="00C5127B">
            <w:pPr>
              <w:jc w:val="left"/>
            </w:pPr>
            <w:r w:rsidRPr="00AA49AA">
              <w:t>We believe that making a non-concessional contribution to superannuation typically meets your needs/objectives for the following reasons:</w:t>
            </w:r>
          </w:p>
          <w:p w14:paraId="5127B446" w14:textId="5F27E744" w:rsidR="00C5127B" w:rsidRPr="005F763D" w:rsidRDefault="00C5127B">
            <w:pPr>
              <w:pStyle w:val="InterPracBullet"/>
              <w:numPr>
                <w:ilvl w:val="0"/>
                <w:numId w:val="104"/>
              </w:numPr>
            </w:pPr>
            <w:r w:rsidRPr="005F763D">
              <w:t>Increasing your superannuation savings helps you save for retirement.</w:t>
            </w:r>
          </w:p>
          <w:p w14:paraId="7B3BCF1F" w14:textId="18E004AE" w:rsidR="00C5127B" w:rsidRPr="005F763D" w:rsidRDefault="00C5127B">
            <w:pPr>
              <w:pStyle w:val="InterPracBullet"/>
              <w:numPr>
                <w:ilvl w:val="0"/>
                <w:numId w:val="104"/>
              </w:numPr>
            </w:pPr>
            <w:r w:rsidRPr="005F763D">
              <w:t>Contributions made with after tax dollars will form part of the tax-free component of your super, and will be tax-free upon withdrawal.</w:t>
            </w:r>
          </w:p>
          <w:p w14:paraId="4085D578" w14:textId="44C0A2B7" w:rsidR="00C5127B" w:rsidRDefault="00C5127B">
            <w:pPr>
              <w:pStyle w:val="InterPracBullet"/>
              <w:numPr>
                <w:ilvl w:val="0"/>
                <w:numId w:val="104"/>
              </w:numPr>
            </w:pPr>
            <w:r w:rsidRPr="005F763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321D34CC" w14:textId="77777777" w:rsidR="000D7E43" w:rsidRDefault="000D7E43">
            <w:pPr>
              <w:pStyle w:val="InterPracBullet"/>
            </w:pPr>
          </w:p>
          <w:p w14:paraId="1EDCEBC9" w14:textId="22AF174A" w:rsidR="000D7E43" w:rsidRPr="005F763D" w:rsidRDefault="000D7E43">
            <w:pPr>
              <w:pStyle w:val="InterPracBullet"/>
            </w:pPr>
            <w:r w:rsidRPr="005F763D">
              <w:t>In addition:</w:t>
            </w:r>
          </w:p>
          <w:p w14:paraId="1C4E4AD3" w14:textId="77777777" w:rsidR="000D7E43" w:rsidRPr="00B14A22" w:rsidRDefault="000D7E43">
            <w:pPr>
              <w:pStyle w:val="InterPracBullet"/>
              <w:numPr>
                <w:ilvl w:val="0"/>
                <w:numId w:val="105"/>
              </w:numPr>
            </w:pPr>
            <w:r w:rsidRPr="000D0191">
              <w:lastRenderedPageBreak/>
              <w:t>The Fund will be entitled to a refund of excess franking credits (if any), which can also improve the tax effectiveness of the investments in your Fund.</w:t>
            </w:r>
          </w:p>
          <w:p w14:paraId="02993B1A" w14:textId="77777777" w:rsidR="000D7E43" w:rsidRPr="00B14A22" w:rsidRDefault="000D7E43">
            <w:pPr>
              <w:pStyle w:val="InterPracBullet"/>
              <w:numPr>
                <w:ilvl w:val="0"/>
                <w:numId w:val="105"/>
              </w:numPr>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4B7CFBA2" w14:textId="77777777" w:rsidR="000D7E43" w:rsidRPr="005F763D" w:rsidRDefault="000D7E43">
            <w:pPr>
              <w:pStyle w:val="InterPracBullet"/>
              <w:numPr>
                <w:ilvl w:val="0"/>
                <w:numId w:val="105"/>
              </w:numPr>
            </w:pPr>
            <w:r w:rsidRPr="005F763D">
              <w:t>These concessional tax rates will help your overall superannuation savings grow faster.</w:t>
            </w:r>
          </w:p>
          <w:p w14:paraId="22FEFF49" w14:textId="77777777" w:rsidR="004B33B2" w:rsidRDefault="004B33B2" w:rsidP="002A44CA">
            <w:pPr>
              <w:jc w:val="left"/>
            </w:pPr>
          </w:p>
          <w:p w14:paraId="75A0E2CC" w14:textId="6F336D8F" w:rsidR="002A44CA" w:rsidRPr="005F763D" w:rsidRDefault="002A44CA" w:rsidP="002A44CA">
            <w:pPr>
              <w:jc w:val="left"/>
            </w:pPr>
            <w:r w:rsidRPr="005F763D">
              <w:t>Before proceeding you should note the following:</w:t>
            </w:r>
          </w:p>
          <w:p w14:paraId="3829959C" w14:textId="77777777" w:rsidR="002A44CA" w:rsidRPr="005F763D" w:rsidRDefault="002A44CA">
            <w:pPr>
              <w:pStyle w:val="InterPracBullet"/>
              <w:numPr>
                <w:ilvl w:val="0"/>
                <w:numId w:val="106"/>
              </w:numPr>
            </w:pPr>
            <w:r w:rsidRPr="000D0191">
              <w:t>Funds invested within the superannuation environment are subject to preservation rules are not generally accessible until you satisfy a condition of release such as retirement or reaching age 65.</w:t>
            </w:r>
          </w:p>
          <w:p w14:paraId="2E5D51EC" w14:textId="77777777" w:rsidR="002A44CA" w:rsidRDefault="002A44CA">
            <w:pPr>
              <w:pStyle w:val="InterPracBullet"/>
              <w:numPr>
                <w:ilvl w:val="0"/>
                <w:numId w:val="106"/>
              </w:numPr>
            </w:pPr>
            <w:r w:rsidRPr="005F763D">
              <w:t>Legislation limits non-concessional contributions to $1</w:t>
            </w:r>
            <w:r>
              <w:t>0</w:t>
            </w:r>
            <w:r w:rsidRPr="005F763D">
              <w:t xml:space="preserve">0,000 per financial year or, if eligible, at a maximum </w:t>
            </w:r>
            <w:commentRangeStart w:id="97"/>
            <w:r w:rsidRPr="005F763D">
              <w:t>of</w:t>
            </w:r>
            <w:commentRangeEnd w:id="97"/>
            <w:r w:rsidR="00FB0CB5">
              <w:rPr>
                <w:rStyle w:val="CommentReference"/>
                <w:rFonts w:eastAsia="MS Mincho"/>
                <w:lang w:val="en-AU" w:eastAsia="ja-JP"/>
              </w:rPr>
              <w:commentReference w:id="97"/>
            </w:r>
            <w:r w:rsidRPr="005F763D">
              <w:t xml:space="preserve"> $</w:t>
            </w:r>
            <w:r>
              <w:t>30</w:t>
            </w:r>
            <w:r w:rsidRPr="005F763D">
              <w:t xml:space="preserve">0,000 </w:t>
            </w:r>
            <w:r w:rsidRPr="000D0191">
              <w:t xml:space="preserve">‘bring forward’ </w:t>
            </w:r>
            <w:r w:rsidRPr="005F763D">
              <w:t xml:space="preserve">over a period of three financial years.  </w:t>
            </w:r>
          </w:p>
          <w:p w14:paraId="4D1C92D1" w14:textId="77777777" w:rsidR="002A44CA" w:rsidRDefault="002A44CA">
            <w:pPr>
              <w:pStyle w:val="InterPracBullet"/>
              <w:numPr>
                <w:ilvl w:val="0"/>
                <w:numId w:val="106"/>
              </w:numPr>
            </w:pPr>
            <w:r w:rsidRPr="005F763D">
              <w:t>Amounts contributed in excess of the limit will be subject to tax at 4</w:t>
            </w:r>
            <w:r>
              <w:t>5</w:t>
            </w:r>
            <w:r w:rsidRPr="005F763D">
              <w:t>%</w:t>
            </w:r>
            <w:r>
              <w:t xml:space="preserve"> plus </w:t>
            </w:r>
            <w:proofErr w:type="spellStart"/>
            <w:r>
              <w:t>medicare</w:t>
            </w:r>
            <w:proofErr w:type="spellEnd"/>
            <w:r>
              <w:t xml:space="preserve"> levy if an election is not made to have the excess refunded</w:t>
            </w:r>
            <w:r w:rsidRPr="005F763D">
              <w:t>.</w:t>
            </w:r>
            <w:r>
              <w:t xml:space="preserve"> If an election to refund is made, then penalty taxation will be imposed on an amount of notional earnings.</w:t>
            </w:r>
          </w:p>
          <w:p w14:paraId="5C392BB9" w14:textId="0D269167" w:rsidR="002A44CA" w:rsidRPr="00A76FEB" w:rsidRDefault="00213BF3">
            <w:pPr>
              <w:pStyle w:val="InterPracBullet"/>
            </w:pPr>
            <w:proofErr w:type="spellStart"/>
            <w:r>
              <w:rPr>
                <w:lang w:val="en-AU"/>
              </w:rPr>
              <w:t>N</w:t>
            </w:r>
            <w:r>
              <w:t>o</w:t>
            </w:r>
            <w:proofErr w:type="spellEnd"/>
            <w:r w:rsidR="002A44CA">
              <w:t xml:space="preserve"> NCC can be made</w:t>
            </w:r>
            <w:r w:rsidR="002A44CA">
              <w:rPr>
                <w:lang w:val="en-AU"/>
              </w:rPr>
              <w:t xml:space="preserve"> unless</w:t>
            </w:r>
            <w:r w:rsidR="002A44CA">
              <w:t xml:space="preserve"> one’s Total Super Balance (TSB)</w:t>
            </w:r>
            <w:r w:rsidR="002A44CA">
              <w:rPr>
                <w:lang w:val="en-AU"/>
              </w:rPr>
              <w:t xml:space="preserve"> at 30 June 201</w:t>
            </w:r>
            <w:r w:rsidR="00FB0CB5">
              <w:rPr>
                <w:lang w:val="en-AU"/>
              </w:rPr>
              <w:t>8</w:t>
            </w:r>
            <w:r w:rsidR="002A44CA">
              <w:t xml:space="preserve"> is less than $1.6m.</w:t>
            </w:r>
          </w:p>
          <w:tbl>
            <w:tblPr>
              <w:tblStyle w:val="TableGrid"/>
              <w:tblW w:w="0" w:type="auto"/>
              <w:tblLook w:val="04A0" w:firstRow="1" w:lastRow="0" w:firstColumn="1" w:lastColumn="0" w:noHBand="0" w:noVBand="1"/>
            </w:tblPr>
            <w:tblGrid>
              <w:gridCol w:w="2331"/>
              <w:gridCol w:w="2049"/>
              <w:gridCol w:w="2192"/>
            </w:tblGrid>
            <w:tr w:rsidR="002A44CA" w14:paraId="0E048ECB" w14:textId="77777777" w:rsidTr="008F2C4E">
              <w:tc>
                <w:tcPr>
                  <w:tcW w:w="3209" w:type="dxa"/>
                </w:tcPr>
                <w:p w14:paraId="184F4335" w14:textId="77777777" w:rsidR="002A44CA" w:rsidRDefault="002A44CA" w:rsidP="002A44CA">
                  <w:pPr>
                    <w:spacing w:after="120"/>
                    <w:jc w:val="center"/>
                  </w:pPr>
                  <w:r>
                    <w:t xml:space="preserve">Total Superannuation Balance </w:t>
                  </w:r>
                </w:p>
                <w:p w14:paraId="33D20A6B" w14:textId="77777777" w:rsidR="002A44CA" w:rsidRDefault="002A44CA" w:rsidP="002A44CA">
                  <w:pPr>
                    <w:spacing w:after="120"/>
                    <w:jc w:val="center"/>
                  </w:pPr>
                  <w:r>
                    <w:t xml:space="preserve">prior to relevant 30 June </w:t>
                  </w:r>
                </w:p>
              </w:tc>
              <w:tc>
                <w:tcPr>
                  <w:tcW w:w="3209" w:type="dxa"/>
                </w:tcPr>
                <w:p w14:paraId="1BE66D43" w14:textId="77777777" w:rsidR="002A44CA" w:rsidRDefault="002A44CA" w:rsidP="002A44CA">
                  <w:pPr>
                    <w:spacing w:after="120"/>
                    <w:jc w:val="center"/>
                  </w:pPr>
                  <w:r>
                    <w:t xml:space="preserve">NCC for First financial year </w:t>
                  </w:r>
                </w:p>
                <w:p w14:paraId="71FA5444" w14:textId="77777777" w:rsidR="002A44CA" w:rsidRDefault="002A44CA" w:rsidP="002A44CA">
                  <w:pPr>
                    <w:spacing w:after="120"/>
                    <w:jc w:val="center"/>
                  </w:pPr>
                  <w:r>
                    <w:t>of the Bring Forward Period</w:t>
                  </w:r>
                </w:p>
              </w:tc>
              <w:tc>
                <w:tcPr>
                  <w:tcW w:w="3210" w:type="dxa"/>
                </w:tcPr>
                <w:p w14:paraId="2B7FA5FF" w14:textId="77777777" w:rsidR="002A44CA" w:rsidRDefault="002A44CA" w:rsidP="002A44CA">
                  <w:pPr>
                    <w:spacing w:after="120"/>
                    <w:jc w:val="center"/>
                  </w:pPr>
                  <w:r>
                    <w:t xml:space="preserve">Total Bring Forward Period </w:t>
                  </w:r>
                </w:p>
                <w:p w14:paraId="5B0FF3B0" w14:textId="77777777" w:rsidR="002A44CA" w:rsidRDefault="002A44CA" w:rsidP="002A44CA">
                  <w:pPr>
                    <w:spacing w:after="120"/>
                    <w:jc w:val="center"/>
                  </w:pPr>
                  <w:r>
                    <w:t>to make this Contribution</w:t>
                  </w:r>
                </w:p>
              </w:tc>
            </w:tr>
            <w:tr w:rsidR="002A44CA" w14:paraId="5DAED42A" w14:textId="77777777" w:rsidTr="008F2C4E">
              <w:tc>
                <w:tcPr>
                  <w:tcW w:w="3209" w:type="dxa"/>
                </w:tcPr>
                <w:p w14:paraId="5FE6ABC7" w14:textId="77777777" w:rsidR="002A44CA" w:rsidRDefault="002A44CA" w:rsidP="002A44CA">
                  <w:pPr>
                    <w:spacing w:after="120"/>
                  </w:pPr>
                  <w:r>
                    <w:t>Less than $1.4 million</w:t>
                  </w:r>
                </w:p>
              </w:tc>
              <w:tc>
                <w:tcPr>
                  <w:tcW w:w="3209" w:type="dxa"/>
                </w:tcPr>
                <w:p w14:paraId="2F58EDAD" w14:textId="77777777" w:rsidR="002A44CA" w:rsidRDefault="002A44CA" w:rsidP="002A44CA">
                  <w:pPr>
                    <w:spacing w:after="120"/>
                    <w:jc w:val="center"/>
                  </w:pPr>
                  <w:r>
                    <w:t>$300,000</w:t>
                  </w:r>
                </w:p>
              </w:tc>
              <w:tc>
                <w:tcPr>
                  <w:tcW w:w="3210" w:type="dxa"/>
                </w:tcPr>
                <w:p w14:paraId="01A2CD69" w14:textId="77777777" w:rsidR="002A44CA" w:rsidRDefault="002A44CA" w:rsidP="002A44CA">
                  <w:pPr>
                    <w:spacing w:after="120"/>
                    <w:jc w:val="center"/>
                  </w:pPr>
                  <w:r>
                    <w:t>3 years</w:t>
                  </w:r>
                </w:p>
              </w:tc>
            </w:tr>
            <w:tr w:rsidR="002A44CA" w14:paraId="1DA7CF0B" w14:textId="77777777" w:rsidTr="008F2C4E">
              <w:tc>
                <w:tcPr>
                  <w:tcW w:w="3209" w:type="dxa"/>
                </w:tcPr>
                <w:p w14:paraId="170E30BE" w14:textId="77777777" w:rsidR="002A44CA" w:rsidRDefault="002A44CA" w:rsidP="002A44CA">
                  <w:pPr>
                    <w:spacing w:after="120"/>
                  </w:pPr>
                  <w:r>
                    <w:t>Between $1.4 million to $1.5 million</w:t>
                  </w:r>
                </w:p>
              </w:tc>
              <w:tc>
                <w:tcPr>
                  <w:tcW w:w="3209" w:type="dxa"/>
                </w:tcPr>
                <w:p w14:paraId="1670B408" w14:textId="77777777" w:rsidR="002A44CA" w:rsidRDefault="002A44CA" w:rsidP="002A44CA">
                  <w:pPr>
                    <w:spacing w:after="120"/>
                    <w:jc w:val="center"/>
                  </w:pPr>
                  <w:r>
                    <w:t>$200,000</w:t>
                  </w:r>
                </w:p>
              </w:tc>
              <w:tc>
                <w:tcPr>
                  <w:tcW w:w="3210" w:type="dxa"/>
                </w:tcPr>
                <w:p w14:paraId="7CB7438F" w14:textId="77777777" w:rsidR="002A44CA" w:rsidRDefault="002A44CA" w:rsidP="002A44CA">
                  <w:pPr>
                    <w:spacing w:after="120"/>
                    <w:jc w:val="center"/>
                  </w:pPr>
                  <w:r>
                    <w:t>2 years</w:t>
                  </w:r>
                </w:p>
              </w:tc>
            </w:tr>
            <w:tr w:rsidR="002A44CA" w14:paraId="49537521" w14:textId="77777777" w:rsidTr="008F2C4E">
              <w:tc>
                <w:tcPr>
                  <w:tcW w:w="3209" w:type="dxa"/>
                </w:tcPr>
                <w:p w14:paraId="49BEA9D8" w14:textId="77777777" w:rsidR="002A44CA" w:rsidRDefault="002A44CA" w:rsidP="002A44CA">
                  <w:pPr>
                    <w:spacing w:after="120"/>
                  </w:pPr>
                  <w:r>
                    <w:t>Between $1.5 million to $1.6 million</w:t>
                  </w:r>
                </w:p>
              </w:tc>
              <w:tc>
                <w:tcPr>
                  <w:tcW w:w="3209" w:type="dxa"/>
                </w:tcPr>
                <w:p w14:paraId="32869CEF" w14:textId="77777777" w:rsidR="002A44CA" w:rsidRDefault="002A44CA" w:rsidP="002A44CA">
                  <w:pPr>
                    <w:spacing w:after="120"/>
                    <w:jc w:val="center"/>
                  </w:pPr>
                  <w:r>
                    <w:t>$100,000</w:t>
                  </w:r>
                </w:p>
              </w:tc>
              <w:tc>
                <w:tcPr>
                  <w:tcW w:w="3210" w:type="dxa"/>
                </w:tcPr>
                <w:p w14:paraId="713F5204" w14:textId="77777777" w:rsidR="002A44CA" w:rsidRDefault="002A44CA" w:rsidP="002A44CA">
                  <w:pPr>
                    <w:spacing w:after="120"/>
                    <w:jc w:val="center"/>
                  </w:pPr>
                  <w:r>
                    <w:t>1 year</w:t>
                  </w:r>
                </w:p>
                <w:p w14:paraId="253A5173" w14:textId="77777777" w:rsidR="002A44CA" w:rsidRDefault="002A44CA" w:rsidP="002A44CA">
                  <w:pPr>
                    <w:spacing w:after="120"/>
                    <w:jc w:val="center"/>
                  </w:pPr>
                  <w:r>
                    <w:t>(effectively not a bring forward)</w:t>
                  </w:r>
                </w:p>
              </w:tc>
            </w:tr>
            <w:tr w:rsidR="002A44CA" w14:paraId="60B81545" w14:textId="77777777" w:rsidTr="008F2C4E">
              <w:tc>
                <w:tcPr>
                  <w:tcW w:w="3209" w:type="dxa"/>
                </w:tcPr>
                <w:p w14:paraId="21C1505A" w14:textId="77777777" w:rsidR="002A44CA" w:rsidRDefault="002A44CA" w:rsidP="002A44CA">
                  <w:pPr>
                    <w:spacing w:after="120"/>
                  </w:pPr>
                  <w:r>
                    <w:t>More than $1.6 million</w:t>
                  </w:r>
                </w:p>
              </w:tc>
              <w:tc>
                <w:tcPr>
                  <w:tcW w:w="3209" w:type="dxa"/>
                </w:tcPr>
                <w:p w14:paraId="10344C9D" w14:textId="77777777" w:rsidR="002A44CA" w:rsidRDefault="002A44CA" w:rsidP="002A44CA">
                  <w:pPr>
                    <w:spacing w:after="120"/>
                    <w:jc w:val="center"/>
                  </w:pPr>
                  <w:r>
                    <w:t>Nil</w:t>
                  </w:r>
                </w:p>
              </w:tc>
              <w:tc>
                <w:tcPr>
                  <w:tcW w:w="3210" w:type="dxa"/>
                </w:tcPr>
                <w:p w14:paraId="416BD430" w14:textId="77777777" w:rsidR="002A44CA" w:rsidRDefault="002A44CA" w:rsidP="002A44CA">
                  <w:pPr>
                    <w:spacing w:after="120"/>
                    <w:jc w:val="center"/>
                  </w:pPr>
                  <w:r>
                    <w:t>N/A</w:t>
                  </w:r>
                </w:p>
              </w:tc>
            </w:tr>
          </w:tbl>
          <w:p w14:paraId="1114DE1F" w14:textId="77777777" w:rsidR="002A44CA" w:rsidRPr="005F763D" w:rsidRDefault="002A44CA">
            <w:pPr>
              <w:pStyle w:val="InterPracBullet"/>
            </w:pPr>
            <w:r w:rsidRPr="005F763D">
              <w:t>Non-concessional contributions cannot be claimed as tax deductions.</w:t>
            </w:r>
          </w:p>
          <w:p w14:paraId="7336AB01" w14:textId="77777777" w:rsidR="00B368F7" w:rsidRPr="00E87AAA" w:rsidRDefault="00B368F7">
            <w:pPr>
              <w:pStyle w:val="InterPracBullet"/>
              <w:rPr>
                <w:highlight w:val="yellow"/>
              </w:rPr>
            </w:pPr>
          </w:p>
        </w:tc>
      </w:tr>
    </w:tbl>
    <w:p w14:paraId="6BB35CFB" w14:textId="77777777" w:rsidR="00B368F7" w:rsidRPr="005F763D" w:rsidRDefault="00B368F7" w:rsidP="008C7CE9">
      <w:pPr>
        <w:jc w:val="left"/>
      </w:pPr>
    </w:p>
    <w:p w14:paraId="67F80D8B" w14:textId="77777777" w:rsidR="00D06163" w:rsidRPr="005F763D" w:rsidRDefault="00D06163" w:rsidP="008C7CE9">
      <w:pPr>
        <w:jc w:val="left"/>
      </w:pPr>
    </w:p>
    <w:p w14:paraId="2F827527" w14:textId="77777777" w:rsidR="00D06163" w:rsidRPr="005F763D" w:rsidRDefault="00D06163" w:rsidP="008C7CE9">
      <w:pPr>
        <w:jc w:val="left"/>
      </w:pPr>
    </w:p>
    <w:bookmarkEnd w:id="96"/>
    <w:p w14:paraId="4D7A342D" w14:textId="77777777" w:rsidR="00F451E2" w:rsidRPr="005F763D" w:rsidRDefault="00F451E2" w:rsidP="008C7CE9">
      <w:pPr>
        <w:jc w:val="left"/>
      </w:pPr>
    </w:p>
    <w:p w14:paraId="1656E5FC" w14:textId="77777777" w:rsidR="00B14A22" w:rsidRDefault="00B14A22" w:rsidP="008C7CE9">
      <w:pPr>
        <w:jc w:val="left"/>
        <w:rPr>
          <w:color w:val="002060"/>
          <w:sz w:val="24"/>
        </w:rPr>
        <w:sectPr w:rsidR="00B14A22" w:rsidSect="00B14A22">
          <w:type w:val="continuous"/>
          <w:pgSz w:w="11906" w:h="16838" w:code="9"/>
          <w:pgMar w:top="1134" w:right="566" w:bottom="426" w:left="709" w:header="567" w:footer="95" w:gutter="0"/>
          <w:cols w:space="708"/>
          <w:docGrid w:linePitch="360"/>
        </w:sectPr>
      </w:pPr>
      <w:bookmarkStart w:id="98" w:name="_Hlk485722399"/>
    </w:p>
    <w:p w14:paraId="6430912A" w14:textId="1043DBE0" w:rsidR="00D06163" w:rsidRPr="005F763D" w:rsidRDefault="00D06163" w:rsidP="008C7CE9">
      <w:pPr>
        <w:jc w:val="left"/>
        <w:rPr>
          <w:color w:val="002060"/>
          <w:sz w:val="24"/>
        </w:rPr>
      </w:pPr>
      <w:r w:rsidRPr="005F763D">
        <w:rPr>
          <w:color w:val="002060"/>
          <w:sz w:val="24"/>
        </w:rPr>
        <w:t>Personal Non-Concessional Contributions &amp; Government Co-Contribution</w:t>
      </w:r>
    </w:p>
    <w:p w14:paraId="363DEAE6" w14:textId="00928DF6"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B368F7" w:rsidRPr="00E51BEA" w14:paraId="3B683DA0"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931696E"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7A68C7C" w14:textId="77777777" w:rsidR="00B368F7" w:rsidRPr="00E51BEA" w:rsidRDefault="00B368F7" w:rsidP="00207BF8">
            <w:pPr>
              <w:pStyle w:val="TableHeader2"/>
              <w:rPr>
                <w:rFonts w:ascii="Calibri Light" w:hAnsi="Calibri Light"/>
              </w:rPr>
            </w:pPr>
          </w:p>
        </w:tc>
      </w:tr>
      <w:tr w:rsidR="00B368F7" w:rsidRPr="0088114A" w14:paraId="0F0D9626"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910EF07" w14:textId="77777777" w:rsidR="00B368F7" w:rsidRPr="00E87AAA" w:rsidRDefault="00B368F7" w:rsidP="00E164DA">
            <w:pPr>
              <w:pStyle w:val="Instructions"/>
            </w:pPr>
            <w:r w:rsidRPr="00E87AAA">
              <w:t>Title</w:t>
            </w:r>
          </w:p>
        </w:tc>
        <w:tc>
          <w:tcPr>
            <w:tcW w:w="6798" w:type="dxa"/>
            <w:shd w:val="clear" w:color="auto" w:fill="auto"/>
          </w:tcPr>
          <w:p w14:paraId="09AEB976" w14:textId="434A664F" w:rsidR="00B368F7" w:rsidRPr="0088114A" w:rsidRDefault="00245AFE" w:rsidP="00207BF8">
            <w:pPr>
              <w:spacing w:before="120"/>
            </w:pPr>
            <w:r>
              <w:t>Personal Non-Concessional Contributions and Government Co-Cont</w:t>
            </w:r>
            <w:r w:rsidR="00B23AAD">
              <w:t>r</w:t>
            </w:r>
            <w:r>
              <w:t>ibution</w:t>
            </w:r>
          </w:p>
        </w:tc>
      </w:tr>
      <w:tr w:rsidR="00B368F7" w:rsidRPr="0088114A" w14:paraId="6870ED13"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45DEB6" w14:textId="77777777" w:rsidR="00B368F7" w:rsidRPr="00E87AAA" w:rsidRDefault="00B368F7" w:rsidP="00E164DA">
            <w:pPr>
              <w:pStyle w:val="Instructions"/>
            </w:pPr>
            <w:r w:rsidRPr="00E87AAA">
              <w:t>Explanation</w:t>
            </w:r>
          </w:p>
        </w:tc>
        <w:tc>
          <w:tcPr>
            <w:tcW w:w="6798" w:type="dxa"/>
            <w:shd w:val="clear" w:color="auto" w:fill="auto"/>
          </w:tcPr>
          <w:p w14:paraId="181CD1F9" w14:textId="1F5A404F" w:rsidR="00245AFE" w:rsidRPr="005F763D" w:rsidRDefault="00245AFE" w:rsidP="00245AFE">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213BF3">
              <w:rPr>
                <w:color w:val="FF0000"/>
              </w:rPr>
              <w:t>]</w:t>
            </w:r>
            <w:r w:rsidR="00213BF3" w:rsidRPr="005F763D">
              <w:t>, we</w:t>
            </w:r>
            <w:r w:rsidRPr="005F763D">
              <w:t xml:space="preserve"> recommend you make a Non-Concessional Contribution of $</w:t>
            </w:r>
            <w:r w:rsidR="00620B46">
              <w:t>[_</w:t>
            </w:r>
            <w:proofErr w:type="gramStart"/>
            <w:r w:rsidR="00620B46">
              <w:t>_._</w:t>
            </w:r>
            <w:proofErr w:type="gramEnd"/>
            <w:r w:rsidR="00620B46">
              <w:t>_]</w:t>
            </w:r>
            <w:r w:rsidRPr="005F763D">
              <w:t xml:space="preserve"> per annum into your </w:t>
            </w:r>
            <w:r w:rsidRPr="005F763D">
              <w:rPr>
                <w:color w:val="FF0000"/>
              </w:rPr>
              <w:t>[super fund]</w:t>
            </w:r>
            <w:r w:rsidRPr="005F763D">
              <w:t xml:space="preserve"> in order to qualify for the Government Co-contribution.</w:t>
            </w:r>
          </w:p>
          <w:p w14:paraId="6E7DBAB7" w14:textId="77777777" w:rsidR="00B368F7" w:rsidRPr="0088114A" w:rsidRDefault="00B368F7" w:rsidP="00207BF8">
            <w:pPr>
              <w:spacing w:before="120"/>
              <w:rPr>
                <w:sz w:val="18"/>
                <w:szCs w:val="18"/>
                <w:highlight w:val="yellow"/>
              </w:rPr>
            </w:pPr>
          </w:p>
        </w:tc>
      </w:tr>
      <w:tr w:rsidR="00B368F7" w:rsidRPr="00E87AAA" w14:paraId="3E8A4D5E"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F43CFA3" w14:textId="77777777" w:rsidR="00B368F7" w:rsidRPr="00E87AAA" w:rsidRDefault="00B368F7" w:rsidP="00E164DA">
            <w:pPr>
              <w:pStyle w:val="Instructions"/>
            </w:pPr>
            <w:r w:rsidRPr="00E87AAA">
              <w:t>In your Best Interest</w:t>
            </w:r>
          </w:p>
        </w:tc>
        <w:tc>
          <w:tcPr>
            <w:tcW w:w="6798" w:type="dxa"/>
            <w:shd w:val="clear" w:color="auto" w:fill="auto"/>
          </w:tcPr>
          <w:p w14:paraId="778182F8" w14:textId="77777777" w:rsidR="00B368F7" w:rsidRPr="00E87AAA" w:rsidRDefault="00B368F7" w:rsidP="00207BF8">
            <w:pPr>
              <w:spacing w:before="120"/>
              <w:jc w:val="left"/>
              <w:rPr>
                <w:sz w:val="18"/>
                <w:szCs w:val="18"/>
                <w:highlight w:val="yellow"/>
              </w:rPr>
            </w:pPr>
          </w:p>
        </w:tc>
      </w:tr>
      <w:tr w:rsidR="00B368F7" w:rsidRPr="00E87AAA" w14:paraId="64EF1CED"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AC6F0EE" w14:textId="77777777" w:rsidR="00B368F7" w:rsidRPr="00E87AAA" w:rsidRDefault="00B368F7" w:rsidP="00E164DA">
            <w:pPr>
              <w:pStyle w:val="Instructions"/>
            </w:pPr>
            <w:r>
              <w:t>Further Detail</w:t>
            </w:r>
          </w:p>
        </w:tc>
        <w:tc>
          <w:tcPr>
            <w:tcW w:w="6798" w:type="dxa"/>
            <w:shd w:val="clear" w:color="auto" w:fill="auto"/>
          </w:tcPr>
          <w:p w14:paraId="17430EC6" w14:textId="3E921EBA" w:rsidR="00245AFE" w:rsidRPr="005F763D" w:rsidRDefault="00245AFE" w:rsidP="00245AFE">
            <w:pPr>
              <w:jc w:val="left"/>
            </w:pPr>
            <w:r w:rsidRPr="00AA49AA">
              <w:t>We believe that making a non-concessional contribution to superannuation typically meets your needs/objectives for the following reasons</w:t>
            </w:r>
            <w:r w:rsidRPr="00D1628B">
              <w:t>:</w:t>
            </w:r>
          </w:p>
          <w:p w14:paraId="029A73C3" w14:textId="77777777" w:rsidR="00245AFE" w:rsidRPr="005F763D" w:rsidRDefault="00245AFE">
            <w:pPr>
              <w:pStyle w:val="InterPracBullet"/>
              <w:numPr>
                <w:ilvl w:val="0"/>
                <w:numId w:val="107"/>
              </w:numPr>
            </w:pPr>
            <w:r w:rsidRPr="005F763D">
              <w:t>Based on your assessable income of $</w:t>
            </w:r>
            <w:r w:rsidRPr="005F763D">
              <w:rPr>
                <w:color w:val="FF0000"/>
              </w:rPr>
              <w:t>[___,___]</w:t>
            </w:r>
            <w:r w:rsidRPr="005F763D">
              <w:t>, we estimate you will be eligible to a Co-contribution of $</w:t>
            </w:r>
            <w:r w:rsidRPr="005F763D">
              <w:rPr>
                <w:color w:val="FF0000"/>
              </w:rPr>
              <w:t>[___,___]</w:t>
            </w:r>
            <w:r w:rsidRPr="005F763D">
              <w:t>.</w:t>
            </w:r>
          </w:p>
          <w:p w14:paraId="7A57AB4C" w14:textId="77777777" w:rsidR="00245AFE" w:rsidRPr="005F763D" w:rsidRDefault="00245AFE">
            <w:pPr>
              <w:pStyle w:val="InterPracBullet"/>
              <w:numPr>
                <w:ilvl w:val="0"/>
                <w:numId w:val="107"/>
              </w:numPr>
            </w:pPr>
            <w:r w:rsidRPr="005F763D">
              <w:lastRenderedPageBreak/>
              <w:t>Increasing your superannuation savings helps you save for retirement.</w:t>
            </w:r>
          </w:p>
          <w:p w14:paraId="105369F1" w14:textId="77777777" w:rsidR="00245AFE" w:rsidRPr="005F763D" w:rsidRDefault="00245AFE">
            <w:pPr>
              <w:pStyle w:val="InterPracBullet"/>
              <w:numPr>
                <w:ilvl w:val="0"/>
                <w:numId w:val="107"/>
              </w:numPr>
            </w:pPr>
            <w:r w:rsidRPr="005F763D">
              <w:t>Contributions made with after tax dollars will form part of the tax-free component of your super, and will be tax-free upon withdrawal.</w:t>
            </w:r>
          </w:p>
          <w:p w14:paraId="6B13F92C" w14:textId="77777777" w:rsidR="00245AFE" w:rsidRDefault="00245AFE">
            <w:pPr>
              <w:pStyle w:val="InterPracBullet"/>
              <w:numPr>
                <w:ilvl w:val="0"/>
                <w:numId w:val="107"/>
              </w:numPr>
            </w:pPr>
            <w:r w:rsidRPr="005F763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784AF6C8" w14:textId="77777777" w:rsidR="00245AFE" w:rsidRDefault="00245AFE">
            <w:pPr>
              <w:pStyle w:val="InterPracBullet"/>
            </w:pPr>
          </w:p>
          <w:p w14:paraId="6EEA42C6" w14:textId="77777777" w:rsidR="00245AFE" w:rsidRPr="005F763D" w:rsidRDefault="00245AFE" w:rsidP="00245AFE">
            <w:pPr>
              <w:jc w:val="left"/>
            </w:pPr>
            <w:r w:rsidRPr="005F763D">
              <w:t>In addition:</w:t>
            </w:r>
          </w:p>
          <w:p w14:paraId="2C10AA54" w14:textId="77777777" w:rsidR="00245AFE" w:rsidRPr="00B14A22" w:rsidRDefault="00245AFE">
            <w:pPr>
              <w:pStyle w:val="InterPracBullet"/>
              <w:numPr>
                <w:ilvl w:val="0"/>
                <w:numId w:val="108"/>
              </w:numPr>
            </w:pPr>
            <w:r w:rsidRPr="000D0191">
              <w:t>The Fund will be entitled to a refund of excess franking credits (if any), which can also improve the tax effectiveness of the investments in your Fund.</w:t>
            </w:r>
          </w:p>
          <w:p w14:paraId="166330DC" w14:textId="77777777" w:rsidR="00245AFE" w:rsidRPr="00B14A22" w:rsidRDefault="00245AFE">
            <w:pPr>
              <w:pStyle w:val="InterPracBullet"/>
              <w:numPr>
                <w:ilvl w:val="0"/>
                <w:numId w:val="108"/>
              </w:numPr>
            </w:pPr>
            <w:r w:rsidRPr="000D0191">
              <w:t>Any capital gains arising from the sale of an asset that has been held for at least 12 months will be concessionally taxed. I n this case, only two thirds of the gain is taxable at 15%.  This effectively reduces the capital gains tax rate to 10%.</w:t>
            </w:r>
          </w:p>
          <w:p w14:paraId="76562150" w14:textId="77777777" w:rsidR="00245AFE" w:rsidRPr="005F763D" w:rsidRDefault="00245AFE">
            <w:pPr>
              <w:pStyle w:val="InterPracBullet"/>
              <w:numPr>
                <w:ilvl w:val="0"/>
                <w:numId w:val="108"/>
              </w:numPr>
            </w:pPr>
            <w:r w:rsidRPr="000D0191">
              <w:t>These concessional tax rates will help your overall superannuation savings grow faster.</w:t>
            </w:r>
          </w:p>
          <w:p w14:paraId="6148FF82" w14:textId="77777777" w:rsidR="00245AFE" w:rsidRPr="005F763D" w:rsidRDefault="00245AFE" w:rsidP="00245AFE">
            <w:pPr>
              <w:jc w:val="left"/>
            </w:pPr>
          </w:p>
          <w:p w14:paraId="487F0B66" w14:textId="77777777" w:rsidR="00245AFE" w:rsidRPr="005F763D" w:rsidRDefault="00245AFE" w:rsidP="00245AFE">
            <w:pPr>
              <w:jc w:val="left"/>
            </w:pPr>
            <w:r w:rsidRPr="005F763D">
              <w:t>Before proceeding you should note the following:</w:t>
            </w:r>
          </w:p>
          <w:p w14:paraId="4CE5147B" w14:textId="77777777" w:rsidR="00245AFE" w:rsidRPr="005F763D" w:rsidRDefault="00245AFE">
            <w:pPr>
              <w:pStyle w:val="InterPracBullet"/>
              <w:numPr>
                <w:ilvl w:val="0"/>
                <w:numId w:val="109"/>
              </w:numPr>
            </w:pPr>
            <w:r w:rsidRPr="005F763D">
              <w:t>Funds invested within the superannuation environment are subject to preservation rules are not generally accessible until you satisfy a condition of release such as retirement or reaching age 65.</w:t>
            </w:r>
          </w:p>
          <w:p w14:paraId="0B4F9704" w14:textId="77777777" w:rsidR="00245AFE" w:rsidRDefault="00245AFE">
            <w:pPr>
              <w:pStyle w:val="InterPracBullet"/>
              <w:numPr>
                <w:ilvl w:val="0"/>
                <w:numId w:val="109"/>
              </w:numPr>
            </w:pPr>
            <w:r w:rsidRPr="005F763D">
              <w:t>Legislation limits non-concessional contributions to $1</w:t>
            </w:r>
            <w:r>
              <w:rPr>
                <w:lang w:val="en-AU"/>
              </w:rPr>
              <w:t>0</w:t>
            </w:r>
            <w:r w:rsidRPr="005F763D">
              <w:t>0,000 per financial year or, if eligible, at a maximum of $</w:t>
            </w:r>
            <w:r>
              <w:rPr>
                <w:lang w:val="en-AU"/>
              </w:rPr>
              <w:t>30</w:t>
            </w:r>
            <w:r w:rsidRPr="005F763D">
              <w:t>0,000 over a period of three financial years.  Amounts contributed in excess of the limit will be subject to tax at 4</w:t>
            </w:r>
            <w:r>
              <w:rPr>
                <w:lang w:val="en-AU"/>
              </w:rPr>
              <w:t>5</w:t>
            </w:r>
            <w:r w:rsidRPr="005F763D">
              <w:t>%</w:t>
            </w:r>
            <w:r>
              <w:rPr>
                <w:lang w:val="en-AU"/>
              </w:rPr>
              <w:t xml:space="preserve"> </w:t>
            </w:r>
            <w:r>
              <w:t xml:space="preserve">plus </w:t>
            </w:r>
            <w:proofErr w:type="spellStart"/>
            <w:r>
              <w:t>medicare</w:t>
            </w:r>
            <w:proofErr w:type="spellEnd"/>
            <w:r>
              <w:t xml:space="preserve"> levy if an election is not made to have the excess refunded</w:t>
            </w:r>
            <w:r w:rsidRPr="005F763D">
              <w:t>.</w:t>
            </w:r>
            <w:r>
              <w:t xml:space="preserve"> If an election to refund is made, then penalty taxation will be imposed on an amount of notional earnings.</w:t>
            </w:r>
          </w:p>
          <w:p w14:paraId="07613040" w14:textId="098FDFD0" w:rsidR="00245AFE" w:rsidRPr="00A76FEB" w:rsidRDefault="00490423">
            <w:pPr>
              <w:pStyle w:val="InterPracBullet"/>
            </w:pPr>
            <w:r>
              <w:rPr>
                <w:lang w:val="en-AU"/>
              </w:rPr>
              <w:t xml:space="preserve">No </w:t>
            </w:r>
            <w:r w:rsidR="00245AFE">
              <w:t>NCC can be made</w:t>
            </w:r>
            <w:r w:rsidR="00245AFE">
              <w:rPr>
                <w:lang w:val="en-AU"/>
              </w:rPr>
              <w:t xml:space="preserve"> unless</w:t>
            </w:r>
            <w:r w:rsidR="00245AFE">
              <w:t xml:space="preserve"> one’s Total Super Balance (TSB)</w:t>
            </w:r>
            <w:r w:rsidR="00245AFE">
              <w:rPr>
                <w:lang w:val="en-AU"/>
              </w:rPr>
              <w:t xml:space="preserve"> at 30 June 201</w:t>
            </w:r>
            <w:r>
              <w:rPr>
                <w:lang w:val="en-AU"/>
              </w:rPr>
              <w:t>8</w:t>
            </w:r>
            <w:r w:rsidR="00245AFE">
              <w:t xml:space="preserve"> is less than $1.6m.</w:t>
            </w:r>
          </w:p>
          <w:tbl>
            <w:tblPr>
              <w:tblStyle w:val="TableGrid"/>
              <w:tblW w:w="0" w:type="auto"/>
              <w:tblLook w:val="04A0" w:firstRow="1" w:lastRow="0" w:firstColumn="1" w:lastColumn="0" w:noHBand="0" w:noVBand="1"/>
            </w:tblPr>
            <w:tblGrid>
              <w:gridCol w:w="2331"/>
              <w:gridCol w:w="2049"/>
              <w:gridCol w:w="2192"/>
            </w:tblGrid>
            <w:tr w:rsidR="00245AFE" w14:paraId="1106E066" w14:textId="77777777" w:rsidTr="008F2C4E">
              <w:tc>
                <w:tcPr>
                  <w:tcW w:w="3209" w:type="dxa"/>
                </w:tcPr>
                <w:p w14:paraId="3684B8C7" w14:textId="77777777" w:rsidR="00245AFE" w:rsidRDefault="00245AFE" w:rsidP="00245AFE">
                  <w:pPr>
                    <w:spacing w:after="120"/>
                    <w:jc w:val="center"/>
                  </w:pPr>
                  <w:r>
                    <w:t xml:space="preserve">Total Superannuation Balance </w:t>
                  </w:r>
                </w:p>
                <w:p w14:paraId="1CB1869B" w14:textId="77777777" w:rsidR="00245AFE" w:rsidRDefault="00245AFE" w:rsidP="00245AFE">
                  <w:pPr>
                    <w:spacing w:after="120"/>
                    <w:jc w:val="center"/>
                  </w:pPr>
                  <w:r>
                    <w:t xml:space="preserve">prior to relevant 30 June </w:t>
                  </w:r>
                </w:p>
              </w:tc>
              <w:tc>
                <w:tcPr>
                  <w:tcW w:w="3209" w:type="dxa"/>
                </w:tcPr>
                <w:p w14:paraId="6185B9C1" w14:textId="77777777" w:rsidR="00245AFE" w:rsidRDefault="00245AFE" w:rsidP="00245AFE">
                  <w:pPr>
                    <w:spacing w:after="120"/>
                    <w:jc w:val="center"/>
                  </w:pPr>
                  <w:r>
                    <w:t xml:space="preserve">NCC for First financial year </w:t>
                  </w:r>
                </w:p>
                <w:p w14:paraId="62340BF6" w14:textId="77777777" w:rsidR="00245AFE" w:rsidRDefault="00245AFE" w:rsidP="00245AFE">
                  <w:pPr>
                    <w:spacing w:after="120"/>
                    <w:jc w:val="center"/>
                  </w:pPr>
                  <w:r>
                    <w:t>of the Bring Forward Period</w:t>
                  </w:r>
                </w:p>
              </w:tc>
              <w:tc>
                <w:tcPr>
                  <w:tcW w:w="3210" w:type="dxa"/>
                </w:tcPr>
                <w:p w14:paraId="01BBB6F6" w14:textId="77777777" w:rsidR="00245AFE" w:rsidRDefault="00245AFE" w:rsidP="00245AFE">
                  <w:pPr>
                    <w:spacing w:after="120"/>
                    <w:jc w:val="center"/>
                  </w:pPr>
                  <w:r>
                    <w:t xml:space="preserve">Total Bring Forward Period </w:t>
                  </w:r>
                </w:p>
                <w:p w14:paraId="19669FA3" w14:textId="77777777" w:rsidR="00245AFE" w:rsidRDefault="00245AFE" w:rsidP="00245AFE">
                  <w:pPr>
                    <w:spacing w:after="120"/>
                    <w:jc w:val="center"/>
                  </w:pPr>
                  <w:r>
                    <w:t>to make this Contribution</w:t>
                  </w:r>
                </w:p>
              </w:tc>
            </w:tr>
            <w:tr w:rsidR="00245AFE" w14:paraId="040F9338" w14:textId="77777777" w:rsidTr="008F2C4E">
              <w:tc>
                <w:tcPr>
                  <w:tcW w:w="3209" w:type="dxa"/>
                </w:tcPr>
                <w:p w14:paraId="4FDB6BAA" w14:textId="77777777" w:rsidR="00245AFE" w:rsidRDefault="00245AFE" w:rsidP="00245AFE">
                  <w:pPr>
                    <w:spacing w:after="120"/>
                  </w:pPr>
                  <w:r>
                    <w:t>Less than $1.4 million</w:t>
                  </w:r>
                </w:p>
              </w:tc>
              <w:tc>
                <w:tcPr>
                  <w:tcW w:w="3209" w:type="dxa"/>
                </w:tcPr>
                <w:p w14:paraId="2FBE44F5" w14:textId="77777777" w:rsidR="00245AFE" w:rsidRDefault="00245AFE" w:rsidP="00245AFE">
                  <w:pPr>
                    <w:spacing w:after="120"/>
                    <w:jc w:val="center"/>
                  </w:pPr>
                  <w:r>
                    <w:t>$300,000</w:t>
                  </w:r>
                </w:p>
              </w:tc>
              <w:tc>
                <w:tcPr>
                  <w:tcW w:w="3210" w:type="dxa"/>
                </w:tcPr>
                <w:p w14:paraId="31682992" w14:textId="77777777" w:rsidR="00245AFE" w:rsidRDefault="00245AFE" w:rsidP="00245AFE">
                  <w:pPr>
                    <w:spacing w:after="120"/>
                    <w:jc w:val="center"/>
                  </w:pPr>
                  <w:r>
                    <w:t>3 years</w:t>
                  </w:r>
                </w:p>
              </w:tc>
            </w:tr>
            <w:tr w:rsidR="00245AFE" w14:paraId="5EDB2F1A" w14:textId="77777777" w:rsidTr="008F2C4E">
              <w:tc>
                <w:tcPr>
                  <w:tcW w:w="3209" w:type="dxa"/>
                </w:tcPr>
                <w:p w14:paraId="648F8244" w14:textId="77777777" w:rsidR="00245AFE" w:rsidRDefault="00245AFE" w:rsidP="00245AFE">
                  <w:pPr>
                    <w:spacing w:after="120"/>
                  </w:pPr>
                  <w:r>
                    <w:t>Between $1.4 million to $1.5 million</w:t>
                  </w:r>
                </w:p>
              </w:tc>
              <w:tc>
                <w:tcPr>
                  <w:tcW w:w="3209" w:type="dxa"/>
                </w:tcPr>
                <w:p w14:paraId="70854A02" w14:textId="77777777" w:rsidR="00245AFE" w:rsidRDefault="00245AFE" w:rsidP="00245AFE">
                  <w:pPr>
                    <w:spacing w:after="120"/>
                    <w:jc w:val="center"/>
                  </w:pPr>
                  <w:r>
                    <w:t>$200,000</w:t>
                  </w:r>
                </w:p>
              </w:tc>
              <w:tc>
                <w:tcPr>
                  <w:tcW w:w="3210" w:type="dxa"/>
                </w:tcPr>
                <w:p w14:paraId="447530BA" w14:textId="77777777" w:rsidR="00245AFE" w:rsidRDefault="00245AFE" w:rsidP="00245AFE">
                  <w:pPr>
                    <w:spacing w:after="120"/>
                    <w:jc w:val="center"/>
                  </w:pPr>
                  <w:r>
                    <w:t>2 years</w:t>
                  </w:r>
                </w:p>
              </w:tc>
            </w:tr>
            <w:tr w:rsidR="00245AFE" w14:paraId="6D64442C" w14:textId="77777777" w:rsidTr="008F2C4E">
              <w:tc>
                <w:tcPr>
                  <w:tcW w:w="3209" w:type="dxa"/>
                </w:tcPr>
                <w:p w14:paraId="19AAE8FE" w14:textId="77777777" w:rsidR="00245AFE" w:rsidRDefault="00245AFE" w:rsidP="00245AFE">
                  <w:pPr>
                    <w:spacing w:after="120"/>
                  </w:pPr>
                  <w:r>
                    <w:t>Between $1.5 million to $1.6 million</w:t>
                  </w:r>
                </w:p>
              </w:tc>
              <w:tc>
                <w:tcPr>
                  <w:tcW w:w="3209" w:type="dxa"/>
                </w:tcPr>
                <w:p w14:paraId="4CB90501" w14:textId="77777777" w:rsidR="00245AFE" w:rsidRDefault="00245AFE" w:rsidP="00245AFE">
                  <w:pPr>
                    <w:spacing w:after="120"/>
                    <w:jc w:val="center"/>
                  </w:pPr>
                  <w:r>
                    <w:t>$100,000</w:t>
                  </w:r>
                </w:p>
              </w:tc>
              <w:tc>
                <w:tcPr>
                  <w:tcW w:w="3210" w:type="dxa"/>
                </w:tcPr>
                <w:p w14:paraId="7101E20F" w14:textId="77777777" w:rsidR="00245AFE" w:rsidRDefault="00245AFE" w:rsidP="00245AFE">
                  <w:pPr>
                    <w:spacing w:after="120"/>
                    <w:jc w:val="center"/>
                  </w:pPr>
                  <w:r>
                    <w:t>1 year</w:t>
                  </w:r>
                </w:p>
                <w:p w14:paraId="704A4C76" w14:textId="77777777" w:rsidR="00245AFE" w:rsidRDefault="00245AFE" w:rsidP="00245AFE">
                  <w:pPr>
                    <w:spacing w:after="120"/>
                    <w:jc w:val="center"/>
                  </w:pPr>
                  <w:r>
                    <w:t>(effectively not a bring forward)</w:t>
                  </w:r>
                </w:p>
              </w:tc>
            </w:tr>
            <w:tr w:rsidR="00245AFE" w14:paraId="746F2A8A" w14:textId="77777777" w:rsidTr="008F2C4E">
              <w:tc>
                <w:tcPr>
                  <w:tcW w:w="3209" w:type="dxa"/>
                </w:tcPr>
                <w:p w14:paraId="3A984F2F" w14:textId="77777777" w:rsidR="00245AFE" w:rsidRDefault="00245AFE" w:rsidP="00245AFE">
                  <w:pPr>
                    <w:spacing w:after="120"/>
                  </w:pPr>
                  <w:r>
                    <w:t>More than $1.6 million</w:t>
                  </w:r>
                </w:p>
              </w:tc>
              <w:tc>
                <w:tcPr>
                  <w:tcW w:w="3209" w:type="dxa"/>
                </w:tcPr>
                <w:p w14:paraId="00229A04" w14:textId="77777777" w:rsidR="00245AFE" w:rsidRDefault="00245AFE" w:rsidP="00245AFE">
                  <w:pPr>
                    <w:spacing w:after="120"/>
                    <w:jc w:val="center"/>
                  </w:pPr>
                  <w:r>
                    <w:t>Nil</w:t>
                  </w:r>
                </w:p>
              </w:tc>
              <w:tc>
                <w:tcPr>
                  <w:tcW w:w="3210" w:type="dxa"/>
                </w:tcPr>
                <w:p w14:paraId="4A7B3A0F" w14:textId="77777777" w:rsidR="00245AFE" w:rsidRDefault="00245AFE" w:rsidP="00245AFE">
                  <w:pPr>
                    <w:spacing w:after="120"/>
                    <w:jc w:val="center"/>
                  </w:pPr>
                  <w:r>
                    <w:t>N/A</w:t>
                  </w:r>
                </w:p>
              </w:tc>
            </w:tr>
          </w:tbl>
          <w:p w14:paraId="67BFD73B" w14:textId="77777777" w:rsidR="00245AFE" w:rsidRPr="005F763D" w:rsidRDefault="00245AFE">
            <w:pPr>
              <w:pStyle w:val="InterPracBullet"/>
            </w:pPr>
            <w:r>
              <w:tab/>
            </w:r>
            <w:r w:rsidRPr="005F763D">
              <w:t>Non-concessional contributions cannot be claimed as tax deductions.</w:t>
            </w:r>
          </w:p>
          <w:p w14:paraId="1D15B5E0" w14:textId="77777777" w:rsidR="00B368F7" w:rsidRPr="00E87AAA" w:rsidRDefault="00B368F7" w:rsidP="00245AFE">
            <w:pPr>
              <w:jc w:val="left"/>
              <w:rPr>
                <w:sz w:val="18"/>
                <w:szCs w:val="18"/>
                <w:highlight w:val="yellow"/>
              </w:rPr>
            </w:pPr>
          </w:p>
        </w:tc>
      </w:tr>
    </w:tbl>
    <w:p w14:paraId="115CB637" w14:textId="77777777" w:rsidR="00B368F7" w:rsidRPr="005F763D" w:rsidRDefault="00B368F7" w:rsidP="008C7CE9">
      <w:pPr>
        <w:jc w:val="left"/>
      </w:pPr>
    </w:p>
    <w:p w14:paraId="632CE14F" w14:textId="77777777" w:rsidR="00D06163" w:rsidRPr="005F763D" w:rsidRDefault="00D06163" w:rsidP="008C7CE9">
      <w:pPr>
        <w:jc w:val="left"/>
      </w:pPr>
    </w:p>
    <w:p w14:paraId="53DC68A4" w14:textId="77777777" w:rsidR="00B14A22" w:rsidRDefault="00B14A22" w:rsidP="008C7CE9">
      <w:pPr>
        <w:jc w:val="left"/>
        <w:rPr>
          <w:b/>
          <w:i/>
        </w:rPr>
        <w:sectPr w:rsidR="00B14A22" w:rsidSect="00B14A22">
          <w:type w:val="continuous"/>
          <w:pgSz w:w="11906" w:h="16838" w:code="9"/>
          <w:pgMar w:top="1134" w:right="566" w:bottom="426" w:left="709" w:header="567" w:footer="95" w:gutter="0"/>
          <w:cols w:space="708"/>
          <w:docGrid w:linePitch="360"/>
        </w:sectPr>
      </w:pPr>
    </w:p>
    <w:bookmarkEnd w:id="98"/>
    <w:p w14:paraId="41D6AF6C" w14:textId="77777777" w:rsidR="00F451E2" w:rsidRPr="005F763D" w:rsidRDefault="00F451E2" w:rsidP="008C7CE9">
      <w:pPr>
        <w:jc w:val="left"/>
      </w:pPr>
    </w:p>
    <w:p w14:paraId="6414A06B" w14:textId="77777777" w:rsidR="00D06163" w:rsidRPr="005F763D" w:rsidRDefault="00D06163" w:rsidP="008C7CE9">
      <w:pPr>
        <w:jc w:val="left"/>
        <w:rPr>
          <w:color w:val="002060"/>
          <w:sz w:val="24"/>
        </w:rPr>
      </w:pPr>
      <w:bookmarkStart w:id="99" w:name="_Hlk485728861"/>
      <w:bookmarkStart w:id="100" w:name="_Toc260306631"/>
      <w:r w:rsidRPr="005F763D">
        <w:rPr>
          <w:color w:val="002060"/>
          <w:sz w:val="24"/>
        </w:rPr>
        <w:t>Salary Sacrifice Contributions</w:t>
      </w:r>
    </w:p>
    <w:p w14:paraId="065B0F14" w14:textId="35890F80"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B368F7" w:rsidRPr="00E51BEA" w14:paraId="5F0B002A"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4886EE9"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113C8CC" w14:textId="77777777" w:rsidR="00B368F7" w:rsidRPr="00E51BEA" w:rsidRDefault="00B368F7" w:rsidP="00207BF8">
            <w:pPr>
              <w:pStyle w:val="TableHeader2"/>
              <w:rPr>
                <w:rFonts w:ascii="Calibri Light" w:hAnsi="Calibri Light"/>
              </w:rPr>
            </w:pPr>
          </w:p>
        </w:tc>
      </w:tr>
      <w:tr w:rsidR="00B368F7" w:rsidRPr="0088114A" w14:paraId="4790C1D1"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124517" w14:textId="77777777" w:rsidR="00B368F7" w:rsidRPr="00E87AAA" w:rsidRDefault="00B368F7" w:rsidP="00B21CF5">
            <w:pPr>
              <w:pStyle w:val="Instructions"/>
            </w:pPr>
            <w:r w:rsidRPr="00E87AAA">
              <w:t>Title</w:t>
            </w:r>
          </w:p>
        </w:tc>
        <w:tc>
          <w:tcPr>
            <w:tcW w:w="6798" w:type="dxa"/>
            <w:shd w:val="clear" w:color="auto" w:fill="auto"/>
          </w:tcPr>
          <w:p w14:paraId="0BF16A89" w14:textId="21A80DE0" w:rsidR="00B368F7" w:rsidRPr="0088114A" w:rsidRDefault="00BA760C" w:rsidP="00207BF8">
            <w:pPr>
              <w:spacing w:before="120"/>
            </w:pPr>
            <w:r>
              <w:t>Salary Sacrifice Contributions</w:t>
            </w:r>
          </w:p>
        </w:tc>
      </w:tr>
      <w:tr w:rsidR="00B368F7" w:rsidRPr="0088114A" w14:paraId="07F64234"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6843AC" w14:textId="77777777" w:rsidR="00B368F7" w:rsidRPr="00E87AAA" w:rsidRDefault="00B368F7" w:rsidP="00B21CF5">
            <w:pPr>
              <w:pStyle w:val="Instructions"/>
            </w:pPr>
            <w:r w:rsidRPr="00E87AAA">
              <w:lastRenderedPageBreak/>
              <w:t>Explanation</w:t>
            </w:r>
          </w:p>
        </w:tc>
        <w:tc>
          <w:tcPr>
            <w:tcW w:w="6798" w:type="dxa"/>
            <w:shd w:val="clear" w:color="auto" w:fill="auto"/>
          </w:tcPr>
          <w:p w14:paraId="55FF2B84" w14:textId="563DBDBC" w:rsidR="00BA760C" w:rsidRPr="005F763D" w:rsidRDefault="00BA760C" w:rsidP="00BA760C">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213BF3">
              <w:rPr>
                <w:color w:val="FF0000"/>
              </w:rPr>
              <w:t>]</w:t>
            </w:r>
            <w:r w:rsidR="00213BF3" w:rsidRPr="005F763D">
              <w:t>, we</w:t>
            </w:r>
            <w:r w:rsidRPr="005F763D">
              <w:t xml:space="preserve"> recommend you Salary Sacrifice $</w:t>
            </w:r>
            <w:r w:rsidRPr="005F763D">
              <w:rPr>
                <w:color w:val="FF0000"/>
              </w:rPr>
              <w:t>[__</w:t>
            </w:r>
            <w:proofErr w:type="gramStart"/>
            <w:r w:rsidRPr="005F763D">
              <w:rPr>
                <w:color w:val="FF0000"/>
              </w:rPr>
              <w:t>_,_</w:t>
            </w:r>
            <w:proofErr w:type="gramEnd"/>
            <w:r w:rsidRPr="005F763D">
              <w:rPr>
                <w:color w:val="FF0000"/>
              </w:rPr>
              <w:t>__]</w:t>
            </w:r>
            <w:r w:rsidRPr="005F763D">
              <w:t xml:space="preserve"> per annum into your </w:t>
            </w:r>
            <w:r w:rsidRPr="005F763D">
              <w:rPr>
                <w:color w:val="FF0000"/>
              </w:rPr>
              <w:t>[superannuation fund]</w:t>
            </w:r>
            <w:r w:rsidRPr="005F763D">
              <w:t xml:space="preserve">. We recommend you continue these </w:t>
            </w:r>
            <w:r>
              <w:t xml:space="preserve">concessional </w:t>
            </w:r>
            <w:r w:rsidRPr="005F763D">
              <w:t>contributions until retirement.</w:t>
            </w:r>
          </w:p>
          <w:p w14:paraId="3935406B" w14:textId="77777777" w:rsidR="00BA760C" w:rsidRPr="005F763D" w:rsidRDefault="00BA760C" w:rsidP="00BA760C">
            <w:pPr>
              <w:jc w:val="left"/>
            </w:pPr>
          </w:p>
          <w:p w14:paraId="15F8E1AC" w14:textId="77777777" w:rsidR="00B368F7" w:rsidRPr="0088114A" w:rsidRDefault="00B368F7" w:rsidP="00E11BDB">
            <w:pPr>
              <w:jc w:val="left"/>
              <w:rPr>
                <w:sz w:val="18"/>
                <w:szCs w:val="18"/>
                <w:highlight w:val="yellow"/>
              </w:rPr>
            </w:pPr>
          </w:p>
        </w:tc>
      </w:tr>
      <w:tr w:rsidR="00B368F7" w:rsidRPr="00E87AAA" w14:paraId="1C657CD3"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5679A5" w14:textId="77777777" w:rsidR="00B368F7" w:rsidRPr="00E87AAA" w:rsidRDefault="00B368F7" w:rsidP="00B21CF5">
            <w:pPr>
              <w:pStyle w:val="Instructions"/>
            </w:pPr>
            <w:r w:rsidRPr="00E87AAA">
              <w:t>In your Best Interest</w:t>
            </w:r>
          </w:p>
        </w:tc>
        <w:tc>
          <w:tcPr>
            <w:tcW w:w="6798" w:type="dxa"/>
            <w:shd w:val="clear" w:color="auto" w:fill="auto"/>
          </w:tcPr>
          <w:p w14:paraId="49855D9F" w14:textId="77777777" w:rsidR="00B368F7" w:rsidRPr="00E87AAA" w:rsidRDefault="00B368F7" w:rsidP="00207BF8">
            <w:pPr>
              <w:spacing w:before="120"/>
              <w:jc w:val="left"/>
              <w:rPr>
                <w:sz w:val="18"/>
                <w:szCs w:val="18"/>
                <w:highlight w:val="yellow"/>
              </w:rPr>
            </w:pPr>
          </w:p>
        </w:tc>
      </w:tr>
      <w:tr w:rsidR="00B368F7" w:rsidRPr="00E87AAA" w14:paraId="337CDD70"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C7258E1" w14:textId="77777777" w:rsidR="00B368F7" w:rsidRPr="00E87AAA" w:rsidRDefault="00B368F7" w:rsidP="00B21CF5">
            <w:pPr>
              <w:pStyle w:val="Instructions"/>
            </w:pPr>
            <w:r>
              <w:t>Further Detail</w:t>
            </w:r>
          </w:p>
        </w:tc>
        <w:tc>
          <w:tcPr>
            <w:tcW w:w="6798" w:type="dxa"/>
            <w:shd w:val="clear" w:color="auto" w:fill="auto"/>
          </w:tcPr>
          <w:p w14:paraId="42C1714D" w14:textId="77777777" w:rsidR="001B2DD8" w:rsidRPr="005F763D" w:rsidRDefault="001B2DD8" w:rsidP="001B2DD8">
            <w:pPr>
              <w:jc w:val="left"/>
            </w:pPr>
            <w:r w:rsidRPr="005F763D">
              <w:t>Please note that you Salary Sacrifice contributions incur contributions tax of 15%, which equates to $</w:t>
            </w:r>
            <w:r w:rsidRPr="005F763D">
              <w:rPr>
                <w:color w:val="FF0000"/>
              </w:rPr>
              <w:t>[__</w:t>
            </w:r>
            <w:proofErr w:type="gramStart"/>
            <w:r w:rsidRPr="005F763D">
              <w:rPr>
                <w:color w:val="FF0000"/>
              </w:rPr>
              <w:t>_,_</w:t>
            </w:r>
            <w:proofErr w:type="gramEnd"/>
            <w:r w:rsidRPr="005F763D">
              <w:rPr>
                <w:color w:val="FF0000"/>
              </w:rPr>
              <w:t>__]</w:t>
            </w:r>
            <w:r w:rsidRPr="005F763D">
              <w:t>. Therefore, after the deduction of contributions tax the net superannuation contribution will be $</w:t>
            </w:r>
            <w:r w:rsidRPr="005F763D">
              <w:rPr>
                <w:color w:val="FF0000"/>
              </w:rPr>
              <w:t>[__</w:t>
            </w:r>
            <w:proofErr w:type="gramStart"/>
            <w:r w:rsidRPr="005F763D">
              <w:rPr>
                <w:color w:val="FF0000"/>
              </w:rPr>
              <w:t>_,_</w:t>
            </w:r>
            <w:proofErr w:type="gramEnd"/>
            <w:r w:rsidRPr="005F763D">
              <w:rPr>
                <w:color w:val="FF0000"/>
              </w:rPr>
              <w:t>__]</w:t>
            </w:r>
            <w:r w:rsidRPr="005F763D">
              <w:t>.</w:t>
            </w:r>
          </w:p>
          <w:p w14:paraId="40CA39CF" w14:textId="77777777" w:rsidR="001B2DD8" w:rsidRDefault="001B2DD8" w:rsidP="00BA760C">
            <w:pPr>
              <w:jc w:val="left"/>
            </w:pPr>
          </w:p>
          <w:p w14:paraId="5EF6B881" w14:textId="665AB477" w:rsidR="00BA760C" w:rsidRPr="005F763D" w:rsidRDefault="00BA760C" w:rsidP="00BA760C">
            <w:pPr>
              <w:jc w:val="left"/>
            </w:pPr>
            <w:r w:rsidRPr="00D1628B">
              <w:t>Typically, the benefits of this recommendation are:</w:t>
            </w:r>
          </w:p>
          <w:p w14:paraId="3A111696" w14:textId="77777777" w:rsidR="00BA760C" w:rsidRPr="005F763D" w:rsidRDefault="00BA760C">
            <w:pPr>
              <w:pStyle w:val="InterPracBullet"/>
              <w:numPr>
                <w:ilvl w:val="0"/>
                <w:numId w:val="122"/>
              </w:numPr>
            </w:pPr>
            <w:r w:rsidRPr="005F763D">
              <w:t>You accelerate your accumulation of wealth within the superannuation environment for retirement planning purposes.</w:t>
            </w:r>
          </w:p>
          <w:p w14:paraId="3C9C5DA5" w14:textId="77777777" w:rsidR="00BA760C" w:rsidRDefault="00BA760C">
            <w:pPr>
              <w:pStyle w:val="InterPracBullet"/>
              <w:numPr>
                <w:ilvl w:val="0"/>
                <w:numId w:val="122"/>
              </w:numPr>
            </w:pPr>
            <w:r w:rsidRPr="005F763D">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w:t>
            </w:r>
          </w:p>
          <w:p w14:paraId="55C16506" w14:textId="77777777" w:rsidR="00BA760C" w:rsidRPr="002A5787" w:rsidRDefault="00BA760C">
            <w:pPr>
              <w:pStyle w:val="InterPracBullet"/>
              <w:numPr>
                <w:ilvl w:val="0"/>
                <w:numId w:val="122"/>
              </w:numPr>
            </w:pPr>
            <w:r w:rsidRPr="005F763D">
              <w:t>The Fund will be entitled to a refund of excess franking credits (if any), which can also improve the tax effectiveness of the investments in your Fund.</w:t>
            </w:r>
          </w:p>
          <w:p w14:paraId="774D6819" w14:textId="77777777" w:rsidR="00BA760C" w:rsidRPr="002A5787" w:rsidRDefault="00BA760C">
            <w:pPr>
              <w:pStyle w:val="InterPracBullet"/>
              <w:numPr>
                <w:ilvl w:val="0"/>
                <w:numId w:val="122"/>
              </w:numPr>
            </w:pPr>
            <w:r w:rsidRPr="005F763D">
              <w:t>Any capital gains arising from the sale of an asset that has been held for at least 12 months will be concessionally taxed. In this case, only two thirds of the gain is taxable at 15%.  This effectively reduces the capital gains tax rate to 10%.</w:t>
            </w:r>
          </w:p>
          <w:p w14:paraId="6F9F8DE0" w14:textId="77777777" w:rsidR="00BA760C" w:rsidRPr="005F763D" w:rsidRDefault="00BA760C">
            <w:pPr>
              <w:pStyle w:val="InterPracBullet"/>
              <w:numPr>
                <w:ilvl w:val="0"/>
                <w:numId w:val="122"/>
              </w:numPr>
            </w:pPr>
            <w:r w:rsidRPr="005F763D">
              <w:t>These concessional tax rates will help your overall superannuation savings grow faster.</w:t>
            </w:r>
          </w:p>
          <w:p w14:paraId="05A4F085" w14:textId="366B265E" w:rsidR="00BA760C" w:rsidRPr="007425A2" w:rsidRDefault="00BA760C">
            <w:pPr>
              <w:pStyle w:val="InterPracBullet"/>
              <w:numPr>
                <w:ilvl w:val="0"/>
                <w:numId w:val="122"/>
              </w:numPr>
            </w:pPr>
            <w:r w:rsidRPr="007425A2">
              <w:t xml:space="preserve">Those earning adjusted taxable income above $250,000 </w:t>
            </w:r>
            <w:commentRangeStart w:id="101"/>
            <w:r w:rsidRPr="007425A2">
              <w:t>incur</w:t>
            </w:r>
            <w:commentRangeEnd w:id="101"/>
            <w:r w:rsidR="007425A2">
              <w:rPr>
                <w:rStyle w:val="CommentReference"/>
                <w:rFonts w:eastAsia="MS Mincho"/>
                <w:lang w:val="en-AU" w:eastAsia="ja-JP"/>
              </w:rPr>
              <w:commentReference w:id="101"/>
            </w:r>
            <w:r w:rsidRPr="007425A2">
              <w:t xml:space="preserve"> contributions tax of 30%. Adjusted taxable income includes taxable income, reportable fringe </w:t>
            </w:r>
            <w:r w:rsidR="00213BF3" w:rsidRPr="007425A2">
              <w:t>benefits</w:t>
            </w:r>
            <w:r w:rsidRPr="007425A2">
              <w:t>, total net investment losses and non-excess concessional contributions.</w:t>
            </w:r>
          </w:p>
          <w:p w14:paraId="23ABC3A2" w14:textId="77777777" w:rsidR="00BA760C" w:rsidRPr="005F763D" w:rsidRDefault="00BA760C" w:rsidP="00BA760C">
            <w:pPr>
              <w:jc w:val="left"/>
            </w:pPr>
          </w:p>
          <w:p w14:paraId="0F7CE2DD" w14:textId="77777777" w:rsidR="00BA760C" w:rsidRPr="005F763D" w:rsidRDefault="00BA760C" w:rsidP="00BA760C">
            <w:pPr>
              <w:jc w:val="left"/>
            </w:pPr>
            <w:r w:rsidRPr="005F763D">
              <w:t>Before proceeding you should note the following:</w:t>
            </w:r>
          </w:p>
          <w:p w14:paraId="4517F6ED" w14:textId="77777777" w:rsidR="00BA760C" w:rsidRPr="005F763D" w:rsidRDefault="00BA760C">
            <w:pPr>
              <w:pStyle w:val="InterPracBullet"/>
              <w:numPr>
                <w:ilvl w:val="0"/>
                <w:numId w:val="121"/>
              </w:numPr>
            </w:pPr>
            <w:r w:rsidRPr="005F763D">
              <w:t xml:space="preserve">Your future Superannuation Guarantee </w:t>
            </w:r>
            <w:r>
              <w:rPr>
                <w:lang w:val="en-AU"/>
              </w:rPr>
              <w:t>c</w:t>
            </w:r>
            <w:proofErr w:type="spellStart"/>
            <w:r w:rsidRPr="005F763D">
              <w:t>ontributions</w:t>
            </w:r>
            <w:proofErr w:type="spellEnd"/>
            <w:r w:rsidRPr="005F763D">
              <w:t xml:space="preserve"> (SG) may decrease in line with your reduction in salary. You will need to consult your HR department in this regard.</w:t>
            </w:r>
          </w:p>
          <w:p w14:paraId="4368B63E" w14:textId="77777777" w:rsidR="00BA760C" w:rsidRPr="005F763D" w:rsidRDefault="00BA760C">
            <w:pPr>
              <w:pStyle w:val="InterPracBullet"/>
              <w:numPr>
                <w:ilvl w:val="0"/>
                <w:numId w:val="121"/>
              </w:numPr>
            </w:pPr>
            <w:r w:rsidRPr="005F763D">
              <w:t>You will not be able to access your superannuation benefits until you meet a condition of release (this will generally occur at retirement after reaching preservation age or upon reaching 65 years of age).</w:t>
            </w:r>
          </w:p>
          <w:p w14:paraId="232441B1" w14:textId="52A03181" w:rsidR="00BA760C" w:rsidRDefault="0099524B">
            <w:pPr>
              <w:pStyle w:val="InterPracBullet"/>
              <w:numPr>
                <w:ilvl w:val="0"/>
                <w:numId w:val="121"/>
              </w:numPr>
            </w:pPr>
            <w:r>
              <w:rPr>
                <w:lang w:val="en-AU"/>
              </w:rPr>
              <w:t>C</w:t>
            </w:r>
            <w:proofErr w:type="spellStart"/>
            <w:r w:rsidR="00BA760C" w:rsidRPr="005F763D">
              <w:t>oncessional</w:t>
            </w:r>
            <w:proofErr w:type="spellEnd"/>
            <w:r w:rsidR="00BA760C" w:rsidRPr="005F763D">
              <w:t xml:space="preserve"> contributions are limited to $</w:t>
            </w:r>
            <w:r w:rsidR="00BA760C">
              <w:rPr>
                <w:lang w:val="en-AU"/>
              </w:rPr>
              <w:t>25</w:t>
            </w:r>
            <w:r w:rsidR="00BA760C" w:rsidRPr="005F763D">
              <w:t>,000 per annum.</w:t>
            </w:r>
          </w:p>
          <w:p w14:paraId="40F8DC9F" w14:textId="77777777" w:rsidR="00BA760C" w:rsidRPr="005F763D" w:rsidRDefault="00BA760C">
            <w:pPr>
              <w:pStyle w:val="InterPracBullet"/>
              <w:numPr>
                <w:ilvl w:val="0"/>
                <w:numId w:val="121"/>
              </w:numPr>
            </w:pPr>
            <w:r w:rsidRPr="005F763D">
              <w:t>Excess concessional arising from contributions can be refunded.  These amounts will be added to your assessable income and taxed at your marginal tax rate (less 15%</w:t>
            </w:r>
            <w:r>
              <w:rPr>
                <w:lang w:val="en-AU"/>
              </w:rPr>
              <w:t>)</w:t>
            </w:r>
            <w:r w:rsidRPr="005F763D">
              <w:t xml:space="preserve"> plus penalties.</w:t>
            </w:r>
          </w:p>
          <w:p w14:paraId="49C8B2B6" w14:textId="77777777" w:rsidR="00B368F7" w:rsidRPr="00E87AAA" w:rsidRDefault="00B368F7" w:rsidP="00207BF8">
            <w:pPr>
              <w:spacing w:before="120"/>
              <w:jc w:val="left"/>
              <w:rPr>
                <w:sz w:val="18"/>
                <w:szCs w:val="18"/>
                <w:highlight w:val="yellow"/>
              </w:rPr>
            </w:pPr>
          </w:p>
        </w:tc>
      </w:tr>
    </w:tbl>
    <w:p w14:paraId="66246DB4" w14:textId="77777777" w:rsidR="00B368F7" w:rsidRPr="005F763D" w:rsidRDefault="00B368F7" w:rsidP="008C7CE9">
      <w:pPr>
        <w:jc w:val="left"/>
      </w:pPr>
    </w:p>
    <w:p w14:paraId="76294EE8" w14:textId="77777777" w:rsidR="00D06163" w:rsidRPr="005F763D" w:rsidRDefault="00D06163" w:rsidP="008C7CE9">
      <w:pPr>
        <w:jc w:val="left"/>
      </w:pPr>
    </w:p>
    <w:p w14:paraId="26FB56C7" w14:textId="77777777" w:rsidR="00A14B21" w:rsidRDefault="00A14B21" w:rsidP="008C7CE9">
      <w:pPr>
        <w:jc w:val="left"/>
        <w:rPr>
          <w:b/>
          <w:i/>
        </w:rPr>
        <w:sectPr w:rsidR="00A14B21" w:rsidSect="00B14A22">
          <w:type w:val="continuous"/>
          <w:pgSz w:w="11906" w:h="16838" w:code="9"/>
          <w:pgMar w:top="1134" w:right="566" w:bottom="426" w:left="709" w:header="567" w:footer="95" w:gutter="0"/>
          <w:cols w:space="708"/>
          <w:docGrid w:linePitch="360"/>
        </w:sectPr>
      </w:pPr>
    </w:p>
    <w:bookmarkEnd w:id="99"/>
    <w:p w14:paraId="113EF9C6" w14:textId="77777777" w:rsidR="00F451E2" w:rsidRPr="005F763D" w:rsidRDefault="00F451E2" w:rsidP="008C7CE9">
      <w:pPr>
        <w:jc w:val="left"/>
      </w:pPr>
    </w:p>
    <w:p w14:paraId="4C111F0D" w14:textId="77777777" w:rsidR="00A67B58" w:rsidRPr="005F763D" w:rsidRDefault="00A67B58" w:rsidP="008C7CE9">
      <w:pPr>
        <w:jc w:val="left"/>
      </w:pPr>
      <w:bookmarkStart w:id="102" w:name="_Hlk485731144"/>
    </w:p>
    <w:p w14:paraId="164BE908" w14:textId="77777777" w:rsidR="00D06163" w:rsidRPr="005F763D" w:rsidRDefault="00D06163" w:rsidP="008C7CE9">
      <w:pPr>
        <w:jc w:val="left"/>
      </w:pPr>
    </w:p>
    <w:p w14:paraId="0FB8E31D" w14:textId="77777777" w:rsidR="00D06163" w:rsidRPr="005F763D" w:rsidRDefault="00D06163" w:rsidP="008C7CE9">
      <w:pPr>
        <w:jc w:val="left"/>
      </w:pPr>
    </w:p>
    <w:p w14:paraId="5C39813C" w14:textId="77777777" w:rsidR="00750E44" w:rsidRDefault="00750E44" w:rsidP="008C7CE9">
      <w:pPr>
        <w:jc w:val="left"/>
        <w:rPr>
          <w:b/>
          <w:i/>
        </w:rPr>
        <w:sectPr w:rsidR="00750E44" w:rsidSect="00B14A22">
          <w:type w:val="continuous"/>
          <w:pgSz w:w="11906" w:h="16838" w:code="9"/>
          <w:pgMar w:top="1134" w:right="566" w:bottom="426" w:left="709" w:header="567" w:footer="95" w:gutter="0"/>
          <w:cols w:space="708"/>
          <w:docGrid w:linePitch="360"/>
        </w:sectPr>
      </w:pPr>
    </w:p>
    <w:bookmarkEnd w:id="102"/>
    <w:p w14:paraId="5D45F6BB" w14:textId="77777777" w:rsidR="00F451E2" w:rsidRPr="005F763D" w:rsidRDefault="00F451E2" w:rsidP="008C7CE9">
      <w:pPr>
        <w:jc w:val="left"/>
      </w:pPr>
    </w:p>
    <w:p w14:paraId="601739FD" w14:textId="77777777" w:rsidR="00D06163" w:rsidRPr="005F763D" w:rsidRDefault="00D06163" w:rsidP="008C7CE9">
      <w:pPr>
        <w:jc w:val="left"/>
        <w:rPr>
          <w:color w:val="002060"/>
          <w:sz w:val="24"/>
        </w:rPr>
      </w:pPr>
      <w:r w:rsidRPr="005F763D">
        <w:rPr>
          <w:color w:val="002060"/>
          <w:sz w:val="24"/>
        </w:rPr>
        <w:t>Superannuation Guarantee (SG) Contributions – Choice of Fund</w:t>
      </w:r>
    </w:p>
    <w:p w14:paraId="76187D2B" w14:textId="7A7D9D81" w:rsidR="00D06163" w:rsidRDefault="00D06163"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A67B58" w:rsidRPr="00E87AAA" w14:paraId="1756F82F" w14:textId="77777777" w:rsidTr="004D1683">
        <w:tc>
          <w:tcPr>
            <w:tcW w:w="2754" w:type="dxa"/>
            <w:shd w:val="clear" w:color="auto" w:fill="auto"/>
          </w:tcPr>
          <w:p w14:paraId="3B51458F" w14:textId="7E39D530" w:rsidR="00A67B58" w:rsidRPr="00E87AAA" w:rsidRDefault="00A67B58" w:rsidP="00B21CF5">
            <w:pPr>
              <w:pStyle w:val="Instructions"/>
            </w:pPr>
          </w:p>
        </w:tc>
        <w:tc>
          <w:tcPr>
            <w:tcW w:w="6798" w:type="dxa"/>
            <w:shd w:val="clear" w:color="auto" w:fill="auto"/>
          </w:tcPr>
          <w:p w14:paraId="7AD2A27D" w14:textId="77777777" w:rsidR="00A234F0" w:rsidRDefault="00B7127E" w:rsidP="00B7127E">
            <w:pPr>
              <w:jc w:val="left"/>
            </w:pPr>
            <w:r w:rsidRPr="005F763D">
              <w:t xml:space="preserve">Your employer is currently making your SG into your </w:t>
            </w:r>
            <w:r w:rsidRPr="005F763D">
              <w:rPr>
                <w:color w:val="FF0000"/>
              </w:rPr>
              <w:t>[existing superannuation fund]</w:t>
            </w:r>
            <w:r w:rsidR="00A234F0">
              <w:rPr>
                <w:color w:val="FF0000"/>
              </w:rPr>
              <w:t>.</w:t>
            </w:r>
            <w:r w:rsidRPr="005F763D">
              <w:t xml:space="preserve"> </w:t>
            </w:r>
          </w:p>
          <w:p w14:paraId="2EA92388" w14:textId="6A590413" w:rsidR="00B7127E" w:rsidRPr="005F763D" w:rsidRDefault="00A234F0" w:rsidP="00B7127E">
            <w:pPr>
              <w:jc w:val="left"/>
            </w:pPr>
            <w:r>
              <w:t>A</w:t>
            </w:r>
            <w:r w:rsidR="00B7127E" w:rsidRPr="005F763D">
              <w:t xml:space="preserve">s a result of our recommendation to rollover your existing Superannuation account into </w:t>
            </w:r>
            <w:r w:rsidR="00B7127E" w:rsidRPr="005F763D">
              <w:rPr>
                <w:color w:val="FF0000"/>
              </w:rPr>
              <w:t>[recommended superannuation fund</w:t>
            </w:r>
            <w:r w:rsidR="00736A5C" w:rsidRPr="005F763D">
              <w:rPr>
                <w:color w:val="FF0000"/>
              </w:rPr>
              <w:t>]</w:t>
            </w:r>
            <w:r w:rsidR="00736A5C" w:rsidRPr="005F763D">
              <w:t>, you</w:t>
            </w:r>
            <w:r w:rsidR="00B7127E" w:rsidRPr="005F763D">
              <w:t xml:space="preserve"> will need to advise your </w:t>
            </w:r>
            <w:r w:rsidR="00B7127E" w:rsidRPr="005F763D">
              <w:lastRenderedPageBreak/>
              <w:t>employer to direct all your future SG</w:t>
            </w:r>
            <w:r w:rsidR="00B839CC">
              <w:t xml:space="preserve"> entitlements</w:t>
            </w:r>
            <w:r w:rsidR="00B7127E" w:rsidRPr="005F763D">
              <w:t xml:space="preserve"> to </w:t>
            </w:r>
            <w:r>
              <w:t>this</w:t>
            </w:r>
            <w:r w:rsidRPr="005F763D">
              <w:t xml:space="preserve"> </w:t>
            </w:r>
            <w:r w:rsidR="00B7127E" w:rsidRPr="005F763D">
              <w:t>new Superannuation Account.</w:t>
            </w:r>
          </w:p>
          <w:p w14:paraId="37E640F6" w14:textId="77777777" w:rsidR="00A67B58" w:rsidRPr="00E87AAA" w:rsidRDefault="00A67B58" w:rsidP="004D1683">
            <w:pPr>
              <w:spacing w:before="120"/>
              <w:jc w:val="left"/>
              <w:rPr>
                <w:sz w:val="18"/>
                <w:szCs w:val="18"/>
                <w:highlight w:val="yellow"/>
              </w:rPr>
            </w:pPr>
          </w:p>
        </w:tc>
      </w:tr>
    </w:tbl>
    <w:p w14:paraId="40104471" w14:textId="77777777" w:rsidR="00A67B58" w:rsidRPr="005F763D" w:rsidRDefault="00A67B58" w:rsidP="008C7CE9">
      <w:pPr>
        <w:jc w:val="left"/>
      </w:pPr>
    </w:p>
    <w:p w14:paraId="61AB833F" w14:textId="77777777" w:rsidR="00B27543" w:rsidRPr="005F763D" w:rsidRDefault="00B27543" w:rsidP="00B27543"/>
    <w:bookmarkEnd w:id="100"/>
    <w:p w14:paraId="0BD6F330" w14:textId="77777777" w:rsidR="00224D18" w:rsidRPr="005F763D" w:rsidRDefault="00224D18" w:rsidP="00F31877">
      <w:pPr>
        <w:rPr>
          <w:rFonts w:cs="Calibri"/>
        </w:rPr>
      </w:pPr>
      <w:r w:rsidRPr="005F763D">
        <w:rPr>
          <w:rFonts w:cs="Calibri"/>
        </w:rPr>
        <w:br w:type="page"/>
      </w:r>
    </w:p>
    <w:p w14:paraId="503C301C" w14:textId="201DDD5A" w:rsidR="00224D18" w:rsidRPr="005F763D" w:rsidRDefault="00224D18" w:rsidP="0008751D">
      <w:pPr>
        <w:pStyle w:val="Heading2"/>
      </w:pPr>
      <w:bookmarkStart w:id="103" w:name="_Toc46236033"/>
      <w:r w:rsidRPr="004D1683">
        <w:lastRenderedPageBreak/>
        <w:t>Insurance Recommendations</w:t>
      </w:r>
      <w:bookmarkEnd w:id="103"/>
    </w:p>
    <w:p w14:paraId="4C387286" w14:textId="305B0A10" w:rsidR="00224D18" w:rsidRPr="005F763D" w:rsidRDefault="00224D18" w:rsidP="0008751D">
      <w:pPr>
        <w:pStyle w:val="Heading2"/>
      </w:pPr>
      <w:bookmarkStart w:id="104" w:name="_Toc46236034"/>
      <w:r w:rsidRPr="006C3D47">
        <w:t xml:space="preserve">Summary of Risk </w:t>
      </w:r>
      <w:commentRangeStart w:id="105"/>
      <w:r w:rsidRPr="006C3D47">
        <w:t>Recommendations</w:t>
      </w:r>
      <w:commentRangeEnd w:id="105"/>
      <w:r w:rsidR="00355A89">
        <w:rPr>
          <w:rStyle w:val="CommentReference"/>
          <w:rFonts w:cs="Times New Roman"/>
          <w:bCs w:val="0"/>
          <w:iCs w:val="0"/>
          <w:color w:val="auto"/>
          <w:lang w:eastAsia="ja-JP"/>
        </w:rPr>
        <w:commentReference w:id="105"/>
      </w:r>
      <w:bookmarkEnd w:id="104"/>
    </w:p>
    <w:p w14:paraId="2C8E6B67" w14:textId="77777777" w:rsidR="00224D18" w:rsidRPr="005F763D" w:rsidRDefault="00224D18" w:rsidP="008C7CE9">
      <w:pPr>
        <w:jc w:val="left"/>
      </w:pPr>
    </w:p>
    <w:p w14:paraId="6EBB1765" w14:textId="77777777" w:rsidR="00224D18" w:rsidRPr="005F763D" w:rsidRDefault="00224D18">
      <w:pPr>
        <w:pStyle w:val="Normal5ptAfter"/>
      </w:pPr>
      <w:r w:rsidRPr="005F763D">
        <w:t>We recommend the following insurance products:</w:t>
      </w:r>
    </w:p>
    <w:tbl>
      <w:tblPr>
        <w:tblW w:w="5000" w:type="pct"/>
        <w:tblBorders>
          <w:top w:val="single" w:sz="2" w:space="0" w:color="808080"/>
          <w:bottom w:val="single" w:sz="2" w:space="0" w:color="808080"/>
        </w:tblBorders>
        <w:shd w:val="clear" w:color="auto" w:fill="BFBFBF"/>
        <w:tblLayout w:type="fixed"/>
        <w:tblCellMar>
          <w:top w:w="55" w:type="dxa"/>
          <w:left w:w="55" w:type="dxa"/>
          <w:bottom w:w="55" w:type="dxa"/>
          <w:right w:w="55" w:type="dxa"/>
        </w:tblCellMar>
        <w:tblLook w:val="04A0" w:firstRow="1" w:lastRow="0" w:firstColumn="1" w:lastColumn="0" w:noHBand="0" w:noVBand="1"/>
      </w:tblPr>
      <w:tblGrid>
        <w:gridCol w:w="2657"/>
        <w:gridCol w:w="2658"/>
        <w:gridCol w:w="2658"/>
        <w:gridCol w:w="2658"/>
      </w:tblGrid>
      <w:tr w:rsidR="00224D18" w:rsidRPr="005F763D" w14:paraId="687D8B4E" w14:textId="77777777" w:rsidTr="00036DDB">
        <w:tc>
          <w:tcPr>
            <w:tcW w:w="2499" w:type="pct"/>
            <w:gridSpan w:val="2"/>
            <w:tcBorders>
              <w:top w:val="single" w:sz="2" w:space="0" w:color="808080"/>
              <w:left w:val="nil"/>
              <w:bottom w:val="single" w:sz="2" w:space="0" w:color="808080"/>
              <w:right w:val="single" w:sz="24" w:space="0" w:color="FFFFFF"/>
            </w:tcBorders>
            <w:shd w:val="clear" w:color="auto" w:fill="BFBFBF"/>
            <w:tcMar>
              <w:top w:w="0" w:type="dxa"/>
              <w:left w:w="108" w:type="dxa"/>
              <w:bottom w:w="0" w:type="dxa"/>
              <w:right w:w="108" w:type="dxa"/>
            </w:tcMar>
            <w:vAlign w:val="center"/>
            <w:hideMark/>
          </w:tcPr>
          <w:p w14:paraId="1A7D7AC0" w14:textId="77777777" w:rsidR="00224D18" w:rsidRPr="005F763D" w:rsidRDefault="00224D18" w:rsidP="00036DDB">
            <w:pPr>
              <w:pStyle w:val="TableHeader2"/>
              <w:rPr>
                <w:rFonts w:ascii="Calibri" w:hAnsi="Calibri"/>
                <w:color w:val="FF0000"/>
              </w:rPr>
            </w:pPr>
            <w:r w:rsidRPr="005F763D">
              <w:rPr>
                <w:rFonts w:ascii="Calibri" w:hAnsi="Calibri"/>
                <w:color w:val="FF0000"/>
              </w:rPr>
              <w:t>[Underwriter]</w:t>
            </w:r>
          </w:p>
          <w:p w14:paraId="5ADAD15E" w14:textId="77777777" w:rsidR="00224D18" w:rsidRPr="005F763D" w:rsidRDefault="00224D18" w:rsidP="00036DDB">
            <w:pPr>
              <w:pStyle w:val="TableHeader2"/>
              <w:rPr>
                <w:rFonts w:ascii="Calibri" w:hAnsi="Calibri"/>
              </w:rPr>
            </w:pPr>
            <w:r w:rsidRPr="005F763D">
              <w:rPr>
                <w:rFonts w:ascii="Calibri" w:hAnsi="Calibri"/>
                <w:color w:val="FF0000"/>
              </w:rPr>
              <w:t>[Product]</w:t>
            </w:r>
          </w:p>
        </w:tc>
        <w:tc>
          <w:tcPr>
            <w:tcW w:w="1250" w:type="pct"/>
            <w:tcBorders>
              <w:top w:val="single" w:sz="2" w:space="0" w:color="808080"/>
              <w:left w:val="single" w:sz="24" w:space="0" w:color="FFFFFF"/>
              <w:bottom w:val="single" w:sz="2" w:space="0" w:color="808080"/>
              <w:right w:val="single" w:sz="24" w:space="0" w:color="FFFFFF"/>
            </w:tcBorders>
            <w:shd w:val="clear" w:color="auto" w:fill="BFBFBF"/>
            <w:tcMar>
              <w:top w:w="0" w:type="dxa"/>
              <w:left w:w="108" w:type="dxa"/>
              <w:bottom w:w="0" w:type="dxa"/>
              <w:right w:w="108" w:type="dxa"/>
            </w:tcMar>
            <w:vAlign w:val="center"/>
            <w:hideMark/>
          </w:tcPr>
          <w:p w14:paraId="179EF724" w14:textId="77777777" w:rsidR="00224D18" w:rsidRPr="005F763D" w:rsidRDefault="00224D18" w:rsidP="00036DDB">
            <w:pPr>
              <w:pStyle w:val="TableHeader2"/>
              <w:rPr>
                <w:rFonts w:ascii="Calibri" w:hAnsi="Calibri"/>
                <w:color w:val="FF0000"/>
              </w:rPr>
            </w:pPr>
            <w:r w:rsidRPr="005F763D">
              <w:rPr>
                <w:rFonts w:ascii="Calibri" w:hAnsi="Calibri"/>
              </w:rPr>
              <w:t xml:space="preserve">Owner: </w:t>
            </w:r>
            <w:r w:rsidRPr="005F763D">
              <w:rPr>
                <w:rFonts w:ascii="Calibri" w:hAnsi="Calibri"/>
                <w:color w:val="FF0000"/>
              </w:rPr>
              <w:t>[Name]</w:t>
            </w:r>
          </w:p>
          <w:p w14:paraId="487BDA72" w14:textId="77777777" w:rsidR="00224D18" w:rsidRPr="005F763D" w:rsidRDefault="00224D18" w:rsidP="00036DDB">
            <w:pPr>
              <w:pStyle w:val="TableHeader2"/>
              <w:rPr>
                <w:rFonts w:ascii="Calibri" w:hAnsi="Calibri"/>
              </w:rPr>
            </w:pPr>
            <w:r w:rsidRPr="005F763D">
              <w:rPr>
                <w:rFonts w:ascii="Calibri" w:hAnsi="Calibri"/>
              </w:rPr>
              <w:t>Insured:</w:t>
            </w:r>
            <w:r w:rsidRPr="005F763D">
              <w:rPr>
                <w:rFonts w:ascii="Calibri" w:hAnsi="Calibri"/>
                <w:color w:val="FF0000"/>
              </w:rPr>
              <w:t xml:space="preserve"> [Life Insured]</w:t>
            </w:r>
          </w:p>
        </w:tc>
        <w:tc>
          <w:tcPr>
            <w:tcW w:w="1250" w:type="pct"/>
            <w:tcBorders>
              <w:top w:val="single" w:sz="2" w:space="0" w:color="808080"/>
              <w:left w:val="single" w:sz="24" w:space="0" w:color="FFFFFF"/>
              <w:bottom w:val="single" w:sz="2" w:space="0" w:color="808080"/>
              <w:right w:val="nil"/>
            </w:tcBorders>
            <w:shd w:val="clear" w:color="auto" w:fill="BFBFBF"/>
            <w:tcMar>
              <w:top w:w="0" w:type="dxa"/>
              <w:left w:w="108" w:type="dxa"/>
              <w:bottom w:w="0" w:type="dxa"/>
              <w:right w:w="108" w:type="dxa"/>
            </w:tcMar>
            <w:vAlign w:val="center"/>
            <w:hideMark/>
          </w:tcPr>
          <w:p w14:paraId="5278345C" w14:textId="77777777" w:rsidR="00224D18" w:rsidRPr="005F763D" w:rsidRDefault="00224D18" w:rsidP="00036DDB">
            <w:pPr>
              <w:pStyle w:val="TableHeader2"/>
              <w:rPr>
                <w:rFonts w:ascii="Calibri" w:hAnsi="Calibri"/>
              </w:rPr>
            </w:pPr>
            <w:r w:rsidRPr="005F763D">
              <w:rPr>
                <w:rFonts w:ascii="Calibri" w:hAnsi="Calibri"/>
              </w:rPr>
              <w:t xml:space="preserve">Premium: </w:t>
            </w:r>
            <w:r w:rsidRPr="005F763D">
              <w:rPr>
                <w:rFonts w:ascii="Calibri" w:hAnsi="Calibri"/>
                <w:color w:val="FF0000"/>
              </w:rPr>
              <w:t>[Premium Amount] [Premium Frequency]</w:t>
            </w:r>
          </w:p>
        </w:tc>
      </w:tr>
      <w:tr w:rsidR="00224D18" w:rsidRPr="005F763D" w14:paraId="01037EFC"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33562007" w14:textId="77777777" w:rsidR="00224D18" w:rsidRPr="005F763D" w:rsidRDefault="00224D18">
            <w:pPr>
              <w:pStyle w:val="TableText-LeftBold"/>
            </w:pPr>
            <w:r w:rsidRPr="005F763D">
              <w:t>Cover Type</w:t>
            </w:r>
          </w:p>
        </w:tc>
        <w:tc>
          <w:tcPr>
            <w:tcW w:w="12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0A178D94" w14:textId="77777777" w:rsidR="00224D18" w:rsidRPr="005F763D" w:rsidRDefault="00224D18">
            <w:pPr>
              <w:pStyle w:val="TableText-LeftBold"/>
            </w:pPr>
            <w:r w:rsidRPr="005F763D">
              <w:t>Cover Amount</w:t>
            </w:r>
          </w:p>
        </w:tc>
        <w:tc>
          <w:tcPr>
            <w:tcW w:w="12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449F22DC" w14:textId="77777777" w:rsidR="00224D18" w:rsidRPr="005F763D" w:rsidRDefault="00224D18" w:rsidP="00036DDB">
            <w:pPr>
              <w:pStyle w:val="TableText-CentreBold"/>
              <w:rPr>
                <w:rFonts w:ascii="Calibri" w:hAnsi="Calibri"/>
              </w:rPr>
            </w:pPr>
            <w:r w:rsidRPr="005F763D">
              <w:rPr>
                <w:rFonts w:ascii="Calibri" w:hAnsi="Calibri"/>
              </w:rPr>
              <w:t>Additional Information</w:t>
            </w:r>
          </w:p>
        </w:tc>
        <w:tc>
          <w:tcPr>
            <w:tcW w:w="1250" w:type="pct"/>
            <w:tcBorders>
              <w:top w:val="single" w:sz="2" w:space="0" w:color="808080"/>
              <w:left w:val="single" w:sz="24" w:space="0" w:color="FFFFFF"/>
              <w:bottom w:val="single" w:sz="2" w:space="0" w:color="808080"/>
              <w:right w:val="nil"/>
            </w:tcBorders>
            <w:shd w:val="clear" w:color="auto" w:fill="D9D9D9"/>
            <w:tcMar>
              <w:top w:w="0" w:type="dxa"/>
              <w:left w:w="108" w:type="dxa"/>
              <w:bottom w:w="0" w:type="dxa"/>
              <w:right w:w="108" w:type="dxa"/>
            </w:tcMar>
            <w:vAlign w:val="center"/>
          </w:tcPr>
          <w:p w14:paraId="28091F53" w14:textId="77777777" w:rsidR="00224D18" w:rsidRPr="005F763D" w:rsidRDefault="00224D18" w:rsidP="00036DDB">
            <w:pPr>
              <w:pStyle w:val="TableText-CentreBold"/>
              <w:rPr>
                <w:rFonts w:ascii="Calibri" w:hAnsi="Calibri"/>
              </w:rPr>
            </w:pPr>
            <w:r w:rsidRPr="005F763D">
              <w:rPr>
                <w:rFonts w:ascii="Calibri" w:hAnsi="Calibri"/>
              </w:rPr>
              <w:t>Type of Recommendation</w:t>
            </w:r>
          </w:p>
        </w:tc>
      </w:tr>
      <w:tr w:rsidR="00224D18" w:rsidRPr="005F763D" w14:paraId="2F7CD7D0"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7E2B3620" w14:textId="77777777" w:rsidR="00224D18" w:rsidRPr="005F763D" w:rsidRDefault="00224D18">
            <w:pPr>
              <w:pStyle w:val="TableText-Left"/>
            </w:pPr>
            <w:r w:rsidRPr="005F763D">
              <w:t>Life</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5AC86CC0" w14:textId="26FAE252" w:rsidR="00224D18" w:rsidRPr="00E3072D" w:rsidRDefault="00E3072D">
            <w:pPr>
              <w:pStyle w:val="TableText-Left"/>
            </w:pPr>
            <w:r w:rsidRPr="00E3072D">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600E22F"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7AF1F625"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7A4A1264"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63700F77" w14:textId="77777777" w:rsidR="00224D18" w:rsidRPr="005F763D" w:rsidRDefault="00224D18">
            <w:pPr>
              <w:pStyle w:val="TableText-Left"/>
            </w:pPr>
            <w:r w:rsidRPr="005F763D">
              <w:t>TPD</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5D0E3E51" w14:textId="01C92A00"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6798D75"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003487CA"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40F9F275"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06B08783" w14:textId="77777777" w:rsidR="00224D18" w:rsidRPr="005F763D" w:rsidRDefault="00224D18">
            <w:pPr>
              <w:pStyle w:val="TableText-Left"/>
            </w:pPr>
            <w:r w:rsidRPr="005F763D">
              <w:t>Trauma</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3D4B4DC9" w14:textId="1D5CFD0C"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CF3DD68"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028199E7"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4462AEB2"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4FD74D8B" w14:textId="77777777" w:rsidR="00224D18" w:rsidRPr="005F763D" w:rsidRDefault="00224D18">
            <w:pPr>
              <w:pStyle w:val="TableText-Left"/>
            </w:pPr>
            <w:r w:rsidRPr="005F763D">
              <w:t>Income Protection</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11C6B294" w14:textId="13646DF0"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EBD8C85" w14:textId="77777777" w:rsidR="00224D18" w:rsidRPr="005F763D" w:rsidRDefault="00224D18" w:rsidP="00036DDB">
            <w:pPr>
              <w:pStyle w:val="TableText-Centre"/>
              <w:rPr>
                <w:rFonts w:ascii="Calibri" w:hAnsi="Calibri"/>
              </w:rPr>
            </w:pPr>
            <w:r w:rsidRPr="005F763D">
              <w:rPr>
                <w:rFonts w:ascii="Calibri" w:hAnsi="Calibri"/>
              </w:rPr>
              <w:t xml:space="preserve">Waiting Period of </w:t>
            </w:r>
            <w:r w:rsidRPr="000D0191">
              <w:rPr>
                <w:rFonts w:ascii="Calibri" w:hAnsi="Calibri"/>
                <w:color w:val="7030A0"/>
                <w:highlight w:val="yellow"/>
              </w:rPr>
              <w:t>[XX]</w:t>
            </w: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18C47900"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167F3730"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18D4B743" w14:textId="77777777" w:rsidR="00224D18" w:rsidRPr="005F763D" w:rsidRDefault="00224D18">
            <w:pPr>
              <w:pStyle w:val="TableText-Left"/>
            </w:pPr>
            <w:r w:rsidRPr="005F763D">
              <w:t>Business Expense</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33873B97" w14:textId="0EDA39A0"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6605D6D0"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090EC3EE"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bl>
    <w:p w14:paraId="2974E8FB" w14:textId="77777777" w:rsidR="00224D18" w:rsidRPr="005F763D" w:rsidRDefault="00224D18" w:rsidP="008C7CE9">
      <w:pPr>
        <w:pStyle w:val="Notes-Heading"/>
      </w:pPr>
      <w:r w:rsidRPr="005F763D">
        <w:t>Notes:</w:t>
      </w:r>
    </w:p>
    <w:tbl>
      <w:tblPr>
        <w:tblW w:w="5000" w:type="pct"/>
        <w:tblLook w:val="04A0" w:firstRow="1" w:lastRow="0" w:firstColumn="1" w:lastColumn="0" w:noHBand="0" w:noVBand="1"/>
      </w:tblPr>
      <w:tblGrid>
        <w:gridCol w:w="429"/>
        <w:gridCol w:w="10202"/>
      </w:tblGrid>
      <w:tr w:rsidR="00224D18" w:rsidRPr="005F763D" w14:paraId="095453B5" w14:textId="77777777" w:rsidTr="00036DDB">
        <w:tc>
          <w:tcPr>
            <w:tcW w:w="202" w:type="pct"/>
            <w:hideMark/>
          </w:tcPr>
          <w:p w14:paraId="051AB609" w14:textId="77777777" w:rsidR="00224D18" w:rsidRPr="005F763D" w:rsidRDefault="00224D18" w:rsidP="008C7CE9">
            <w:pPr>
              <w:pStyle w:val="Notes-Numbers"/>
              <w:rPr>
                <w:rFonts w:ascii="Calibri" w:hAnsi="Calibri"/>
                <w:sz w:val="18"/>
              </w:rPr>
            </w:pPr>
            <w:r w:rsidRPr="005F763D">
              <w:rPr>
                <w:rFonts w:ascii="Calibri" w:hAnsi="Calibri"/>
                <w:sz w:val="18"/>
              </w:rPr>
              <w:t>[1]</w:t>
            </w:r>
          </w:p>
        </w:tc>
        <w:tc>
          <w:tcPr>
            <w:tcW w:w="4798" w:type="pct"/>
            <w:hideMark/>
          </w:tcPr>
          <w:p w14:paraId="6CC62A5E" w14:textId="77777777" w:rsidR="00224D18" w:rsidRPr="005F763D" w:rsidRDefault="00224D18" w:rsidP="008C7CE9">
            <w:pPr>
              <w:pStyle w:val="Notes-Text"/>
              <w:rPr>
                <w:rFonts w:ascii="Calibri" w:hAnsi="Calibri"/>
                <w:sz w:val="18"/>
              </w:rPr>
            </w:pPr>
            <w:r w:rsidRPr="005F763D">
              <w:rPr>
                <w:rFonts w:ascii="Calibri" w:hAnsi="Calibri"/>
                <w:b/>
                <w:sz w:val="18"/>
              </w:rPr>
              <w:t>Premium Amounts:</w:t>
            </w:r>
            <w:r w:rsidRPr="005F763D">
              <w:rPr>
                <w:rFonts w:ascii="Calibri" w:hAnsi="Calibri"/>
                <w:sz w:val="18"/>
              </w:rPr>
              <w:t xml:space="preserve">  Please note that the premium amounts provided above are based on the life insurance company accepting you as a “standard” risk.  Should the underwriters determine anything from your personal medical history requires a higher risk premium an offer will be made to you of amended terms.  Because of this, any personal insurance currently in place should not be cancelled until after the new insurances recommended have had policies issued in their place.</w:t>
            </w:r>
          </w:p>
        </w:tc>
      </w:tr>
      <w:tr w:rsidR="00224D18" w:rsidRPr="005F763D" w14:paraId="3E54E481" w14:textId="77777777" w:rsidTr="00036DDB">
        <w:tc>
          <w:tcPr>
            <w:tcW w:w="202" w:type="pct"/>
            <w:hideMark/>
          </w:tcPr>
          <w:p w14:paraId="031C0E77" w14:textId="77777777" w:rsidR="00224D18" w:rsidRPr="005F763D" w:rsidRDefault="00224D18" w:rsidP="008C7CE9">
            <w:pPr>
              <w:pStyle w:val="Notes-Numbers"/>
              <w:rPr>
                <w:rFonts w:ascii="Calibri" w:hAnsi="Calibri"/>
                <w:sz w:val="18"/>
              </w:rPr>
            </w:pPr>
            <w:r w:rsidRPr="005F763D">
              <w:rPr>
                <w:rFonts w:ascii="Calibri" w:hAnsi="Calibri"/>
                <w:sz w:val="18"/>
              </w:rPr>
              <w:t>[2]</w:t>
            </w:r>
          </w:p>
        </w:tc>
        <w:tc>
          <w:tcPr>
            <w:tcW w:w="4798" w:type="pct"/>
          </w:tcPr>
          <w:p w14:paraId="6663982F" w14:textId="77777777" w:rsidR="00224D18" w:rsidRPr="005F763D" w:rsidRDefault="00224D18" w:rsidP="008C7CE9">
            <w:pPr>
              <w:pStyle w:val="Notes-Text"/>
              <w:rPr>
                <w:rFonts w:ascii="Calibri" w:hAnsi="Calibri"/>
                <w:sz w:val="18"/>
              </w:rPr>
            </w:pPr>
            <w:r w:rsidRPr="005F763D">
              <w:rPr>
                <w:rFonts w:ascii="Calibri" w:hAnsi="Calibri"/>
                <w:b/>
                <w:sz w:val="18"/>
              </w:rPr>
              <w:t>Duty of Disclosure:</w:t>
            </w:r>
            <w:r w:rsidRPr="005F763D">
              <w:rPr>
                <w:rFonts w:ascii="Calibri" w:hAnsi="Calibri"/>
                <w:sz w:val="18"/>
              </w:rPr>
              <w:t xml:space="preserve">  Before you enter into a policy of insurance you have a duty under the Insurance Contracts Act 1984 to disclose to the insurance company every matter that you know, or could reasonably be expected to know, is relevant to their decision whether to accept the risk of the insurance and, if so, on what terms. The same duty applies before the Policy is extended, varied or reinstated. The duty however does not require disclosure of a matter a) that diminishes the risk b) that is of common knowledge c) that we know, or in the ordinary course of our business, ought to know; or d) in respect of which we have waived compliance.</w:t>
            </w:r>
          </w:p>
          <w:p w14:paraId="15D242AF" w14:textId="77777777" w:rsidR="00224D18" w:rsidRPr="005F763D" w:rsidRDefault="00224D18" w:rsidP="008C7CE9">
            <w:pPr>
              <w:pStyle w:val="Notes-Text"/>
              <w:rPr>
                <w:rFonts w:ascii="Calibri" w:hAnsi="Calibri"/>
                <w:sz w:val="18"/>
              </w:rPr>
            </w:pPr>
            <w:r w:rsidRPr="005F763D">
              <w:rPr>
                <w:rFonts w:ascii="Calibri" w:hAnsi="Calibri"/>
                <w:color w:val="000000"/>
                <w:sz w:val="18"/>
              </w:rPr>
              <w:t>If the duty is not complied with and the insurance company would not have entered into the contract on any terms had they been aware of the relevant matter, they may avoid the Policy. This is subject to certain conditions and varies according to the individual insurance company.</w:t>
            </w:r>
          </w:p>
        </w:tc>
      </w:tr>
    </w:tbl>
    <w:p w14:paraId="5F625ED7" w14:textId="77777777" w:rsidR="00750E44" w:rsidRDefault="00750E44" w:rsidP="008C7CE9">
      <w:pPr>
        <w:jc w:val="left"/>
        <w:sectPr w:rsidR="00750E44" w:rsidSect="00B14A22">
          <w:type w:val="continuous"/>
          <w:pgSz w:w="11906" w:h="16838" w:code="9"/>
          <w:pgMar w:top="1134" w:right="566" w:bottom="426" w:left="709" w:header="567" w:footer="95" w:gutter="0"/>
          <w:cols w:space="708"/>
          <w:docGrid w:linePitch="360"/>
        </w:sectPr>
      </w:pPr>
    </w:p>
    <w:p w14:paraId="21D05567" w14:textId="77777777" w:rsidR="00E3072D" w:rsidRDefault="00E3072D" w:rsidP="008C7CE9">
      <w:pPr>
        <w:jc w:val="left"/>
        <w:sectPr w:rsidR="00E3072D" w:rsidSect="00B14A22">
          <w:type w:val="continuous"/>
          <w:pgSz w:w="11906" w:h="16838" w:code="9"/>
          <w:pgMar w:top="1134" w:right="566" w:bottom="426" w:left="709" w:header="567" w:footer="95" w:gutter="0"/>
          <w:cols w:space="708"/>
          <w:docGrid w:linePitch="360"/>
        </w:sectPr>
      </w:pPr>
    </w:p>
    <w:p w14:paraId="12F43A16" w14:textId="07C324CE" w:rsidR="00921C57" w:rsidRPr="000D0191" w:rsidRDefault="00921C57" w:rsidP="0008751D">
      <w:pPr>
        <w:pStyle w:val="Heading2"/>
      </w:pPr>
      <w:bookmarkStart w:id="106" w:name="_Toc46236035"/>
      <w:r w:rsidRPr="000D0191">
        <w:t>Duty of Disclosure</w:t>
      </w:r>
      <w:bookmarkEnd w:id="106"/>
      <w:r>
        <w:t xml:space="preserve"> </w:t>
      </w:r>
    </w:p>
    <w:p w14:paraId="3E650E3F" w14:textId="77777777" w:rsidR="00921C57" w:rsidRDefault="00921C57" w:rsidP="00921C57"/>
    <w:tbl>
      <w:tblPr>
        <w:tblStyle w:val="TableGrid"/>
        <w:tblW w:w="0" w:type="auto"/>
        <w:tblInd w:w="76" w:type="dxa"/>
        <w:tblLook w:val="04A0" w:firstRow="1" w:lastRow="0" w:firstColumn="1" w:lastColumn="0" w:noHBand="0" w:noVBand="1"/>
      </w:tblPr>
      <w:tblGrid>
        <w:gridCol w:w="2754"/>
        <w:gridCol w:w="6798"/>
      </w:tblGrid>
      <w:tr w:rsidR="00921C57" w:rsidRPr="001A22F0" w14:paraId="7BE2DA39" w14:textId="77777777" w:rsidTr="00CB435F">
        <w:tc>
          <w:tcPr>
            <w:tcW w:w="2754" w:type="dxa"/>
          </w:tcPr>
          <w:p w14:paraId="45E05FD4" w14:textId="3F25BFBB" w:rsidR="00921C57" w:rsidRPr="00EA0A06" w:rsidRDefault="00921C57" w:rsidP="00B21CF5">
            <w:pPr>
              <w:pStyle w:val="Instructions"/>
            </w:pPr>
          </w:p>
        </w:tc>
        <w:tc>
          <w:tcPr>
            <w:tcW w:w="6798" w:type="dxa"/>
          </w:tcPr>
          <w:p w14:paraId="4BC912CB" w14:textId="0BF5D23E" w:rsidR="00921C57" w:rsidRPr="001A22F0" w:rsidRDefault="00921C57" w:rsidP="00CB435F">
            <w:pPr>
              <w:jc w:val="left"/>
            </w:pPr>
          </w:p>
        </w:tc>
      </w:tr>
      <w:tr w:rsidR="00921C57" w:rsidRPr="001A22F0" w14:paraId="68BEF652" w14:textId="77777777" w:rsidTr="00CB435F">
        <w:tc>
          <w:tcPr>
            <w:tcW w:w="2754" w:type="dxa"/>
          </w:tcPr>
          <w:p w14:paraId="48DAACCD" w14:textId="708F4E97" w:rsidR="00921C57" w:rsidRPr="00EA0A06" w:rsidRDefault="00921C57" w:rsidP="00B21CF5">
            <w:pPr>
              <w:pStyle w:val="Instructions"/>
            </w:pPr>
          </w:p>
        </w:tc>
        <w:tc>
          <w:tcPr>
            <w:tcW w:w="6798" w:type="dxa"/>
          </w:tcPr>
          <w:p w14:paraId="08240420" w14:textId="44C6EE4B" w:rsidR="00921C57" w:rsidRPr="001A22F0" w:rsidRDefault="00921C57" w:rsidP="00CB435F">
            <w:pPr>
              <w:jc w:val="left"/>
            </w:pPr>
          </w:p>
        </w:tc>
      </w:tr>
      <w:tr w:rsidR="00921C57" w:rsidRPr="001A22F0" w14:paraId="3413C3D4" w14:textId="77777777" w:rsidTr="00CB435F">
        <w:tc>
          <w:tcPr>
            <w:tcW w:w="2754" w:type="dxa"/>
          </w:tcPr>
          <w:p w14:paraId="00FC988F" w14:textId="1EB07B68" w:rsidR="00921C57" w:rsidRPr="00EA0A06" w:rsidRDefault="00921C57" w:rsidP="00B21CF5">
            <w:pPr>
              <w:pStyle w:val="Instructions"/>
            </w:pPr>
          </w:p>
        </w:tc>
        <w:tc>
          <w:tcPr>
            <w:tcW w:w="6798" w:type="dxa"/>
          </w:tcPr>
          <w:p w14:paraId="75756795" w14:textId="77777777" w:rsidR="00921C57" w:rsidRPr="001A22F0" w:rsidRDefault="00921C57" w:rsidP="00CB435F">
            <w:pPr>
              <w:jc w:val="left"/>
            </w:pPr>
          </w:p>
        </w:tc>
      </w:tr>
      <w:tr w:rsidR="00921C57" w:rsidRPr="001A22F0" w14:paraId="53B85EFC" w14:textId="77777777" w:rsidTr="00CB435F">
        <w:tc>
          <w:tcPr>
            <w:tcW w:w="2754" w:type="dxa"/>
          </w:tcPr>
          <w:p w14:paraId="754C7567" w14:textId="737AF52F" w:rsidR="00921C57" w:rsidRPr="00EA0A06" w:rsidRDefault="00921C57" w:rsidP="00B21CF5">
            <w:pPr>
              <w:pStyle w:val="Instructions"/>
            </w:pPr>
          </w:p>
        </w:tc>
        <w:tc>
          <w:tcPr>
            <w:tcW w:w="6798" w:type="dxa"/>
          </w:tcPr>
          <w:p w14:paraId="1140E502" w14:textId="77777777" w:rsidR="00921C57" w:rsidRDefault="00921C57" w:rsidP="00CB435F">
            <w:pPr>
              <w:spacing w:after="150" w:line="300" w:lineRule="atLeast"/>
              <w:rPr>
                <w:rFonts w:ascii="Arial" w:eastAsia="Times New Roman" w:hAnsi="Arial" w:cs="Arial"/>
                <w:color w:val="445763"/>
                <w:sz w:val="18"/>
                <w:szCs w:val="18"/>
                <w:lang w:eastAsia="en-AU"/>
              </w:rPr>
            </w:pPr>
            <w:r>
              <w:rPr>
                <w:rFonts w:ascii="Arial" w:eastAsia="Times New Roman" w:hAnsi="Arial" w:cs="Arial"/>
                <w:b/>
                <w:bCs/>
                <w:color w:val="445763"/>
                <w:sz w:val="18"/>
                <w:szCs w:val="18"/>
                <w:lang w:eastAsia="en-AU"/>
              </w:rPr>
              <w:t>Duty of utmost good faith</w:t>
            </w:r>
          </w:p>
          <w:p w14:paraId="019E497C" w14:textId="77777777" w:rsidR="00921C57" w:rsidRPr="000D0191" w:rsidRDefault="00921C57" w:rsidP="00CB435F">
            <w:r w:rsidRPr="000D0191">
              <w:t>The foundation of the insurance Contract between insured and insurer is that parties deal with each in the ‘utmost good faith’. This means that the insured will pay agreed benefits to an insured who has fairly disclosed all relevant information required by the insurer.</w:t>
            </w:r>
          </w:p>
          <w:p w14:paraId="3075BFAA" w14:textId="77777777" w:rsidR="00921C57" w:rsidRDefault="00921C57" w:rsidP="00CB435F">
            <w:r w:rsidRPr="000D0191">
              <w:t>This principle in found in the Insurance Contracts Act 1984.</w:t>
            </w:r>
          </w:p>
          <w:p w14:paraId="30469747" w14:textId="77777777" w:rsidR="00921C57" w:rsidRPr="000D0191" w:rsidRDefault="00921C57" w:rsidP="00CB435F"/>
          <w:p w14:paraId="1F265ED1" w14:textId="77777777" w:rsidR="00921C57" w:rsidRDefault="00921C57" w:rsidP="00CB435F">
            <w:pPr>
              <w:spacing w:after="150" w:line="300" w:lineRule="atLeast"/>
              <w:rPr>
                <w:rFonts w:ascii="Arial" w:eastAsia="Times New Roman" w:hAnsi="Arial" w:cs="Arial"/>
                <w:color w:val="445763"/>
                <w:sz w:val="18"/>
                <w:szCs w:val="18"/>
                <w:lang w:eastAsia="en-AU"/>
              </w:rPr>
            </w:pPr>
            <w:r>
              <w:rPr>
                <w:rFonts w:ascii="Arial" w:eastAsia="Times New Roman" w:hAnsi="Arial" w:cs="Arial"/>
                <w:b/>
                <w:bCs/>
                <w:color w:val="445763"/>
                <w:sz w:val="18"/>
                <w:szCs w:val="18"/>
                <w:lang w:eastAsia="en-AU"/>
              </w:rPr>
              <w:t>Duty of Disclosure</w:t>
            </w:r>
          </w:p>
          <w:p w14:paraId="1E1035DB" w14:textId="77777777" w:rsidR="00921C57" w:rsidRPr="000D0191" w:rsidRDefault="00921C57" w:rsidP="00CB435F">
            <w:r w:rsidRPr="000D0191">
              <w:t>A person seeking insurance declares health details together with work and non-work activities (</w:t>
            </w:r>
            <w:proofErr w:type="spellStart"/>
            <w:r w:rsidRPr="000D0191">
              <w:t>eg.</w:t>
            </w:r>
            <w:proofErr w:type="spellEnd"/>
            <w:r w:rsidRPr="000D0191">
              <w:t xml:space="preserve"> sports) that could potentially result in a Claim upon the policy.</w:t>
            </w:r>
          </w:p>
          <w:p w14:paraId="6EEEDE0C" w14:textId="77777777" w:rsidR="00921C57" w:rsidRPr="000D0191" w:rsidRDefault="00921C57" w:rsidP="00CB435F">
            <w:pPr>
              <w:spacing w:after="150" w:line="300" w:lineRule="atLeast"/>
              <w:rPr>
                <w:rFonts w:eastAsia="Times New Roman" w:cs="Arial"/>
                <w:color w:val="auto"/>
                <w:szCs w:val="20"/>
                <w:lang w:eastAsia="en-AU"/>
              </w:rPr>
            </w:pPr>
            <w:r w:rsidRPr="000D0191">
              <w:rPr>
                <w:rFonts w:eastAsia="Times New Roman" w:cs="Arial"/>
                <w:color w:val="auto"/>
                <w:szCs w:val="20"/>
                <w:lang w:eastAsia="en-AU"/>
              </w:rPr>
              <w:t>In practice, such client disclosures can be imperfect due to:</w:t>
            </w:r>
          </w:p>
          <w:p w14:paraId="5CC95F7E" w14:textId="77777777" w:rsidR="00921C57" w:rsidRPr="000D0191" w:rsidRDefault="00921C57" w:rsidP="00A67B58">
            <w:pPr>
              <w:pStyle w:val="ListParagraph"/>
              <w:numPr>
                <w:ilvl w:val="0"/>
                <w:numId w:val="18"/>
              </w:numPr>
              <w:suppressAutoHyphens w:val="0"/>
              <w:spacing w:after="150" w:line="300" w:lineRule="atLeast"/>
              <w:contextualSpacing/>
              <w:jc w:val="left"/>
              <w:rPr>
                <w:rFonts w:eastAsia="Times New Roman" w:cs="Arial"/>
                <w:color w:val="auto"/>
                <w:szCs w:val="20"/>
                <w:lang w:eastAsia="en-AU"/>
              </w:rPr>
            </w:pPr>
            <w:r w:rsidRPr="000D0191">
              <w:rPr>
                <w:rFonts w:eastAsia="Times New Roman" w:cs="Arial"/>
                <w:color w:val="auto"/>
                <w:szCs w:val="20"/>
                <w:lang w:eastAsia="en-AU"/>
              </w:rPr>
              <w:t>Supplying incomplete information</w:t>
            </w:r>
          </w:p>
          <w:p w14:paraId="34614103" w14:textId="77777777" w:rsidR="00921C57" w:rsidRPr="000D0191" w:rsidRDefault="00921C57" w:rsidP="00A67B58">
            <w:pPr>
              <w:pStyle w:val="ListParagraph"/>
              <w:numPr>
                <w:ilvl w:val="0"/>
                <w:numId w:val="18"/>
              </w:numPr>
              <w:suppressAutoHyphens w:val="0"/>
              <w:spacing w:after="150" w:line="300" w:lineRule="atLeast"/>
              <w:contextualSpacing/>
              <w:jc w:val="left"/>
              <w:rPr>
                <w:rFonts w:eastAsia="Times New Roman" w:cs="Arial"/>
                <w:color w:val="auto"/>
                <w:szCs w:val="20"/>
                <w:lang w:eastAsia="en-AU"/>
              </w:rPr>
            </w:pPr>
            <w:r w:rsidRPr="000D0191">
              <w:rPr>
                <w:rFonts w:eastAsia="Times New Roman" w:cs="Arial"/>
                <w:color w:val="auto"/>
                <w:szCs w:val="20"/>
                <w:lang w:eastAsia="en-AU"/>
              </w:rPr>
              <w:t>Misrepresentation that was accidental or insignificant</w:t>
            </w:r>
          </w:p>
          <w:p w14:paraId="1207DA92" w14:textId="77777777" w:rsidR="00921C57" w:rsidRPr="000D0191" w:rsidRDefault="00921C57" w:rsidP="00A67B58">
            <w:pPr>
              <w:pStyle w:val="ListParagraph"/>
              <w:numPr>
                <w:ilvl w:val="0"/>
                <w:numId w:val="18"/>
              </w:numPr>
              <w:suppressAutoHyphens w:val="0"/>
              <w:spacing w:after="150" w:line="300" w:lineRule="atLeast"/>
              <w:contextualSpacing/>
              <w:jc w:val="left"/>
              <w:rPr>
                <w:rFonts w:eastAsia="Times New Roman" w:cs="Arial"/>
                <w:color w:val="auto"/>
                <w:szCs w:val="20"/>
                <w:lang w:eastAsia="en-AU"/>
              </w:rPr>
            </w:pPr>
            <w:r w:rsidRPr="000D0191">
              <w:rPr>
                <w:rFonts w:eastAsia="Times New Roman" w:cs="Arial"/>
                <w:color w:val="auto"/>
                <w:szCs w:val="20"/>
                <w:lang w:eastAsia="en-AU"/>
              </w:rPr>
              <w:t>Deliberate significant misrepresentation that is fraudulent</w:t>
            </w:r>
          </w:p>
          <w:p w14:paraId="5258DBA5" w14:textId="77777777" w:rsidR="00921C57" w:rsidRPr="00466C22" w:rsidRDefault="00921C57" w:rsidP="00CB435F">
            <w:pPr>
              <w:spacing w:after="150" w:line="300" w:lineRule="atLeast"/>
              <w:rPr>
                <w:rFonts w:ascii="Arial" w:eastAsia="Times New Roman" w:hAnsi="Arial" w:cs="Arial"/>
                <w:b/>
                <w:color w:val="445763"/>
                <w:sz w:val="18"/>
                <w:szCs w:val="18"/>
                <w:lang w:eastAsia="en-AU"/>
              </w:rPr>
            </w:pPr>
            <w:r w:rsidRPr="00466C22">
              <w:rPr>
                <w:rFonts w:ascii="Arial" w:eastAsia="Times New Roman" w:hAnsi="Arial" w:cs="Arial"/>
                <w:b/>
                <w:color w:val="445763"/>
                <w:sz w:val="18"/>
                <w:szCs w:val="18"/>
                <w:lang w:eastAsia="en-AU"/>
              </w:rPr>
              <w:t>Remedies available to the Insurer</w:t>
            </w:r>
          </w:p>
          <w:p w14:paraId="35EF2328" w14:textId="77777777" w:rsidR="00921C57" w:rsidRPr="000D0191" w:rsidRDefault="00921C57" w:rsidP="00CB435F">
            <w:pPr>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If customer disclosures are:</w:t>
            </w:r>
          </w:p>
          <w:p w14:paraId="322483AF" w14:textId="77777777" w:rsidR="00921C57" w:rsidRDefault="00921C57" w:rsidP="00A67B58">
            <w:pPr>
              <w:pStyle w:val="ListParagraph"/>
              <w:numPr>
                <w:ilvl w:val="0"/>
                <w:numId w:val="19"/>
              </w:numPr>
              <w:suppressAutoHyphens w:val="0"/>
              <w:spacing w:after="150" w:line="300" w:lineRule="atLeast"/>
              <w:contextualSpacing/>
              <w:jc w:val="lef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lastRenderedPageBreak/>
              <w:t>Incomplete or incorrect but, if all facts had been disclosed properly at the outset, the insurer would have gone ahead with the policy anyway on the same terms, the insurer is bound under ‘utmost good faith’ to honour the payment of benefits</w:t>
            </w:r>
          </w:p>
          <w:p w14:paraId="3DDC955C" w14:textId="77777777" w:rsidR="00921C57" w:rsidRPr="000D0191" w:rsidRDefault="00921C57" w:rsidP="00CB435F">
            <w:pPr>
              <w:pStyle w:val="ListParagraph"/>
              <w:suppressAutoHyphens w:val="0"/>
              <w:spacing w:after="150" w:line="300" w:lineRule="atLeast"/>
              <w:contextualSpacing/>
              <w:jc w:val="left"/>
              <w:rPr>
                <w:rFonts w:asciiTheme="minorHAnsi" w:eastAsia="Times New Roman" w:hAnsiTheme="minorHAnsi" w:cs="Arial"/>
                <w:color w:val="auto"/>
                <w:szCs w:val="20"/>
                <w:lang w:eastAsia="en-AU"/>
              </w:rPr>
            </w:pPr>
          </w:p>
          <w:p w14:paraId="525ABA85" w14:textId="03B2DF98" w:rsidR="00921C57" w:rsidRPr="000D0191" w:rsidRDefault="00921C57" w:rsidP="00A67B58">
            <w:pPr>
              <w:pStyle w:val="ListParagraph"/>
              <w:numPr>
                <w:ilvl w:val="0"/>
                <w:numId w:val="19"/>
              </w:numPr>
              <w:suppressAutoHyphens w:val="0"/>
              <w:spacing w:after="150" w:line="300" w:lineRule="atLeast"/>
              <w:contextualSpacing/>
              <w:jc w:val="lef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Incomplete or incorrect but, if all facts had been disclosed properly at the outset, the insurer would </w:t>
            </w:r>
            <w:r w:rsidR="00736A5C" w:rsidRPr="000D0191">
              <w:rPr>
                <w:rFonts w:asciiTheme="minorHAnsi" w:eastAsia="Times New Roman" w:hAnsiTheme="minorHAnsi" w:cs="Arial"/>
                <w:color w:val="auto"/>
                <w:szCs w:val="20"/>
                <w:lang w:eastAsia="en-AU"/>
              </w:rPr>
              <w:t>have still</w:t>
            </w:r>
            <w:r w:rsidRPr="000D0191">
              <w:rPr>
                <w:rFonts w:asciiTheme="minorHAnsi" w:eastAsia="Times New Roman" w:hAnsiTheme="minorHAnsi" w:cs="Arial"/>
                <w:color w:val="auto"/>
                <w:szCs w:val="20"/>
                <w:lang w:eastAsia="en-AU"/>
              </w:rPr>
              <w:t xml:space="preserve"> offered the policy but with different terms or demanded a higher premium, then the insurer can reduce the benefit. </w:t>
            </w:r>
          </w:p>
          <w:p w14:paraId="7DB260D2" w14:textId="77777777" w:rsidR="00921C57" w:rsidRPr="000D0191" w:rsidRDefault="00921C57" w:rsidP="00CB435F">
            <w:pPr>
              <w:pStyle w:val="ListParagraph"/>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The reduction in the benefit is to be sufficient to place the insurer in a position it would have been in if the information failure had not occurred. </w:t>
            </w:r>
          </w:p>
          <w:p w14:paraId="3F3956B2" w14:textId="104C7D95" w:rsidR="00921C57" w:rsidRPr="000D0191" w:rsidRDefault="00921C57" w:rsidP="00CB435F">
            <w:pPr>
              <w:pStyle w:val="ListParagraph"/>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However, there is a </w:t>
            </w:r>
            <w:r w:rsidR="00736A5C" w:rsidRPr="000D0191">
              <w:rPr>
                <w:rFonts w:asciiTheme="minorHAnsi" w:eastAsia="Times New Roman" w:hAnsiTheme="minorHAnsi" w:cs="Arial"/>
                <w:color w:val="auto"/>
                <w:szCs w:val="20"/>
                <w:lang w:eastAsia="en-AU"/>
              </w:rPr>
              <w:t>three-year</w:t>
            </w:r>
            <w:r w:rsidRPr="000D0191">
              <w:rPr>
                <w:rFonts w:asciiTheme="minorHAnsi" w:eastAsia="Times New Roman" w:hAnsiTheme="minorHAnsi" w:cs="Arial"/>
                <w:color w:val="auto"/>
                <w:szCs w:val="20"/>
                <w:lang w:eastAsia="en-AU"/>
              </w:rPr>
              <w:t xml:space="preserve"> window for the insurer. If this window elapses and the information failure has gone undetected, the insurer is bound under ‘utmost good faith’ to honour the payment of benefits</w:t>
            </w:r>
          </w:p>
          <w:p w14:paraId="15BFAEA0" w14:textId="77777777" w:rsidR="00921C57" w:rsidRPr="000D0191" w:rsidRDefault="00921C57" w:rsidP="00A67B58">
            <w:pPr>
              <w:pStyle w:val="ListParagraph"/>
              <w:numPr>
                <w:ilvl w:val="0"/>
                <w:numId w:val="19"/>
              </w:numPr>
              <w:suppressAutoHyphens w:val="0"/>
              <w:spacing w:after="150" w:line="300" w:lineRule="atLeast"/>
              <w:contextualSpacing/>
              <w:jc w:val="lef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Seriously incomplete or incorrect due to fraud, the insurer can ‘avoid’ the contract at any time after the contract was entered into. </w:t>
            </w:r>
          </w:p>
          <w:p w14:paraId="759B004C" w14:textId="77777777" w:rsidR="00921C57" w:rsidRPr="000D0191" w:rsidRDefault="00921C57" w:rsidP="00CB435F">
            <w:pPr>
              <w:pStyle w:val="ListParagraph"/>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The insurer can choose not to outright avoid a contract but instead reduce the insured benefit amount so that the insurer is placed in a position it would have been in if the failure had not occurred or the fraudulent misrepresentation had not been made.</w:t>
            </w:r>
          </w:p>
          <w:p w14:paraId="56674B16" w14:textId="77777777" w:rsidR="00921C57" w:rsidRPr="001A22F0" w:rsidRDefault="00921C57" w:rsidP="00CB435F">
            <w:pPr>
              <w:jc w:val="left"/>
            </w:pPr>
          </w:p>
        </w:tc>
      </w:tr>
    </w:tbl>
    <w:p w14:paraId="36332251" w14:textId="77777777" w:rsidR="00921C57" w:rsidRPr="005F763D" w:rsidRDefault="00921C57" w:rsidP="008C7CE9">
      <w:pPr>
        <w:jc w:val="left"/>
        <w:rPr>
          <w:rFonts w:cs="Calibri"/>
        </w:rPr>
      </w:pPr>
    </w:p>
    <w:p w14:paraId="7C56EB6C" w14:textId="7B90D15F" w:rsidR="00966021" w:rsidRDefault="00966021" w:rsidP="008C7CE9">
      <w:pPr>
        <w:jc w:val="left"/>
      </w:pPr>
    </w:p>
    <w:p w14:paraId="7DBD1C60" w14:textId="02AA83BB" w:rsidR="00966021" w:rsidRDefault="00966021" w:rsidP="0008751D">
      <w:pPr>
        <w:pStyle w:val="Heading2"/>
      </w:pPr>
      <w:bookmarkStart w:id="107" w:name="_Toc46236036"/>
      <w:r w:rsidRPr="00966021">
        <w:t>General Information about Insurance</w:t>
      </w:r>
      <w:bookmarkEnd w:id="107"/>
    </w:p>
    <w:p w14:paraId="628C501C" w14:textId="77777777" w:rsidR="00966021" w:rsidRDefault="00966021"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3E987B8E" w14:textId="77777777" w:rsidTr="00E32549">
        <w:tc>
          <w:tcPr>
            <w:tcW w:w="2754" w:type="dxa"/>
          </w:tcPr>
          <w:p w14:paraId="7250E788" w14:textId="4F1CF2F3" w:rsidR="00966021" w:rsidRPr="00EA0A06" w:rsidRDefault="00966021" w:rsidP="00E32549">
            <w:pPr>
              <w:pStyle w:val="TableHeader2"/>
              <w:rPr>
                <w:rFonts w:ascii="Calibri Light" w:hAnsi="Calibri Light"/>
                <w:color w:val="000000" w:themeColor="text1"/>
              </w:rPr>
            </w:pPr>
          </w:p>
        </w:tc>
        <w:tc>
          <w:tcPr>
            <w:tcW w:w="6798" w:type="dxa"/>
          </w:tcPr>
          <w:p w14:paraId="24CF450B" w14:textId="77777777" w:rsidR="00966021" w:rsidRPr="00E51BEA" w:rsidRDefault="00966021" w:rsidP="00E32549">
            <w:pPr>
              <w:pStyle w:val="TableHeader2"/>
              <w:rPr>
                <w:rFonts w:ascii="Calibri Light" w:hAnsi="Calibri Light"/>
              </w:rPr>
            </w:pPr>
          </w:p>
        </w:tc>
      </w:tr>
      <w:tr w:rsidR="00966021" w:rsidRPr="001A22F0" w14:paraId="00084646" w14:textId="77777777" w:rsidTr="00E32549">
        <w:tc>
          <w:tcPr>
            <w:tcW w:w="2754" w:type="dxa"/>
          </w:tcPr>
          <w:p w14:paraId="7AC8D824" w14:textId="24A13D41" w:rsidR="00966021" w:rsidRPr="00EA0A06" w:rsidRDefault="00966021" w:rsidP="00B21CF5">
            <w:pPr>
              <w:pStyle w:val="Instructions"/>
            </w:pPr>
          </w:p>
        </w:tc>
        <w:tc>
          <w:tcPr>
            <w:tcW w:w="6798" w:type="dxa"/>
          </w:tcPr>
          <w:p w14:paraId="0618C9F4" w14:textId="77777777" w:rsidR="00966021" w:rsidRPr="001A22F0" w:rsidRDefault="00966021" w:rsidP="00E32549">
            <w:pPr>
              <w:jc w:val="left"/>
            </w:pPr>
          </w:p>
        </w:tc>
      </w:tr>
      <w:tr w:rsidR="00966021" w:rsidRPr="001A22F0" w14:paraId="7DDC3F1D" w14:textId="77777777" w:rsidTr="00E32549">
        <w:tc>
          <w:tcPr>
            <w:tcW w:w="2754" w:type="dxa"/>
          </w:tcPr>
          <w:p w14:paraId="587C9A7C" w14:textId="58B7AC72" w:rsidR="00966021" w:rsidRPr="00EA0A06" w:rsidRDefault="00966021" w:rsidP="00B21CF5">
            <w:pPr>
              <w:pStyle w:val="Instructions"/>
            </w:pPr>
          </w:p>
        </w:tc>
        <w:tc>
          <w:tcPr>
            <w:tcW w:w="6798" w:type="dxa"/>
          </w:tcPr>
          <w:p w14:paraId="3F3F6396" w14:textId="77777777" w:rsidR="00966021" w:rsidRPr="001A22F0" w:rsidRDefault="00966021" w:rsidP="00E32549">
            <w:pPr>
              <w:jc w:val="left"/>
            </w:pPr>
          </w:p>
        </w:tc>
      </w:tr>
      <w:tr w:rsidR="00966021" w:rsidRPr="001A22F0" w14:paraId="5FCFEB14" w14:textId="77777777" w:rsidTr="00E32549">
        <w:tc>
          <w:tcPr>
            <w:tcW w:w="2754" w:type="dxa"/>
          </w:tcPr>
          <w:p w14:paraId="056E42A3" w14:textId="195F7658" w:rsidR="00966021" w:rsidRPr="00EA0A06" w:rsidRDefault="00966021" w:rsidP="00B21CF5">
            <w:pPr>
              <w:pStyle w:val="Instructions"/>
            </w:pPr>
          </w:p>
        </w:tc>
        <w:tc>
          <w:tcPr>
            <w:tcW w:w="6798" w:type="dxa"/>
          </w:tcPr>
          <w:p w14:paraId="71FF0782" w14:textId="77777777" w:rsidR="00966021" w:rsidRPr="001A22F0" w:rsidRDefault="00966021" w:rsidP="00E32549">
            <w:pPr>
              <w:jc w:val="left"/>
            </w:pPr>
          </w:p>
        </w:tc>
      </w:tr>
      <w:tr w:rsidR="00966021" w:rsidRPr="001A22F0" w14:paraId="57ABC585" w14:textId="77777777" w:rsidTr="00E32549">
        <w:tc>
          <w:tcPr>
            <w:tcW w:w="2754" w:type="dxa"/>
          </w:tcPr>
          <w:p w14:paraId="467A4AFD" w14:textId="7E4BDB24" w:rsidR="00966021" w:rsidRPr="00EA0A06" w:rsidRDefault="00966021" w:rsidP="00B21CF5">
            <w:pPr>
              <w:pStyle w:val="Instructions"/>
            </w:pPr>
          </w:p>
        </w:tc>
        <w:tc>
          <w:tcPr>
            <w:tcW w:w="6798" w:type="dxa"/>
          </w:tcPr>
          <w:p w14:paraId="2959C59E" w14:textId="77777777" w:rsidR="00966021" w:rsidRPr="005F763D" w:rsidRDefault="00966021" w:rsidP="00966021">
            <w:pPr>
              <w:jc w:val="left"/>
            </w:pPr>
            <w:r w:rsidRPr="005F763D">
              <w:t>The objective of having insurance cover over your life and your assets is to protect yourself and your family from financial distress in the event of death, illness or accident.  Where such an event occurs, there is often considerable emotional distress. Financial planning aims to remove the financial distress at such a time.</w:t>
            </w:r>
          </w:p>
          <w:p w14:paraId="73FF026E" w14:textId="77777777" w:rsidR="00966021" w:rsidRPr="005F763D" w:rsidRDefault="00966021" w:rsidP="00966021">
            <w:pPr>
              <w:jc w:val="left"/>
            </w:pPr>
          </w:p>
          <w:p w14:paraId="190D3378" w14:textId="77777777" w:rsidR="00966021" w:rsidRPr="005F763D" w:rsidRDefault="00966021" w:rsidP="00966021">
            <w:pPr>
              <w:jc w:val="left"/>
            </w:pPr>
            <w:r w:rsidRPr="005F763D">
              <w:t>There are two ways you can manage this type of risk:</w:t>
            </w:r>
          </w:p>
          <w:p w14:paraId="2A7C3FA9" w14:textId="77777777" w:rsidR="00966021" w:rsidRDefault="00966021" w:rsidP="003812CB">
            <w:pPr>
              <w:pStyle w:val="ListParagraph"/>
              <w:numPr>
                <w:ilvl w:val="0"/>
                <w:numId w:val="51"/>
              </w:numPr>
              <w:ind w:left="360"/>
              <w:jc w:val="left"/>
            </w:pPr>
            <w:r w:rsidRPr="005F763D">
              <w:t xml:space="preserve">Self-insurance </w:t>
            </w:r>
          </w:p>
          <w:p w14:paraId="7BA311A7" w14:textId="77777777" w:rsidR="00966021" w:rsidRPr="005F763D" w:rsidRDefault="00966021" w:rsidP="001A0F15">
            <w:pPr>
              <w:pStyle w:val="ListParagraph"/>
              <w:ind w:left="360"/>
              <w:jc w:val="left"/>
            </w:pPr>
            <w:r w:rsidRPr="005F763D">
              <w:t>or</w:t>
            </w:r>
          </w:p>
          <w:p w14:paraId="39E93D03" w14:textId="77777777" w:rsidR="00966021" w:rsidRPr="005F763D" w:rsidRDefault="00966021" w:rsidP="003812CB">
            <w:pPr>
              <w:pStyle w:val="ListParagraph"/>
              <w:numPr>
                <w:ilvl w:val="0"/>
                <w:numId w:val="51"/>
              </w:numPr>
              <w:ind w:left="360"/>
              <w:jc w:val="left"/>
            </w:pPr>
            <w:r w:rsidRPr="005F763D">
              <w:t>Transfer the risk to an insurance company.</w:t>
            </w:r>
          </w:p>
          <w:p w14:paraId="43D673FB" w14:textId="77777777" w:rsidR="00966021" w:rsidRPr="005F763D" w:rsidRDefault="00966021" w:rsidP="00966021">
            <w:pPr>
              <w:jc w:val="left"/>
            </w:pPr>
          </w:p>
          <w:p w14:paraId="152C4080" w14:textId="77777777" w:rsidR="00966021" w:rsidRPr="005F763D" w:rsidRDefault="00966021" w:rsidP="00966021">
            <w:pPr>
              <w:jc w:val="left"/>
            </w:pPr>
            <w:r w:rsidRPr="005F763D">
              <w:t xml:space="preserve">In the long term, you can self-insure by planning and actively setting aside funds for your family’s protection in the event of death, illness or accident.  However, this can take many years and a significant pool of assets to achieve. </w:t>
            </w:r>
          </w:p>
          <w:p w14:paraId="5DB31995" w14:textId="77777777" w:rsidR="00966021" w:rsidRPr="005F763D" w:rsidRDefault="00966021" w:rsidP="00966021">
            <w:pPr>
              <w:jc w:val="left"/>
            </w:pPr>
          </w:p>
          <w:p w14:paraId="3AE953FA" w14:textId="77777777" w:rsidR="00966021" w:rsidRPr="005F763D" w:rsidRDefault="00966021" w:rsidP="00966021">
            <w:pPr>
              <w:jc w:val="left"/>
            </w:pPr>
            <w:r w:rsidRPr="005F763D">
              <w:t>As your current assets are not sufficient to self-insure, we recommend that you recognise your family’s risk of financial loss and evaluate how much protection you require, and then transfer that risk to an insurance company.</w:t>
            </w:r>
          </w:p>
          <w:p w14:paraId="24477869" w14:textId="77777777" w:rsidR="00966021" w:rsidRPr="005F763D" w:rsidRDefault="00966021" w:rsidP="00966021">
            <w:pPr>
              <w:jc w:val="left"/>
            </w:pPr>
          </w:p>
          <w:p w14:paraId="64E31EC5" w14:textId="77777777" w:rsidR="00966021" w:rsidRPr="005F763D" w:rsidRDefault="00966021" w:rsidP="00966021">
            <w:pPr>
              <w:jc w:val="left"/>
            </w:pPr>
            <w:r w:rsidRPr="005F763D">
              <w:t>We have calculated the level of cover you require based on the information you provided in the current situation.  We have then researched the policies available to you with careful consideration of:</w:t>
            </w:r>
          </w:p>
          <w:p w14:paraId="78206878" w14:textId="77777777" w:rsidR="00966021" w:rsidRPr="005F763D" w:rsidRDefault="00966021" w:rsidP="003812CB">
            <w:pPr>
              <w:pStyle w:val="ListParagraph"/>
              <w:numPr>
                <w:ilvl w:val="0"/>
                <w:numId w:val="52"/>
              </w:numPr>
              <w:jc w:val="left"/>
            </w:pPr>
            <w:r w:rsidRPr="005F763D">
              <w:t>The broadest range of benefits that will suit your needs.</w:t>
            </w:r>
          </w:p>
          <w:p w14:paraId="0E54BBEF" w14:textId="77777777" w:rsidR="00966021" w:rsidRPr="005F763D" w:rsidRDefault="00966021" w:rsidP="003812CB">
            <w:pPr>
              <w:pStyle w:val="ListParagraph"/>
              <w:numPr>
                <w:ilvl w:val="0"/>
                <w:numId w:val="52"/>
              </w:numPr>
              <w:jc w:val="left"/>
            </w:pPr>
            <w:r w:rsidRPr="005F763D">
              <w:lastRenderedPageBreak/>
              <w:t>A quality insurer with a proven record when it comes time to make a claim.</w:t>
            </w:r>
          </w:p>
          <w:p w14:paraId="63BA6882" w14:textId="77777777" w:rsidR="00966021" w:rsidRPr="005F763D" w:rsidRDefault="00966021" w:rsidP="003812CB">
            <w:pPr>
              <w:pStyle w:val="ListParagraph"/>
              <w:numPr>
                <w:ilvl w:val="0"/>
                <w:numId w:val="52"/>
              </w:numPr>
              <w:jc w:val="left"/>
            </w:pPr>
            <w:r w:rsidRPr="005F763D">
              <w:t>Value for money - The premium cost versus the features and benefits.</w:t>
            </w:r>
          </w:p>
          <w:p w14:paraId="01483546" w14:textId="77777777" w:rsidR="00966021" w:rsidRPr="005F763D" w:rsidRDefault="00966021" w:rsidP="003812CB">
            <w:pPr>
              <w:pStyle w:val="ListParagraph"/>
              <w:numPr>
                <w:ilvl w:val="0"/>
                <w:numId w:val="52"/>
              </w:numPr>
              <w:jc w:val="left"/>
            </w:pPr>
            <w:r w:rsidRPr="005F763D">
              <w:t>How the research providers rate the insurer and the policy in respect to the competing policies.</w:t>
            </w:r>
          </w:p>
          <w:p w14:paraId="4BBA2B24" w14:textId="77777777" w:rsidR="001A0F15" w:rsidRDefault="001A0F15" w:rsidP="001A0F15">
            <w:pPr>
              <w:jc w:val="left"/>
            </w:pPr>
          </w:p>
          <w:p w14:paraId="4218F0EC" w14:textId="11AD9858" w:rsidR="001A0F15" w:rsidRPr="005F763D" w:rsidRDefault="001A0F15" w:rsidP="001A0F15">
            <w:pPr>
              <w:jc w:val="left"/>
            </w:pPr>
            <w:r w:rsidRPr="005F763D">
              <w:t>The insurance policies recommended were made after careful consideration of the benefits the policies would provide you and how much these benefits will cost you. It is important that we provide you a recommendation not purely driven by the premium, but a policy that will provide you with the all-round cover you require. It is important to understand that whilst the more fully featured policies are normally more expensive it is important to make sure that the benefits and features within the policies are going to provide you with the most suitable level of cover. We believe that all policies recommended are the most appropriate policies to meet your needs and objectives.</w:t>
            </w:r>
          </w:p>
          <w:p w14:paraId="5C9B94E4" w14:textId="77777777" w:rsidR="00966021" w:rsidRPr="001A22F0" w:rsidRDefault="00966021" w:rsidP="00E32549">
            <w:pPr>
              <w:jc w:val="left"/>
            </w:pPr>
          </w:p>
        </w:tc>
      </w:tr>
    </w:tbl>
    <w:p w14:paraId="0D166AC0" w14:textId="77777777" w:rsidR="00966021" w:rsidRDefault="00966021" w:rsidP="008C7CE9">
      <w:pPr>
        <w:jc w:val="left"/>
      </w:pPr>
    </w:p>
    <w:p w14:paraId="44229907" w14:textId="77777777" w:rsidR="00224D18" w:rsidRPr="005F763D" w:rsidRDefault="00224D18" w:rsidP="008C7CE9">
      <w:pPr>
        <w:jc w:val="left"/>
      </w:pPr>
    </w:p>
    <w:p w14:paraId="1CC68B61" w14:textId="77777777" w:rsidR="006F6957" w:rsidRDefault="006F6957" w:rsidP="008C7CE9">
      <w:pPr>
        <w:jc w:val="left"/>
        <w:sectPr w:rsidR="006F6957" w:rsidSect="00B14A22">
          <w:type w:val="continuous"/>
          <w:pgSz w:w="11906" w:h="16838" w:code="9"/>
          <w:pgMar w:top="1134" w:right="566" w:bottom="426" w:left="709" w:header="567" w:footer="95" w:gutter="0"/>
          <w:cols w:space="708"/>
          <w:docGrid w:linePitch="360"/>
        </w:sectPr>
      </w:pPr>
    </w:p>
    <w:p w14:paraId="327658BD" w14:textId="59BF5902" w:rsidR="00224D18" w:rsidRPr="005F763D" w:rsidRDefault="00224D18" w:rsidP="008C7CE9">
      <w:pPr>
        <w:jc w:val="left"/>
      </w:pPr>
    </w:p>
    <w:p w14:paraId="2C893046" w14:textId="77777777" w:rsidR="0042101C" w:rsidRDefault="0042101C" w:rsidP="008C7CE9">
      <w:pPr>
        <w:jc w:val="left"/>
        <w:sectPr w:rsidR="0042101C" w:rsidSect="00B14A22">
          <w:type w:val="continuous"/>
          <w:pgSz w:w="11906" w:h="16838" w:code="9"/>
          <w:pgMar w:top="1134" w:right="566" w:bottom="426" w:left="709" w:header="567" w:footer="95" w:gutter="0"/>
          <w:cols w:space="708"/>
          <w:docGrid w:linePitch="360"/>
        </w:sectPr>
      </w:pPr>
    </w:p>
    <w:p w14:paraId="6AC54077" w14:textId="6E054376" w:rsidR="006E64AD" w:rsidRDefault="006E64AD" w:rsidP="0008751D">
      <w:pPr>
        <w:pStyle w:val="Heading2"/>
      </w:pPr>
      <w:bookmarkStart w:id="108" w:name="_Toc46236037"/>
      <w:r>
        <w:t>Personal Insurance Recommendations</w:t>
      </w:r>
      <w:bookmarkEnd w:id="108"/>
    </w:p>
    <w:p w14:paraId="3844396B" w14:textId="758D134A" w:rsidR="00D614BC" w:rsidRPr="007F1DEF" w:rsidRDefault="00D614BC" w:rsidP="007F1DEF">
      <w:pPr>
        <w:jc w:val="left"/>
        <w:rPr>
          <w:sz w:val="24"/>
        </w:rPr>
      </w:pPr>
      <w:r w:rsidRPr="007F1DEF">
        <w:rPr>
          <w:color w:val="002060"/>
          <w:sz w:val="24"/>
        </w:rPr>
        <w:t>Life Insurance Cover</w:t>
      </w:r>
    </w:p>
    <w:p w14:paraId="2C5B94DE" w14:textId="6566E23F" w:rsidR="00D614BC" w:rsidRDefault="00D614BC" w:rsidP="008C7CE9">
      <w:pPr>
        <w:jc w:val="left"/>
      </w:pPr>
    </w:p>
    <w:tbl>
      <w:tblPr>
        <w:tblW w:w="0" w:type="auto"/>
        <w:tblInd w:w="76" w:type="dxa"/>
        <w:tblLook w:val="04A0" w:firstRow="1" w:lastRow="0" w:firstColumn="1" w:lastColumn="0" w:noHBand="0" w:noVBand="1"/>
      </w:tblPr>
      <w:tblGrid>
        <w:gridCol w:w="2754"/>
        <w:gridCol w:w="6798"/>
      </w:tblGrid>
      <w:tr w:rsidR="00A67B58" w:rsidRPr="00E51BEA" w14:paraId="5C1C9B48" w14:textId="77777777" w:rsidTr="004D1683">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BE566AE" w14:textId="77777777" w:rsidR="00A67B58" w:rsidRPr="00AA2CC6" w:rsidRDefault="00A67B58" w:rsidP="004D1683">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AA0F67C" w14:textId="77777777" w:rsidR="00A67B58" w:rsidRPr="00E51BEA" w:rsidRDefault="00A67B58" w:rsidP="004D1683">
            <w:pPr>
              <w:pStyle w:val="TableHeader2"/>
              <w:rPr>
                <w:rFonts w:ascii="Calibri Light" w:hAnsi="Calibri Light"/>
              </w:rPr>
            </w:pPr>
          </w:p>
        </w:tc>
      </w:tr>
      <w:tr w:rsidR="00A67B58" w:rsidRPr="0088114A" w14:paraId="1E902DCE"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07E07C0" w14:textId="77777777" w:rsidR="00A67B58" w:rsidRPr="00E87AAA" w:rsidRDefault="00A67B58" w:rsidP="00B21CF5">
            <w:pPr>
              <w:pStyle w:val="Instructions"/>
            </w:pPr>
            <w:r w:rsidRPr="00E87AAA">
              <w:t>Title</w:t>
            </w:r>
          </w:p>
        </w:tc>
        <w:tc>
          <w:tcPr>
            <w:tcW w:w="6798" w:type="dxa"/>
            <w:shd w:val="clear" w:color="auto" w:fill="auto"/>
          </w:tcPr>
          <w:p w14:paraId="0DFC2E7D" w14:textId="5648811C" w:rsidR="00A67B58" w:rsidRPr="0088114A" w:rsidRDefault="00E32549" w:rsidP="004D1683">
            <w:pPr>
              <w:spacing w:before="120"/>
            </w:pPr>
            <w:r>
              <w:t xml:space="preserve">Life </w:t>
            </w:r>
            <w:commentRangeStart w:id="109"/>
            <w:r>
              <w:t>Insurance</w:t>
            </w:r>
            <w:commentRangeEnd w:id="109"/>
            <w:r w:rsidR="00142728">
              <w:rPr>
                <w:rStyle w:val="CommentReference"/>
                <w:color w:val="auto"/>
                <w:lang w:eastAsia="ja-JP"/>
              </w:rPr>
              <w:commentReference w:id="109"/>
            </w:r>
          </w:p>
        </w:tc>
      </w:tr>
      <w:tr w:rsidR="00A67B58" w:rsidRPr="0088114A" w14:paraId="1F61942A"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C39FAC0" w14:textId="77777777" w:rsidR="00A67B58" w:rsidRPr="00E87AAA" w:rsidRDefault="00A67B58" w:rsidP="00B21CF5">
            <w:pPr>
              <w:pStyle w:val="Instructions"/>
            </w:pPr>
            <w:r w:rsidRPr="00E87AAA">
              <w:t>Explanation</w:t>
            </w:r>
          </w:p>
        </w:tc>
        <w:tc>
          <w:tcPr>
            <w:tcW w:w="6798" w:type="dxa"/>
            <w:shd w:val="clear" w:color="auto" w:fill="auto"/>
          </w:tcPr>
          <w:p w14:paraId="2B658F1C" w14:textId="6D9D7A7F" w:rsidR="00A67B58" w:rsidRPr="00C7291C" w:rsidRDefault="00095751" w:rsidP="004D1683">
            <w:pPr>
              <w:spacing w:before="120"/>
            </w:pPr>
            <w:r w:rsidRPr="00C7291C">
              <w:t>It is recommended that you apply for $</w:t>
            </w:r>
            <w:r w:rsidRPr="00C7291C">
              <w:rPr>
                <w:color w:val="FF0000"/>
              </w:rPr>
              <w:t>[_</w:t>
            </w:r>
            <w:proofErr w:type="gramStart"/>
            <w:r w:rsidRPr="00C7291C">
              <w:rPr>
                <w:color w:val="FF0000"/>
              </w:rPr>
              <w:t>_,_</w:t>
            </w:r>
            <w:proofErr w:type="gramEnd"/>
            <w:r w:rsidRPr="00C7291C">
              <w:rPr>
                <w:color w:val="FF0000"/>
              </w:rPr>
              <w:t>_]</w:t>
            </w:r>
            <w:r w:rsidRPr="00C7291C">
              <w:t xml:space="preserve"> of Life Cover </w:t>
            </w:r>
            <w:r w:rsidRPr="00C7291C">
              <w:rPr>
                <w:color w:val="FF0000"/>
              </w:rPr>
              <w:t>[</w:t>
            </w:r>
            <w:r w:rsidR="00AA01A1">
              <w:rPr>
                <w:color w:val="FF0000"/>
              </w:rPr>
              <w:t xml:space="preserve">Full </w:t>
            </w:r>
            <w:commentRangeStart w:id="110"/>
            <w:r w:rsidRPr="00C7291C">
              <w:rPr>
                <w:color w:val="FF0000"/>
              </w:rPr>
              <w:t>Product</w:t>
            </w:r>
            <w:commentRangeEnd w:id="110"/>
            <w:r w:rsidR="00AA01A1">
              <w:rPr>
                <w:rStyle w:val="CommentReference"/>
                <w:color w:val="auto"/>
                <w:lang w:eastAsia="ja-JP"/>
              </w:rPr>
              <w:commentReference w:id="110"/>
            </w:r>
            <w:r w:rsidRPr="00C7291C">
              <w:rPr>
                <w:color w:val="FF0000"/>
              </w:rPr>
              <w:t xml:space="preserve"> Name]</w:t>
            </w:r>
            <w:r w:rsidRPr="00C7291C">
              <w:t xml:space="preserve"> with </w:t>
            </w:r>
            <w:r w:rsidRPr="00C7291C">
              <w:rPr>
                <w:color w:val="FF0000"/>
              </w:rPr>
              <w:t>[Provider]</w:t>
            </w:r>
            <w:r w:rsidRPr="00C7291C">
              <w:t>.</w:t>
            </w:r>
          </w:p>
          <w:p w14:paraId="15B40607" w14:textId="5C25B7F9" w:rsidR="000F4823" w:rsidRDefault="000F4823" w:rsidP="004D1683">
            <w:pPr>
              <w:spacing w:before="120"/>
            </w:pPr>
            <w:r w:rsidRPr="00C7291C">
              <w:t>The insurance will have the following terms:</w:t>
            </w:r>
          </w:p>
          <w:p w14:paraId="2E0FB482" w14:textId="593C1FC6" w:rsidR="000F4823" w:rsidRPr="008D692B" w:rsidRDefault="000F4823">
            <w:pPr>
              <w:pStyle w:val="InterPracBullet"/>
            </w:pPr>
            <w:r w:rsidRPr="008D692B">
              <w:rPr>
                <w:highlight w:val="yellow"/>
              </w:rPr>
              <w:t>[Term]</w:t>
            </w:r>
          </w:p>
          <w:p w14:paraId="729BD1C2" w14:textId="11CA5AD2" w:rsidR="000F4823" w:rsidRPr="00765BEF" w:rsidRDefault="000F4823">
            <w:pPr>
              <w:pStyle w:val="InterPracBullet"/>
            </w:pPr>
            <w:r w:rsidRPr="00765BEF">
              <w:rPr>
                <w:highlight w:val="yellow"/>
              </w:rPr>
              <w:t>[Term]</w:t>
            </w:r>
          </w:p>
          <w:p w14:paraId="77555317" w14:textId="307248F4" w:rsidR="00095751" w:rsidRPr="0088114A" w:rsidRDefault="00095751" w:rsidP="004D1683">
            <w:pPr>
              <w:spacing w:before="120"/>
              <w:rPr>
                <w:sz w:val="18"/>
                <w:szCs w:val="18"/>
                <w:highlight w:val="yellow"/>
              </w:rPr>
            </w:pPr>
          </w:p>
        </w:tc>
      </w:tr>
      <w:tr w:rsidR="00A67B58" w:rsidRPr="00E87AAA" w14:paraId="78B9CED5"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D7DDE01" w14:textId="77777777" w:rsidR="00A67B58" w:rsidRPr="00E87AAA" w:rsidRDefault="00A67B58" w:rsidP="00B21CF5">
            <w:pPr>
              <w:pStyle w:val="Instructions"/>
            </w:pPr>
            <w:r w:rsidRPr="00E87AAA">
              <w:t>In your Best Interest</w:t>
            </w:r>
          </w:p>
        </w:tc>
        <w:tc>
          <w:tcPr>
            <w:tcW w:w="6798" w:type="dxa"/>
            <w:shd w:val="clear" w:color="auto" w:fill="auto"/>
          </w:tcPr>
          <w:p w14:paraId="60BAC8E4" w14:textId="77777777" w:rsidR="00A67B58" w:rsidRPr="00E87AAA" w:rsidRDefault="00A67B58" w:rsidP="004D1683">
            <w:pPr>
              <w:spacing w:before="120"/>
              <w:jc w:val="left"/>
              <w:rPr>
                <w:sz w:val="18"/>
                <w:szCs w:val="18"/>
                <w:highlight w:val="yellow"/>
              </w:rPr>
            </w:pPr>
          </w:p>
        </w:tc>
      </w:tr>
      <w:tr w:rsidR="00A67B58" w:rsidRPr="00E87AAA" w14:paraId="7598CF24"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40B2D3" w14:textId="77777777" w:rsidR="00A67B58" w:rsidRPr="00E87AAA" w:rsidRDefault="00A67B58" w:rsidP="00B21CF5">
            <w:pPr>
              <w:pStyle w:val="Instructions"/>
            </w:pPr>
            <w:r>
              <w:t>Further Detail</w:t>
            </w:r>
          </w:p>
        </w:tc>
        <w:tc>
          <w:tcPr>
            <w:tcW w:w="6798" w:type="dxa"/>
            <w:shd w:val="clear" w:color="auto" w:fill="auto"/>
          </w:tcPr>
          <w:p w14:paraId="753A5BBD" w14:textId="039716BC" w:rsidR="0034492D" w:rsidRPr="005F763D" w:rsidRDefault="0034492D" w:rsidP="0034492D">
            <w:pPr>
              <w:jc w:val="left"/>
            </w:pPr>
            <w:r w:rsidRPr="00C7291C">
              <w:t>We believe that implementing the recommended Life Insurance cover typically meets your needs/objectives for the following reasons:</w:t>
            </w:r>
          </w:p>
          <w:p w14:paraId="5ADE4BFB" w14:textId="77777777" w:rsidR="0034492D" w:rsidRPr="005F763D" w:rsidRDefault="0034492D" w:rsidP="003812CB">
            <w:pPr>
              <w:pStyle w:val="ListParagraph"/>
              <w:numPr>
                <w:ilvl w:val="0"/>
                <w:numId w:val="53"/>
              </w:numPr>
              <w:jc w:val="left"/>
            </w:pPr>
            <w:r w:rsidRPr="005F763D">
              <w:t>Currently, if you were to die, your family would not have sufficient funds to allow them to maintain their current lifestyle.</w:t>
            </w:r>
          </w:p>
          <w:p w14:paraId="1D15D2CC" w14:textId="77777777" w:rsidR="0034492D" w:rsidRPr="005F763D" w:rsidRDefault="0034492D" w:rsidP="003812CB">
            <w:pPr>
              <w:pStyle w:val="ListParagraph"/>
              <w:numPr>
                <w:ilvl w:val="0"/>
                <w:numId w:val="53"/>
              </w:numPr>
              <w:jc w:val="left"/>
            </w:pPr>
            <w:r w:rsidRPr="005F763D">
              <w:t>Ideally life insurance cover will allow the family to be debt free and remain in their current home without the surviving spouse having to seek additional income during a time in which the loss of a loved one can be stressful enough.</w:t>
            </w:r>
          </w:p>
          <w:p w14:paraId="20B47458" w14:textId="77777777" w:rsidR="0034492D" w:rsidRDefault="0034492D" w:rsidP="0034492D">
            <w:pPr>
              <w:jc w:val="left"/>
              <w:rPr>
                <w:rFonts w:ascii="Calibri Light" w:hAnsi="Calibri Light"/>
                <w:b/>
                <w:color w:val="auto"/>
                <w:w w:val="120"/>
                <w:sz w:val="16"/>
                <w:szCs w:val="16"/>
                <w:highlight w:val="yellow"/>
              </w:rPr>
            </w:pPr>
          </w:p>
          <w:p w14:paraId="095BBB9A" w14:textId="7436D81E" w:rsidR="0034492D" w:rsidRDefault="0034492D" w:rsidP="0034492D">
            <w:pPr>
              <w:jc w:val="left"/>
            </w:pPr>
            <w:r w:rsidRPr="000D0191">
              <w:rPr>
                <w:b/>
              </w:rPr>
              <w:t>Level Premiums:</w:t>
            </w:r>
            <w:r w:rsidRPr="005F763D">
              <w:t xml:space="preserve"> </w:t>
            </w:r>
            <w:commentRangeStart w:id="111"/>
            <w:r w:rsidRPr="005F763D">
              <w:t>We</w:t>
            </w:r>
            <w:commentRangeEnd w:id="111"/>
            <w:r w:rsidR="00976EEB">
              <w:rPr>
                <w:rStyle w:val="CommentReference"/>
                <w:color w:val="auto"/>
                <w:lang w:eastAsia="ja-JP"/>
              </w:rPr>
              <w:commentReference w:id="111"/>
            </w:r>
            <w:r w:rsidRPr="005F763D">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770DE62A" w14:textId="77777777" w:rsidR="0034492D" w:rsidRPr="005F763D" w:rsidRDefault="0034492D" w:rsidP="0034492D">
            <w:pPr>
              <w:jc w:val="left"/>
            </w:pPr>
          </w:p>
          <w:p w14:paraId="604D614A" w14:textId="77777777" w:rsidR="0034492D" w:rsidRPr="000D0191" w:rsidRDefault="0034492D" w:rsidP="0034492D">
            <w:pPr>
              <w:jc w:val="left"/>
              <w:rPr>
                <w:b/>
              </w:rPr>
            </w:pPr>
            <w:r w:rsidRPr="000D0191">
              <w:rPr>
                <w:b/>
              </w:rPr>
              <w:t xml:space="preserve">Stepped Premiums: </w:t>
            </w:r>
            <w:r w:rsidRPr="00FA3ECB">
              <w:t>We have recommended stepped premiums because they are lower and more cost effective for you than level premiums in the initial years. Stepped premiums are based on your age and will usually increase each year. Premiums may be</w:t>
            </w:r>
            <w:r w:rsidRPr="000D0191">
              <w:t xml:space="preserve"> higher than level premiums where the policy is held for an extended period.</w:t>
            </w:r>
          </w:p>
          <w:p w14:paraId="7D2B8C76" w14:textId="77777777" w:rsidR="002275D9" w:rsidRDefault="002275D9" w:rsidP="0034492D">
            <w:pPr>
              <w:jc w:val="left"/>
              <w:rPr>
                <w:rFonts w:ascii="Calibri Light" w:hAnsi="Calibri Light"/>
                <w:b/>
                <w:color w:val="auto"/>
                <w:w w:val="120"/>
                <w:sz w:val="16"/>
                <w:szCs w:val="16"/>
                <w:highlight w:val="yellow"/>
              </w:rPr>
            </w:pPr>
          </w:p>
          <w:p w14:paraId="795C0A3B" w14:textId="77777777" w:rsidR="002275D9" w:rsidRDefault="002275D9" w:rsidP="0034492D">
            <w:pPr>
              <w:jc w:val="left"/>
            </w:pPr>
          </w:p>
          <w:p w14:paraId="1F14EA25" w14:textId="192346B3" w:rsidR="0034492D" w:rsidRPr="005F763D" w:rsidRDefault="0034492D" w:rsidP="0034492D">
            <w:pPr>
              <w:jc w:val="left"/>
            </w:pPr>
            <w:r w:rsidRPr="005F763D">
              <w:t>Before proceeding with the recommended Life Insurance, you should consider the following:</w:t>
            </w:r>
          </w:p>
          <w:p w14:paraId="00675860" w14:textId="77777777" w:rsidR="0034492D" w:rsidRPr="005F763D" w:rsidRDefault="0034492D" w:rsidP="003812CB">
            <w:pPr>
              <w:pStyle w:val="ListParagraph"/>
              <w:numPr>
                <w:ilvl w:val="0"/>
                <w:numId w:val="53"/>
              </w:numPr>
              <w:jc w:val="left"/>
            </w:pPr>
            <w:r w:rsidRPr="000D0191">
              <w:lastRenderedPageBreak/>
              <w:t>You may not be able to claim under the recommended policy in the event of death by suicide for a period of 13 months from the commencement of the policy.</w:t>
            </w:r>
          </w:p>
          <w:p w14:paraId="17B60091" w14:textId="77777777" w:rsidR="0034492D" w:rsidRDefault="0034492D" w:rsidP="003812CB">
            <w:pPr>
              <w:pStyle w:val="ListParagraph"/>
              <w:numPr>
                <w:ilvl w:val="0"/>
                <w:numId w:val="53"/>
              </w:numPr>
              <w:jc w:val="left"/>
            </w:pPr>
            <w:r w:rsidRPr="000D0191">
              <w:t xml:space="preserve">If a claim is made on your Term Life policy and the insurer agrees to pay the claim, the lump sum will be paid either to: </w:t>
            </w:r>
          </w:p>
          <w:p w14:paraId="3C407C2A" w14:textId="77777777" w:rsidR="0034492D" w:rsidRDefault="0034492D" w:rsidP="0034492D">
            <w:pPr>
              <w:pStyle w:val="ListParagraph"/>
              <w:jc w:val="left"/>
            </w:pPr>
            <w:r w:rsidRPr="000D0191">
              <w:t xml:space="preserve">(1) your nominated beneficiary (and not form part of your Estate) or </w:t>
            </w:r>
          </w:p>
          <w:p w14:paraId="10E83607" w14:textId="77777777" w:rsidR="0034492D" w:rsidRPr="000D0191" w:rsidRDefault="0034492D" w:rsidP="0034492D">
            <w:pPr>
              <w:pStyle w:val="ListParagraph"/>
              <w:jc w:val="left"/>
            </w:pPr>
            <w:r w:rsidRPr="000D0191">
              <w:t>(2) your Estate and be distributed in accordance with the instructions in your Will.</w:t>
            </w:r>
          </w:p>
          <w:p w14:paraId="4C18FC6D" w14:textId="77777777" w:rsidR="00A67B58" w:rsidRPr="00E87AAA" w:rsidRDefault="00A67B58" w:rsidP="004D1683">
            <w:pPr>
              <w:spacing w:before="120"/>
              <w:jc w:val="left"/>
              <w:rPr>
                <w:sz w:val="18"/>
                <w:szCs w:val="18"/>
                <w:highlight w:val="yellow"/>
              </w:rPr>
            </w:pPr>
          </w:p>
        </w:tc>
      </w:tr>
    </w:tbl>
    <w:p w14:paraId="37026FF7" w14:textId="77777777" w:rsidR="00A67B58" w:rsidRPr="005F763D" w:rsidRDefault="00A67B58" w:rsidP="008C7CE9">
      <w:pPr>
        <w:jc w:val="left"/>
      </w:pPr>
    </w:p>
    <w:p w14:paraId="06B7BFCE" w14:textId="77777777" w:rsidR="00D614BC" w:rsidRPr="005F763D" w:rsidRDefault="00D614BC" w:rsidP="008C7CE9">
      <w:pPr>
        <w:jc w:val="left"/>
      </w:pPr>
    </w:p>
    <w:p w14:paraId="64384107" w14:textId="77777777" w:rsidR="006F6957" w:rsidRDefault="006F6957" w:rsidP="008C7CE9">
      <w:pPr>
        <w:jc w:val="left"/>
        <w:sectPr w:rsidR="006F6957" w:rsidSect="00B14A22">
          <w:type w:val="continuous"/>
          <w:pgSz w:w="11906" w:h="16838" w:code="9"/>
          <w:pgMar w:top="1134" w:right="566" w:bottom="426" w:left="709" w:header="567" w:footer="95" w:gutter="0"/>
          <w:cols w:space="708"/>
          <w:docGrid w:linePitch="360"/>
        </w:sectPr>
      </w:pPr>
    </w:p>
    <w:p w14:paraId="4DFA85BB" w14:textId="77777777" w:rsidR="000270CE" w:rsidRDefault="000270CE" w:rsidP="008C7CE9">
      <w:pPr>
        <w:jc w:val="left"/>
        <w:sectPr w:rsidR="000270CE" w:rsidSect="00B14A22">
          <w:type w:val="continuous"/>
          <w:pgSz w:w="11906" w:h="16838" w:code="9"/>
          <w:pgMar w:top="1134" w:right="566" w:bottom="426" w:left="709" w:header="567" w:footer="95" w:gutter="0"/>
          <w:cols w:space="708"/>
          <w:docGrid w:linePitch="360"/>
        </w:sectPr>
      </w:pPr>
    </w:p>
    <w:p w14:paraId="5245E2E1" w14:textId="52602865" w:rsidR="00D614BC" w:rsidRPr="005F763D" w:rsidRDefault="00D614BC" w:rsidP="008C7CE9">
      <w:pPr>
        <w:jc w:val="left"/>
      </w:pPr>
    </w:p>
    <w:p w14:paraId="5E1DAF8C" w14:textId="68D4C9A7" w:rsidR="00D614BC" w:rsidRPr="006A0F17" w:rsidRDefault="00D614BC" w:rsidP="006A0F17">
      <w:pPr>
        <w:jc w:val="left"/>
        <w:rPr>
          <w:color w:val="002060"/>
          <w:sz w:val="24"/>
        </w:rPr>
      </w:pPr>
      <w:r w:rsidRPr="006A0F17">
        <w:rPr>
          <w:color w:val="002060"/>
          <w:sz w:val="24"/>
        </w:rPr>
        <w:t>TPD Insurance Cover</w:t>
      </w:r>
    </w:p>
    <w:p w14:paraId="33E47796" w14:textId="579CD10C" w:rsidR="00D614BC" w:rsidRDefault="00D614BC"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51AA98C6" w14:textId="77777777" w:rsidTr="00E32549">
        <w:tc>
          <w:tcPr>
            <w:tcW w:w="2754" w:type="dxa"/>
          </w:tcPr>
          <w:p w14:paraId="18B8119C" w14:textId="77777777" w:rsidR="00966021" w:rsidRPr="00EA0A06" w:rsidRDefault="00966021" w:rsidP="00E32549">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68885826" w14:textId="77777777" w:rsidR="00966021" w:rsidRPr="00E51BEA" w:rsidRDefault="00966021" w:rsidP="00E32549">
            <w:pPr>
              <w:pStyle w:val="TableHeader2"/>
              <w:rPr>
                <w:rFonts w:ascii="Calibri Light" w:hAnsi="Calibri Light"/>
              </w:rPr>
            </w:pPr>
          </w:p>
        </w:tc>
      </w:tr>
      <w:tr w:rsidR="00966021" w:rsidRPr="001A22F0" w14:paraId="046A0F02" w14:textId="77777777" w:rsidTr="00E32549">
        <w:tc>
          <w:tcPr>
            <w:tcW w:w="2754" w:type="dxa"/>
          </w:tcPr>
          <w:p w14:paraId="18B3BE25" w14:textId="77777777" w:rsidR="00966021" w:rsidRPr="00EA0A06" w:rsidRDefault="00966021" w:rsidP="00B21CF5">
            <w:pPr>
              <w:pStyle w:val="Instructions"/>
            </w:pPr>
            <w:commentRangeStart w:id="112"/>
            <w:r w:rsidRPr="00EA0A06">
              <w:t>Title</w:t>
            </w:r>
            <w:commentRangeEnd w:id="112"/>
            <w:r w:rsidR="006C7FBF">
              <w:rPr>
                <w:rStyle w:val="CommentReference"/>
                <w:b w:val="0"/>
                <w:w w:val="100"/>
                <w:lang w:eastAsia="ja-JP"/>
              </w:rPr>
              <w:commentReference w:id="112"/>
            </w:r>
          </w:p>
        </w:tc>
        <w:tc>
          <w:tcPr>
            <w:tcW w:w="6798" w:type="dxa"/>
          </w:tcPr>
          <w:p w14:paraId="42925F97" w14:textId="5CD08393" w:rsidR="00966021" w:rsidRPr="001A22F0" w:rsidRDefault="00D0056C" w:rsidP="00E32549">
            <w:pPr>
              <w:jc w:val="left"/>
            </w:pPr>
            <w:r>
              <w:t>Total and Permanent Disability Cover</w:t>
            </w:r>
          </w:p>
        </w:tc>
      </w:tr>
      <w:tr w:rsidR="00966021" w:rsidRPr="001A22F0" w14:paraId="26049EEB" w14:textId="77777777" w:rsidTr="00E32549">
        <w:tc>
          <w:tcPr>
            <w:tcW w:w="2754" w:type="dxa"/>
          </w:tcPr>
          <w:p w14:paraId="73CE6975" w14:textId="77777777" w:rsidR="00966021" w:rsidRPr="00EA0A06" w:rsidRDefault="00966021" w:rsidP="00B21CF5">
            <w:pPr>
              <w:pStyle w:val="Instructions"/>
            </w:pPr>
            <w:r w:rsidRPr="00EA0A06">
              <w:t>Explanation</w:t>
            </w:r>
          </w:p>
        </w:tc>
        <w:tc>
          <w:tcPr>
            <w:tcW w:w="6798" w:type="dxa"/>
          </w:tcPr>
          <w:p w14:paraId="5DA6106F" w14:textId="432A468B" w:rsidR="000F4823" w:rsidRPr="00C7291C" w:rsidRDefault="000F4823" w:rsidP="000F4823">
            <w:pPr>
              <w:spacing w:before="120"/>
            </w:pPr>
            <w:r w:rsidRPr="00C7291C">
              <w:t>It is recommended that you apply for $</w:t>
            </w:r>
            <w:r w:rsidRPr="00C7291C">
              <w:rPr>
                <w:color w:val="FF0000"/>
              </w:rPr>
              <w:t>[_</w:t>
            </w:r>
            <w:proofErr w:type="gramStart"/>
            <w:r w:rsidRPr="00C7291C">
              <w:rPr>
                <w:color w:val="FF0000"/>
              </w:rPr>
              <w:t>_,_</w:t>
            </w:r>
            <w:proofErr w:type="gramEnd"/>
            <w:r w:rsidRPr="00C7291C">
              <w:rPr>
                <w:color w:val="FF0000"/>
              </w:rPr>
              <w:t>_]</w:t>
            </w:r>
            <w:r w:rsidRPr="00C7291C">
              <w:t xml:space="preserve"> of Total and Permanent Disability</w:t>
            </w:r>
            <w:r w:rsidR="00A0749F" w:rsidRPr="00C7291C">
              <w:t xml:space="preserve"> cover</w:t>
            </w:r>
            <w:r w:rsidRPr="00C7291C">
              <w:t xml:space="preserve"> </w:t>
            </w:r>
            <w:r w:rsidRPr="00C7291C">
              <w:rPr>
                <w:color w:val="FF0000"/>
              </w:rPr>
              <w:t>[</w:t>
            </w:r>
            <w:r w:rsidR="00AA01A1">
              <w:rPr>
                <w:color w:val="FF0000"/>
              </w:rPr>
              <w:t xml:space="preserve">Full </w:t>
            </w:r>
            <w:commentRangeStart w:id="113"/>
            <w:r w:rsidRPr="00C7291C">
              <w:rPr>
                <w:color w:val="FF0000"/>
              </w:rPr>
              <w:t>Product</w:t>
            </w:r>
            <w:commentRangeEnd w:id="113"/>
            <w:r w:rsidR="00AA01A1">
              <w:rPr>
                <w:rStyle w:val="CommentReference"/>
                <w:color w:val="auto"/>
                <w:lang w:eastAsia="ja-JP"/>
              </w:rPr>
              <w:commentReference w:id="113"/>
            </w:r>
            <w:r w:rsidRPr="00C7291C">
              <w:rPr>
                <w:color w:val="FF0000"/>
              </w:rPr>
              <w:t xml:space="preserve"> Name]</w:t>
            </w:r>
            <w:r w:rsidRPr="00C7291C">
              <w:t xml:space="preserve"> with </w:t>
            </w:r>
            <w:r w:rsidRPr="00C7291C">
              <w:rPr>
                <w:color w:val="FF0000"/>
              </w:rPr>
              <w:t>[Provider]</w:t>
            </w:r>
            <w:r w:rsidRPr="00C7291C">
              <w:t>.</w:t>
            </w:r>
          </w:p>
          <w:p w14:paraId="46D15A1A" w14:textId="77777777" w:rsidR="000F4823" w:rsidRDefault="000F4823" w:rsidP="000F4823">
            <w:pPr>
              <w:spacing w:before="120"/>
            </w:pPr>
            <w:r w:rsidRPr="00C7291C">
              <w:t>The insurance will have the following terms:</w:t>
            </w:r>
          </w:p>
          <w:p w14:paraId="687A60DF" w14:textId="77777777" w:rsidR="000F4823" w:rsidRPr="000F4823" w:rsidRDefault="000F4823">
            <w:pPr>
              <w:pStyle w:val="InterPracBullet"/>
              <w:rPr>
                <w:highlight w:val="yellow"/>
              </w:rPr>
            </w:pPr>
            <w:r w:rsidRPr="000F4823">
              <w:rPr>
                <w:highlight w:val="yellow"/>
              </w:rPr>
              <w:t>[Term]</w:t>
            </w:r>
          </w:p>
          <w:p w14:paraId="39E34B84" w14:textId="77777777" w:rsidR="000F4823" w:rsidRPr="00765BEF" w:rsidRDefault="000F4823">
            <w:pPr>
              <w:pStyle w:val="InterPracBullet"/>
              <w:rPr>
                <w:highlight w:val="yellow"/>
              </w:rPr>
            </w:pPr>
            <w:r w:rsidRPr="000F4823">
              <w:rPr>
                <w:highlight w:val="yellow"/>
              </w:rPr>
              <w:t>[Term]</w:t>
            </w:r>
          </w:p>
          <w:p w14:paraId="50B0B460" w14:textId="77777777" w:rsidR="00966021" w:rsidRPr="001A22F0" w:rsidRDefault="00966021" w:rsidP="00E32549">
            <w:pPr>
              <w:jc w:val="left"/>
            </w:pPr>
          </w:p>
        </w:tc>
      </w:tr>
      <w:tr w:rsidR="00966021" w:rsidRPr="001A22F0" w14:paraId="6D80D24E" w14:textId="77777777" w:rsidTr="00E32549">
        <w:tc>
          <w:tcPr>
            <w:tcW w:w="2754" w:type="dxa"/>
          </w:tcPr>
          <w:p w14:paraId="1A516142" w14:textId="77777777" w:rsidR="00966021" w:rsidRPr="00EA0A06" w:rsidRDefault="00966021" w:rsidP="00B21CF5">
            <w:pPr>
              <w:pStyle w:val="Instructions"/>
            </w:pPr>
            <w:r w:rsidRPr="00EA0A06">
              <w:t>In your Best Interest</w:t>
            </w:r>
          </w:p>
        </w:tc>
        <w:tc>
          <w:tcPr>
            <w:tcW w:w="6798" w:type="dxa"/>
          </w:tcPr>
          <w:p w14:paraId="3F0CEA2F" w14:textId="77777777" w:rsidR="00966021" w:rsidRPr="001A22F0" w:rsidRDefault="00966021" w:rsidP="00E32549">
            <w:pPr>
              <w:jc w:val="left"/>
            </w:pPr>
          </w:p>
        </w:tc>
      </w:tr>
      <w:tr w:rsidR="00966021" w:rsidRPr="001A22F0" w14:paraId="6DFF4648" w14:textId="77777777" w:rsidTr="00E32549">
        <w:tc>
          <w:tcPr>
            <w:tcW w:w="2754" w:type="dxa"/>
          </w:tcPr>
          <w:p w14:paraId="0210F440" w14:textId="77777777" w:rsidR="00966021" w:rsidRPr="00EA0A06" w:rsidRDefault="00966021" w:rsidP="00B21CF5">
            <w:pPr>
              <w:pStyle w:val="Instructions"/>
            </w:pPr>
            <w:r w:rsidRPr="00EA0A06">
              <w:t>Further Detail</w:t>
            </w:r>
          </w:p>
        </w:tc>
        <w:tc>
          <w:tcPr>
            <w:tcW w:w="6798" w:type="dxa"/>
          </w:tcPr>
          <w:p w14:paraId="650E5B77" w14:textId="77777777" w:rsidR="00D0056C" w:rsidRPr="005F763D" w:rsidRDefault="00D0056C" w:rsidP="00D0056C">
            <w:pPr>
              <w:jc w:val="left"/>
            </w:pPr>
            <w:r w:rsidRPr="005F763D">
              <w:t>We believe that implementing the recommended TPD Insurance cover meets your needs/objectives for the following reasons:</w:t>
            </w:r>
          </w:p>
          <w:p w14:paraId="72D7E22F" w14:textId="77777777" w:rsidR="00D0056C" w:rsidRPr="005F763D" w:rsidRDefault="00D0056C" w:rsidP="003812CB">
            <w:pPr>
              <w:pStyle w:val="ListParagraph"/>
              <w:numPr>
                <w:ilvl w:val="0"/>
                <w:numId w:val="54"/>
              </w:numPr>
              <w:jc w:val="left"/>
            </w:pPr>
            <w:r w:rsidRPr="005F763D">
              <w:t>Total and Permanent Disability (TPD) insurance cover provides a lump sum to provide for your family in the event you are so severely disabled you will never be able to return to work.</w:t>
            </w:r>
          </w:p>
          <w:p w14:paraId="5F0D0BE0" w14:textId="77777777" w:rsidR="00D0056C" w:rsidRPr="005F763D" w:rsidRDefault="00D0056C" w:rsidP="003812CB">
            <w:pPr>
              <w:pStyle w:val="ListParagraph"/>
              <w:numPr>
                <w:ilvl w:val="0"/>
                <w:numId w:val="54"/>
              </w:numPr>
              <w:jc w:val="left"/>
            </w:pPr>
            <w:r w:rsidRPr="005F763D">
              <w:t>The lump sum payment of a TPD benefit can be used for any purpose but would normally be structured to supplement any other income payments that may be received, as well as for any costs that may be required to allow for the ongoing care of the disabled person.  Because of this, a TPD benefit is normally calculated as being equal to or slightly less than one’s life insurance benefit requirement.</w:t>
            </w:r>
          </w:p>
          <w:p w14:paraId="7B9B3AE7" w14:textId="77777777" w:rsidR="00966021" w:rsidRDefault="00966021" w:rsidP="00E32549">
            <w:pPr>
              <w:jc w:val="left"/>
            </w:pPr>
          </w:p>
          <w:p w14:paraId="207AB324" w14:textId="77777777" w:rsidR="00095751" w:rsidRPr="000D0191" w:rsidRDefault="00095751" w:rsidP="00095751">
            <w:pPr>
              <w:jc w:val="left"/>
              <w:rPr>
                <w:b/>
              </w:rPr>
            </w:pPr>
            <w:commentRangeStart w:id="114"/>
            <w:r w:rsidRPr="000D0191">
              <w:rPr>
                <w:b/>
              </w:rPr>
              <w:t>Level</w:t>
            </w:r>
            <w:commentRangeEnd w:id="114"/>
            <w:r w:rsidR="00976EEB">
              <w:rPr>
                <w:rStyle w:val="CommentReference"/>
                <w:color w:val="auto"/>
                <w:lang w:eastAsia="ja-JP"/>
              </w:rPr>
              <w:commentReference w:id="114"/>
            </w:r>
            <w:r w:rsidRPr="000D0191">
              <w:rPr>
                <w:b/>
              </w:rPr>
              <w:t xml:space="preserve"> Premiums: </w:t>
            </w:r>
            <w:r w:rsidRPr="00FA3ECB">
              <w:t xml:space="preserve">We have recommended level premiums </w:t>
            </w:r>
            <w:r w:rsidRPr="000D0191">
              <w:t>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0AD1729B" w14:textId="77777777" w:rsidR="00D0056C" w:rsidRDefault="00D0056C" w:rsidP="00E32549">
            <w:pPr>
              <w:jc w:val="left"/>
            </w:pPr>
          </w:p>
          <w:p w14:paraId="70796846" w14:textId="77777777" w:rsidR="00095751" w:rsidRPr="000D0191" w:rsidRDefault="00095751" w:rsidP="00095751">
            <w:pPr>
              <w:jc w:val="left"/>
              <w:rPr>
                <w:b/>
              </w:rPr>
            </w:pPr>
            <w:r w:rsidRPr="000D0191">
              <w:rPr>
                <w:b/>
              </w:rPr>
              <w:t xml:space="preserve">Stepped Premiums: </w:t>
            </w:r>
            <w:r w:rsidRPr="00FA3ECB">
              <w:t>We have recommended stepped premiums because they are lower and more cost effective for you than level premiums in the initial years. Steppe</w:t>
            </w:r>
            <w:r w:rsidRPr="000D0191">
              <w:t>d premiums are based on your age and will usually increase each year. Premiums may be higher than level premiums where the policy is held for an extended period.</w:t>
            </w:r>
          </w:p>
          <w:p w14:paraId="502D3AB3" w14:textId="77777777" w:rsidR="00095751" w:rsidRDefault="00095751" w:rsidP="00E32549">
            <w:pPr>
              <w:jc w:val="left"/>
            </w:pPr>
          </w:p>
          <w:p w14:paraId="0A8ED9C2" w14:textId="77777777" w:rsidR="00371D3F" w:rsidRPr="000D0191" w:rsidRDefault="00371D3F" w:rsidP="00371D3F">
            <w:pPr>
              <w:jc w:val="left"/>
            </w:pPr>
            <w:r w:rsidRPr="000D0191">
              <w:rPr>
                <w:b/>
              </w:rPr>
              <w:t xml:space="preserve">Any Occupation: </w:t>
            </w:r>
            <w:r w:rsidRPr="00FA3ECB">
              <w:t>We have recommended the Any Occupation definition be</w:t>
            </w:r>
            <w:r w:rsidRPr="000D0191">
              <w:t>cause:</w:t>
            </w:r>
          </w:p>
          <w:p w14:paraId="2544A73E" w14:textId="77777777" w:rsidR="00371D3F" w:rsidRPr="000D0191" w:rsidRDefault="00371D3F" w:rsidP="003812CB">
            <w:pPr>
              <w:pStyle w:val="ListParagraph"/>
              <w:numPr>
                <w:ilvl w:val="0"/>
                <w:numId w:val="55"/>
              </w:numPr>
              <w:jc w:val="left"/>
            </w:pPr>
            <w:r w:rsidRPr="000D0191">
              <w:t>This TPD definition is designed to be paid provided you meet certain parameters that deem you will never again be able to</w:t>
            </w:r>
            <w:r w:rsidRPr="000D0191">
              <w:rPr>
                <w:b/>
              </w:rPr>
              <w:t xml:space="preserve"> </w:t>
            </w:r>
            <w:r w:rsidRPr="00FA3ECB">
              <w:t>work in any occupation.</w:t>
            </w:r>
          </w:p>
          <w:p w14:paraId="55D0BF1A" w14:textId="77777777" w:rsidR="00371D3F" w:rsidRPr="000D0191" w:rsidRDefault="00371D3F" w:rsidP="003812CB">
            <w:pPr>
              <w:pStyle w:val="ListParagraph"/>
              <w:numPr>
                <w:ilvl w:val="0"/>
                <w:numId w:val="55"/>
              </w:numPr>
              <w:jc w:val="left"/>
            </w:pPr>
            <w:r w:rsidRPr="000D0191">
              <w:t>Given the Own Occupation definition is a much narrower definition of ability to work the cost for this type of cover is much greater than for cover under an Any Occupation contract.  Also, an Own Occupation definition is not available for all occupations.</w:t>
            </w:r>
          </w:p>
          <w:p w14:paraId="44403085" w14:textId="77777777" w:rsidR="00371D3F" w:rsidRPr="000D0191" w:rsidRDefault="00371D3F" w:rsidP="003812CB">
            <w:pPr>
              <w:pStyle w:val="ListParagraph"/>
              <w:numPr>
                <w:ilvl w:val="0"/>
                <w:numId w:val="55"/>
              </w:numPr>
              <w:jc w:val="left"/>
              <w:rPr>
                <w:color w:val="7030A0"/>
                <w:highlight w:val="yellow"/>
              </w:rPr>
            </w:pPr>
            <w:r w:rsidRPr="000D0191">
              <w:rPr>
                <w:color w:val="7030A0"/>
                <w:highlight w:val="yellow"/>
              </w:rPr>
              <w:lastRenderedPageBreak/>
              <w:t>[Insert reason]</w:t>
            </w:r>
          </w:p>
          <w:p w14:paraId="6D92439E" w14:textId="77777777" w:rsidR="00371D3F" w:rsidRPr="000D0191" w:rsidRDefault="00371D3F" w:rsidP="003812CB">
            <w:pPr>
              <w:pStyle w:val="ListParagraph"/>
              <w:numPr>
                <w:ilvl w:val="0"/>
                <w:numId w:val="55"/>
              </w:numPr>
              <w:jc w:val="left"/>
              <w:rPr>
                <w:color w:val="7030A0"/>
                <w:highlight w:val="yellow"/>
              </w:rPr>
            </w:pPr>
            <w:r w:rsidRPr="000D0191">
              <w:rPr>
                <w:color w:val="7030A0"/>
                <w:highlight w:val="yellow"/>
              </w:rPr>
              <w:t>[Insert reason].</w:t>
            </w:r>
          </w:p>
          <w:p w14:paraId="7D54A328" w14:textId="77777777" w:rsidR="00095751" w:rsidRDefault="00095751" w:rsidP="00E32549">
            <w:pPr>
              <w:jc w:val="left"/>
            </w:pPr>
          </w:p>
          <w:p w14:paraId="15AF2DF4" w14:textId="77777777" w:rsidR="0097550A" w:rsidRPr="000D0191" w:rsidRDefault="0097550A" w:rsidP="0097550A">
            <w:pPr>
              <w:jc w:val="left"/>
              <w:rPr>
                <w:b/>
              </w:rPr>
            </w:pPr>
            <w:r w:rsidRPr="000D0191">
              <w:rPr>
                <w:b/>
              </w:rPr>
              <w:t xml:space="preserve">Own Occupation: </w:t>
            </w:r>
            <w:r w:rsidRPr="00FA3ECB">
              <w:t>We have recommended the Own</w:t>
            </w:r>
            <w:r w:rsidRPr="000D0191">
              <w:t xml:space="preserve"> Occupation definition because:</w:t>
            </w:r>
          </w:p>
          <w:p w14:paraId="7C82B577" w14:textId="77777777" w:rsidR="0097550A" w:rsidRPr="000D0191" w:rsidRDefault="0097550A" w:rsidP="003812CB">
            <w:pPr>
              <w:pStyle w:val="ListParagraph"/>
              <w:numPr>
                <w:ilvl w:val="0"/>
                <w:numId w:val="56"/>
              </w:numPr>
              <w:jc w:val="left"/>
            </w:pPr>
            <w:r w:rsidRPr="00FA3ECB">
              <w:t>This TPD definition is designed to be paid provided you meet certain parameters that deem you will never again be work in your own occupation.</w:t>
            </w:r>
          </w:p>
          <w:p w14:paraId="3D788F8A" w14:textId="77777777" w:rsidR="0097550A" w:rsidRPr="000D0191" w:rsidRDefault="0097550A" w:rsidP="003812CB">
            <w:pPr>
              <w:pStyle w:val="ListParagraph"/>
              <w:numPr>
                <w:ilvl w:val="0"/>
                <w:numId w:val="56"/>
              </w:numPr>
              <w:jc w:val="left"/>
            </w:pPr>
            <w:r w:rsidRPr="000D0191">
              <w:t>Although ‘any occupation’ cover is cheaper than ‘own occupation’ cover, it is also more restrictive as you have to meet the criteria of not being able to perform any job that you are reasonably qualified or trained for.</w:t>
            </w:r>
          </w:p>
          <w:p w14:paraId="55277DF8" w14:textId="77777777" w:rsidR="0097550A" w:rsidRPr="0097550A" w:rsidRDefault="0097550A" w:rsidP="003812CB">
            <w:pPr>
              <w:pStyle w:val="ListParagraph"/>
              <w:numPr>
                <w:ilvl w:val="0"/>
                <w:numId w:val="56"/>
              </w:numPr>
              <w:jc w:val="left"/>
              <w:rPr>
                <w:color w:val="7030A0"/>
                <w:highlight w:val="yellow"/>
              </w:rPr>
            </w:pPr>
            <w:r w:rsidRPr="0097550A">
              <w:t>[</w:t>
            </w:r>
            <w:r w:rsidRPr="0097550A">
              <w:rPr>
                <w:color w:val="7030A0"/>
                <w:highlight w:val="yellow"/>
              </w:rPr>
              <w:t>Insert reason].</w:t>
            </w:r>
          </w:p>
          <w:p w14:paraId="67186EF4" w14:textId="77777777" w:rsidR="0097550A" w:rsidRPr="0097550A" w:rsidRDefault="0097550A" w:rsidP="003812CB">
            <w:pPr>
              <w:pStyle w:val="ListParagraph"/>
              <w:numPr>
                <w:ilvl w:val="0"/>
                <w:numId w:val="56"/>
              </w:numPr>
              <w:jc w:val="left"/>
              <w:rPr>
                <w:color w:val="7030A0"/>
                <w:highlight w:val="yellow"/>
              </w:rPr>
            </w:pPr>
            <w:r w:rsidRPr="0097550A">
              <w:rPr>
                <w:color w:val="7030A0"/>
                <w:highlight w:val="yellow"/>
              </w:rPr>
              <w:t>[Insert reason].</w:t>
            </w:r>
          </w:p>
          <w:p w14:paraId="5B3C628B" w14:textId="77777777" w:rsidR="00371D3F" w:rsidRDefault="00371D3F" w:rsidP="00E32549">
            <w:pPr>
              <w:jc w:val="left"/>
            </w:pPr>
          </w:p>
          <w:p w14:paraId="2AA12529" w14:textId="77777777" w:rsidR="004917BF" w:rsidRPr="000D0191" w:rsidRDefault="004917BF" w:rsidP="004917BF">
            <w:pPr>
              <w:jc w:val="left"/>
              <w:rPr>
                <w:b/>
              </w:rPr>
            </w:pPr>
            <w:proofErr w:type="spellStart"/>
            <w:proofErr w:type="gramStart"/>
            <w:r w:rsidRPr="000D0191">
              <w:rPr>
                <w:b/>
              </w:rPr>
              <w:t xml:space="preserve">Non </w:t>
            </w:r>
            <w:r>
              <w:rPr>
                <w:b/>
              </w:rPr>
              <w:t>Working</w:t>
            </w:r>
            <w:proofErr w:type="spellEnd"/>
            <w:proofErr w:type="gramEnd"/>
            <w:r w:rsidRPr="000D0191">
              <w:rPr>
                <w:b/>
              </w:rPr>
              <w:t xml:space="preserve">: </w:t>
            </w:r>
            <w:r w:rsidRPr="00FA3ECB">
              <w:t xml:space="preserve">We have recommended the </w:t>
            </w:r>
            <w:proofErr w:type="spellStart"/>
            <w:r w:rsidRPr="00FA3ECB">
              <w:t xml:space="preserve">Non </w:t>
            </w:r>
            <w:r>
              <w:t>Working</w:t>
            </w:r>
            <w:proofErr w:type="spellEnd"/>
            <w:r w:rsidRPr="00FA3ECB">
              <w:t xml:space="preserve"> </w:t>
            </w:r>
            <w:r w:rsidRPr="000D0191">
              <w:t>definition because:</w:t>
            </w:r>
          </w:p>
          <w:p w14:paraId="031B5F2E" w14:textId="77777777" w:rsidR="004917BF" w:rsidRPr="000D0191" w:rsidRDefault="004917BF" w:rsidP="003812CB">
            <w:pPr>
              <w:pStyle w:val="ListParagraph"/>
              <w:numPr>
                <w:ilvl w:val="0"/>
                <w:numId w:val="55"/>
              </w:numPr>
              <w:jc w:val="left"/>
              <w:rPr>
                <w:color w:val="7030A0"/>
                <w:highlight w:val="yellow"/>
              </w:rPr>
            </w:pPr>
            <w:r w:rsidRPr="000D0191">
              <w:rPr>
                <w:color w:val="7030A0"/>
                <w:highlight w:val="yellow"/>
              </w:rPr>
              <w:t>[Insert reason].</w:t>
            </w:r>
          </w:p>
          <w:p w14:paraId="4C1F0D8D" w14:textId="77777777" w:rsidR="004917BF" w:rsidRPr="000D0191" w:rsidRDefault="004917BF" w:rsidP="003812CB">
            <w:pPr>
              <w:pStyle w:val="ListParagraph"/>
              <w:numPr>
                <w:ilvl w:val="0"/>
                <w:numId w:val="55"/>
              </w:numPr>
              <w:jc w:val="left"/>
              <w:rPr>
                <w:color w:val="7030A0"/>
                <w:highlight w:val="yellow"/>
              </w:rPr>
            </w:pPr>
            <w:r w:rsidRPr="000D0191">
              <w:rPr>
                <w:color w:val="7030A0"/>
                <w:highlight w:val="yellow"/>
              </w:rPr>
              <w:t>[Insert reason].</w:t>
            </w:r>
          </w:p>
          <w:p w14:paraId="6B51BEB7" w14:textId="159C4F6C" w:rsidR="00371D3F" w:rsidRDefault="00371D3F" w:rsidP="00E32549">
            <w:pPr>
              <w:jc w:val="left"/>
            </w:pPr>
          </w:p>
          <w:p w14:paraId="70B51C97" w14:textId="77777777" w:rsidR="000F7349" w:rsidRPr="000D0191" w:rsidRDefault="000F7349" w:rsidP="000F7349">
            <w:pPr>
              <w:jc w:val="left"/>
              <w:rPr>
                <w:b/>
              </w:rPr>
            </w:pPr>
            <w:r w:rsidRPr="000D0191">
              <w:rPr>
                <w:b/>
              </w:rPr>
              <w:t xml:space="preserve">Buy Back Period: </w:t>
            </w:r>
            <w:r w:rsidRPr="000D0191">
              <w:t>Applicable where TPD and/or Trauma is to be linked to life cover. This feature allows the policy holder to buy back, after a certain period of time, the life cover that is reduced following a TPD and/or Trauma claim at standard rates.</w:t>
            </w:r>
          </w:p>
          <w:p w14:paraId="289F9962" w14:textId="77777777" w:rsidR="000F7349" w:rsidRDefault="000F7349" w:rsidP="00E32549">
            <w:pPr>
              <w:jc w:val="left"/>
            </w:pPr>
          </w:p>
          <w:p w14:paraId="2CA96255" w14:textId="77777777" w:rsidR="00C10E41" w:rsidRPr="000D0191" w:rsidRDefault="00C10E41" w:rsidP="00C10E41">
            <w:pPr>
              <w:jc w:val="left"/>
              <w:rPr>
                <w:color w:val="auto"/>
              </w:rPr>
            </w:pPr>
            <w:r w:rsidRPr="000D0191">
              <w:rPr>
                <w:color w:val="auto"/>
              </w:rPr>
              <w:t>Before proceeding with the recommended TPD Insurance, you should consider the following:</w:t>
            </w:r>
          </w:p>
          <w:p w14:paraId="792E1BE2" w14:textId="77777777" w:rsidR="00C10E41" w:rsidRPr="008524EA" w:rsidRDefault="00C10E41">
            <w:pPr>
              <w:pStyle w:val="InterPracBullet"/>
              <w:numPr>
                <w:ilvl w:val="0"/>
                <w:numId w:val="39"/>
              </w:numPr>
            </w:pPr>
            <w:r w:rsidRPr="008524EA">
              <w:rPr>
                <w:snapToGrid w:val="0"/>
              </w:rPr>
              <w:t>You will not be able to claim under the recommended policy in the event of becoming totally and permanently disabled due to a suicide attempt.</w:t>
            </w:r>
          </w:p>
          <w:p w14:paraId="78F0B877" w14:textId="77777777" w:rsidR="00C10E41" w:rsidRPr="008524EA" w:rsidRDefault="00C10E41">
            <w:pPr>
              <w:pStyle w:val="InterPracBullet"/>
              <w:numPr>
                <w:ilvl w:val="0"/>
                <w:numId w:val="39"/>
              </w:numPr>
            </w:pPr>
            <w:r w:rsidRPr="008524EA">
              <w:rPr>
                <w:snapToGrid w:val="0"/>
              </w:rPr>
              <w:t>If a claim is made on your TPD policy and the insurer agrees to pay the claim, the benefit will be paid direct to you (i.e. it cannot be paid to a nominated beneficiary).</w:t>
            </w:r>
          </w:p>
          <w:p w14:paraId="60E7DCC1" w14:textId="3A0CB673" w:rsidR="00C10E41" w:rsidRPr="008524EA" w:rsidRDefault="00C10E41">
            <w:pPr>
              <w:pStyle w:val="InterPracBullet"/>
              <w:numPr>
                <w:ilvl w:val="0"/>
                <w:numId w:val="39"/>
              </w:numPr>
            </w:pPr>
            <w:r w:rsidRPr="008524EA">
              <w:rPr>
                <w:snapToGrid w:val="0"/>
              </w:rPr>
              <w:t>The TPD cover we have recommended is linked to your Life Cover.  This means that if you suffer a TPD event and receive a payout, your Life Cover will be automatically reduced by the amount of the TPD payout.</w:t>
            </w:r>
          </w:p>
          <w:p w14:paraId="78979CA3" w14:textId="45E1A7BD" w:rsidR="004917BF" w:rsidRDefault="004917BF" w:rsidP="00C10E41">
            <w:pPr>
              <w:jc w:val="left"/>
            </w:pPr>
          </w:p>
          <w:p w14:paraId="314EDEDF" w14:textId="77777777" w:rsidR="00C10E41" w:rsidRDefault="00C10E41" w:rsidP="00E32549">
            <w:pPr>
              <w:jc w:val="left"/>
            </w:pPr>
          </w:p>
          <w:p w14:paraId="5F76DCBE" w14:textId="3AAD9C38" w:rsidR="00C10E41" w:rsidRPr="001A22F0" w:rsidRDefault="00C10E41" w:rsidP="00E32549">
            <w:pPr>
              <w:jc w:val="left"/>
            </w:pPr>
          </w:p>
        </w:tc>
      </w:tr>
    </w:tbl>
    <w:p w14:paraId="360CAF4C" w14:textId="77777777" w:rsidR="00966021" w:rsidRPr="005F763D" w:rsidRDefault="00966021" w:rsidP="008C7CE9">
      <w:pPr>
        <w:jc w:val="left"/>
      </w:pPr>
    </w:p>
    <w:p w14:paraId="700A49FE" w14:textId="77777777" w:rsidR="006F6957" w:rsidRDefault="006F6957" w:rsidP="008C7CE9">
      <w:pPr>
        <w:jc w:val="left"/>
        <w:sectPr w:rsidR="006F6957" w:rsidSect="00B14A22">
          <w:type w:val="continuous"/>
          <w:pgSz w:w="11906" w:h="16838" w:code="9"/>
          <w:pgMar w:top="1134" w:right="566" w:bottom="426" w:left="709" w:header="567" w:footer="95" w:gutter="0"/>
          <w:cols w:space="708"/>
          <w:docGrid w:linePitch="360"/>
        </w:sectPr>
      </w:pPr>
    </w:p>
    <w:p w14:paraId="124B1211" w14:textId="77777777" w:rsidR="006739AA" w:rsidRDefault="006739AA" w:rsidP="008C7CE9">
      <w:pPr>
        <w:jc w:val="left"/>
        <w:sectPr w:rsidR="006739AA" w:rsidSect="00B14A22">
          <w:type w:val="continuous"/>
          <w:pgSz w:w="11906" w:h="16838" w:code="9"/>
          <w:pgMar w:top="1134" w:right="566" w:bottom="426" w:left="709" w:header="567" w:footer="95" w:gutter="0"/>
          <w:cols w:space="708"/>
          <w:docGrid w:linePitch="360"/>
        </w:sectPr>
      </w:pPr>
    </w:p>
    <w:p w14:paraId="53E1AA94" w14:textId="31512D7E" w:rsidR="00D614BC" w:rsidRPr="005F763D" w:rsidRDefault="00D614BC" w:rsidP="008C7CE9">
      <w:pPr>
        <w:jc w:val="left"/>
      </w:pPr>
    </w:p>
    <w:p w14:paraId="1359D3B9" w14:textId="3278E94C" w:rsidR="00D614BC" w:rsidRPr="00C3381A" w:rsidRDefault="00D614BC" w:rsidP="00C3381A">
      <w:pPr>
        <w:jc w:val="left"/>
        <w:rPr>
          <w:sz w:val="24"/>
        </w:rPr>
      </w:pPr>
      <w:r w:rsidRPr="00C3381A">
        <w:rPr>
          <w:color w:val="002060"/>
          <w:sz w:val="24"/>
        </w:rPr>
        <w:t xml:space="preserve">Trauma Insurance </w:t>
      </w:r>
      <w:commentRangeStart w:id="115"/>
      <w:r w:rsidRPr="00C3381A">
        <w:rPr>
          <w:color w:val="002060"/>
          <w:sz w:val="24"/>
        </w:rPr>
        <w:t>Cover</w:t>
      </w:r>
      <w:commentRangeEnd w:id="115"/>
      <w:r w:rsidR="00AF7BE8">
        <w:rPr>
          <w:rStyle w:val="CommentReference"/>
          <w:color w:val="auto"/>
          <w:lang w:eastAsia="ja-JP"/>
        </w:rPr>
        <w:commentReference w:id="115"/>
      </w:r>
    </w:p>
    <w:p w14:paraId="781C1F85" w14:textId="28EF0947" w:rsidR="00D614BC" w:rsidRDefault="00D614BC"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4D9A6BFA" w14:textId="77777777" w:rsidTr="00E32549">
        <w:tc>
          <w:tcPr>
            <w:tcW w:w="2754" w:type="dxa"/>
          </w:tcPr>
          <w:p w14:paraId="27C83C49" w14:textId="77777777" w:rsidR="00966021" w:rsidRPr="00EA0A06" w:rsidRDefault="00966021" w:rsidP="00E32549">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7BD8B6B" w14:textId="77777777" w:rsidR="00966021" w:rsidRPr="00E51BEA" w:rsidRDefault="00966021" w:rsidP="00E32549">
            <w:pPr>
              <w:pStyle w:val="TableHeader2"/>
              <w:rPr>
                <w:rFonts w:ascii="Calibri Light" w:hAnsi="Calibri Light"/>
              </w:rPr>
            </w:pPr>
          </w:p>
        </w:tc>
      </w:tr>
      <w:tr w:rsidR="00966021" w:rsidRPr="001A22F0" w14:paraId="4B603FEF" w14:textId="77777777" w:rsidTr="00E32549">
        <w:tc>
          <w:tcPr>
            <w:tcW w:w="2754" w:type="dxa"/>
          </w:tcPr>
          <w:p w14:paraId="382D2312" w14:textId="77777777" w:rsidR="00966021" w:rsidRPr="00EA0A06" w:rsidRDefault="00966021" w:rsidP="00B21CF5">
            <w:pPr>
              <w:pStyle w:val="Instructions"/>
            </w:pPr>
            <w:r w:rsidRPr="00EA0A06">
              <w:t>Title</w:t>
            </w:r>
          </w:p>
        </w:tc>
        <w:tc>
          <w:tcPr>
            <w:tcW w:w="6798" w:type="dxa"/>
          </w:tcPr>
          <w:p w14:paraId="36A74DCB" w14:textId="6564D9DF" w:rsidR="00966021" w:rsidRPr="001A22F0" w:rsidRDefault="00A83D0C" w:rsidP="00E32549">
            <w:pPr>
              <w:jc w:val="left"/>
            </w:pPr>
            <w:r>
              <w:t>Trauma Cover</w:t>
            </w:r>
          </w:p>
        </w:tc>
      </w:tr>
      <w:tr w:rsidR="00966021" w:rsidRPr="001A22F0" w14:paraId="58F3482E" w14:textId="77777777" w:rsidTr="00E32549">
        <w:tc>
          <w:tcPr>
            <w:tcW w:w="2754" w:type="dxa"/>
          </w:tcPr>
          <w:p w14:paraId="46818FD6" w14:textId="77777777" w:rsidR="00966021" w:rsidRPr="00EA0A06" w:rsidRDefault="00966021" w:rsidP="00B21CF5">
            <w:pPr>
              <w:pStyle w:val="Instructions"/>
            </w:pPr>
            <w:r w:rsidRPr="00EA0A06">
              <w:t>Explanation</w:t>
            </w:r>
          </w:p>
        </w:tc>
        <w:tc>
          <w:tcPr>
            <w:tcW w:w="6798" w:type="dxa"/>
          </w:tcPr>
          <w:p w14:paraId="1F0509C0" w14:textId="369766EC" w:rsidR="00C3381A" w:rsidRPr="00024272" w:rsidRDefault="00C3381A" w:rsidP="00C3381A">
            <w:pPr>
              <w:spacing w:before="120"/>
            </w:pPr>
            <w:r w:rsidRPr="00024272">
              <w:t>It is recommended that you apply for $</w:t>
            </w:r>
            <w:r w:rsidRPr="00024272">
              <w:rPr>
                <w:color w:val="FF0000"/>
              </w:rPr>
              <w:t>[_</w:t>
            </w:r>
            <w:proofErr w:type="gramStart"/>
            <w:r w:rsidRPr="00024272">
              <w:rPr>
                <w:color w:val="FF0000"/>
              </w:rPr>
              <w:t>_,_</w:t>
            </w:r>
            <w:proofErr w:type="gramEnd"/>
            <w:r w:rsidRPr="00024272">
              <w:rPr>
                <w:color w:val="FF0000"/>
              </w:rPr>
              <w:t>_]</w:t>
            </w:r>
            <w:r w:rsidRPr="00024272">
              <w:t xml:space="preserve"> of </w:t>
            </w:r>
            <w:r w:rsidR="00A0749F" w:rsidRPr="00024272">
              <w:t>Trauma cover</w:t>
            </w:r>
            <w:r w:rsidRPr="00024272">
              <w:t xml:space="preserve"> </w:t>
            </w:r>
            <w:r w:rsidRPr="00024272">
              <w:rPr>
                <w:color w:val="FF0000"/>
              </w:rPr>
              <w:t>[</w:t>
            </w:r>
            <w:r w:rsidR="00CC36D1">
              <w:rPr>
                <w:color w:val="FF0000"/>
              </w:rPr>
              <w:t xml:space="preserve">Full </w:t>
            </w:r>
            <w:commentRangeStart w:id="116"/>
            <w:r w:rsidRPr="00024272">
              <w:rPr>
                <w:color w:val="FF0000"/>
              </w:rPr>
              <w:t>Product</w:t>
            </w:r>
            <w:commentRangeEnd w:id="116"/>
            <w:r w:rsidR="00CC36D1">
              <w:rPr>
                <w:rStyle w:val="CommentReference"/>
                <w:color w:val="auto"/>
                <w:lang w:eastAsia="ja-JP"/>
              </w:rPr>
              <w:commentReference w:id="116"/>
            </w:r>
            <w:r w:rsidRPr="00024272">
              <w:rPr>
                <w:color w:val="FF0000"/>
              </w:rPr>
              <w:t xml:space="preserve"> Name]</w:t>
            </w:r>
            <w:r w:rsidRPr="00024272">
              <w:t xml:space="preserve"> with </w:t>
            </w:r>
            <w:r w:rsidRPr="00024272">
              <w:rPr>
                <w:color w:val="FF0000"/>
              </w:rPr>
              <w:t>[Provider]</w:t>
            </w:r>
            <w:r w:rsidRPr="00024272">
              <w:t>.</w:t>
            </w:r>
          </w:p>
          <w:p w14:paraId="1F53D070" w14:textId="77777777" w:rsidR="00C3381A" w:rsidRDefault="00C3381A" w:rsidP="00C3381A">
            <w:pPr>
              <w:spacing w:before="120"/>
            </w:pPr>
            <w:r w:rsidRPr="00024272">
              <w:t>The insurance will have the following terms:</w:t>
            </w:r>
          </w:p>
          <w:p w14:paraId="6D700950" w14:textId="77777777" w:rsidR="00C3381A" w:rsidRPr="007D486D" w:rsidRDefault="00C3381A">
            <w:pPr>
              <w:pStyle w:val="InterPracBullet"/>
              <w:rPr>
                <w:highlight w:val="yellow"/>
              </w:rPr>
            </w:pPr>
            <w:r w:rsidRPr="007D486D">
              <w:rPr>
                <w:highlight w:val="yellow"/>
              </w:rPr>
              <w:t>[Term]</w:t>
            </w:r>
          </w:p>
          <w:p w14:paraId="7E223DD7" w14:textId="77777777" w:rsidR="00C3381A" w:rsidRPr="00765BEF" w:rsidRDefault="00C3381A">
            <w:pPr>
              <w:pStyle w:val="InterPracBullet"/>
              <w:rPr>
                <w:highlight w:val="yellow"/>
              </w:rPr>
            </w:pPr>
            <w:r w:rsidRPr="007D486D">
              <w:rPr>
                <w:highlight w:val="yellow"/>
              </w:rPr>
              <w:t>[Term]</w:t>
            </w:r>
          </w:p>
          <w:p w14:paraId="7377E0AD" w14:textId="77777777" w:rsidR="00966021" w:rsidRPr="001A22F0" w:rsidRDefault="00966021" w:rsidP="00E32549">
            <w:pPr>
              <w:jc w:val="left"/>
            </w:pPr>
          </w:p>
        </w:tc>
      </w:tr>
      <w:tr w:rsidR="00966021" w:rsidRPr="001A22F0" w14:paraId="4B035B75" w14:textId="77777777" w:rsidTr="00E32549">
        <w:tc>
          <w:tcPr>
            <w:tcW w:w="2754" w:type="dxa"/>
          </w:tcPr>
          <w:p w14:paraId="0824E5F4" w14:textId="77777777" w:rsidR="00966021" w:rsidRPr="00EA0A06" w:rsidRDefault="00966021" w:rsidP="00B21CF5">
            <w:pPr>
              <w:pStyle w:val="Instructions"/>
            </w:pPr>
            <w:r w:rsidRPr="00EA0A06">
              <w:t>In your Best Interest</w:t>
            </w:r>
          </w:p>
        </w:tc>
        <w:tc>
          <w:tcPr>
            <w:tcW w:w="6798" w:type="dxa"/>
          </w:tcPr>
          <w:p w14:paraId="0A9681EF" w14:textId="77777777" w:rsidR="00966021" w:rsidRPr="001A22F0" w:rsidRDefault="00966021" w:rsidP="00E32549">
            <w:pPr>
              <w:jc w:val="left"/>
            </w:pPr>
          </w:p>
        </w:tc>
      </w:tr>
      <w:tr w:rsidR="00966021" w:rsidRPr="001A22F0" w14:paraId="3E78DA4A" w14:textId="77777777" w:rsidTr="00E32549">
        <w:tc>
          <w:tcPr>
            <w:tcW w:w="2754" w:type="dxa"/>
          </w:tcPr>
          <w:p w14:paraId="5AD862BB" w14:textId="77777777" w:rsidR="00966021" w:rsidRPr="00EA0A06" w:rsidRDefault="00966021" w:rsidP="00B21CF5">
            <w:pPr>
              <w:pStyle w:val="Instructions"/>
            </w:pPr>
            <w:r w:rsidRPr="00EA0A06">
              <w:t>Further Detail</w:t>
            </w:r>
          </w:p>
        </w:tc>
        <w:tc>
          <w:tcPr>
            <w:tcW w:w="6798" w:type="dxa"/>
          </w:tcPr>
          <w:p w14:paraId="2EEFB90D" w14:textId="1C8EDDD6" w:rsidR="007D486D" w:rsidRPr="005F763D" w:rsidRDefault="007D486D" w:rsidP="007D486D">
            <w:pPr>
              <w:jc w:val="left"/>
            </w:pPr>
            <w:r w:rsidRPr="00024272">
              <w:t>We believe that implementing the recommended Trauma Insurance cover typically meets your needs/objectives for the following reasons:</w:t>
            </w:r>
          </w:p>
          <w:p w14:paraId="3D9AEB89" w14:textId="77777777" w:rsidR="007D486D" w:rsidRPr="008524EA" w:rsidRDefault="007D486D">
            <w:pPr>
              <w:pStyle w:val="InterPracBullet"/>
              <w:numPr>
                <w:ilvl w:val="0"/>
                <w:numId w:val="123"/>
              </w:numPr>
            </w:pPr>
            <w:r w:rsidRPr="008524EA">
              <w:t>In the event of a traumatic medical event that is covered by your Trauma Insurance, you will receive a lump sum benefit that you can use to pay for any necessary medical procedures or lifestyle needs your family may have.  This helps you prevent incurring a significant financial loss at this stressful time, and protecting your assets is one of your financial goals.</w:t>
            </w:r>
          </w:p>
          <w:p w14:paraId="520A9FAE" w14:textId="6E7DB925" w:rsidR="00966021" w:rsidRDefault="00966021" w:rsidP="00E32549">
            <w:pPr>
              <w:jc w:val="left"/>
            </w:pPr>
          </w:p>
          <w:p w14:paraId="50FCB587" w14:textId="77777777" w:rsidR="005A3FD9" w:rsidRDefault="005A3FD9" w:rsidP="005A3FD9">
            <w:pPr>
              <w:pStyle w:val="InterPracBullet"/>
              <w:numPr>
                <w:ilvl w:val="0"/>
                <w:numId w:val="141"/>
              </w:numPr>
              <w:tabs>
                <w:tab w:val="clear" w:pos="322"/>
              </w:tabs>
              <w:ind w:left="425" w:hanging="425"/>
              <w:rPr>
                <w:rFonts w:eastAsiaTheme="minorHAnsi"/>
                <w:color w:val="000000"/>
                <w:szCs w:val="20"/>
                <w:highlight w:val="yellow"/>
                <w:lang w:eastAsia="zh-CN"/>
              </w:rPr>
            </w:pPr>
            <w:r>
              <w:rPr>
                <w:highlight w:val="yellow"/>
              </w:rPr>
              <w:lastRenderedPageBreak/>
              <w:t>Owning trauma insurance in your own name means that the proceeds from a successful claim can be paid direct to you as a tax-free lump sum and you have control over the policy.</w:t>
            </w:r>
          </w:p>
          <w:p w14:paraId="6834B926" w14:textId="49AFD89F" w:rsidR="005A3FD9" w:rsidRDefault="005A3FD9" w:rsidP="00E32549">
            <w:pPr>
              <w:jc w:val="left"/>
            </w:pPr>
          </w:p>
          <w:p w14:paraId="724A9CAF" w14:textId="77777777" w:rsidR="007D486D" w:rsidRPr="00FA3ECB" w:rsidRDefault="007D486D" w:rsidP="007D486D">
            <w:pPr>
              <w:jc w:val="left"/>
            </w:pPr>
            <w:r w:rsidRPr="000D0191">
              <w:rPr>
                <w:b/>
              </w:rPr>
              <w:t>Level Premiums:</w:t>
            </w:r>
            <w:r w:rsidRPr="00FA3ECB">
              <w:t xml:space="preserve"> </w:t>
            </w:r>
            <w:commentRangeStart w:id="117"/>
            <w:r w:rsidRPr="00EC6BE9">
              <w:t>We</w:t>
            </w:r>
            <w:commentRangeEnd w:id="117"/>
            <w:r w:rsidR="007B782F">
              <w:rPr>
                <w:rStyle w:val="CommentReference"/>
                <w:color w:val="auto"/>
                <w:lang w:eastAsia="ja-JP"/>
              </w:rPr>
              <w:commentReference w:id="117"/>
            </w:r>
            <w:r w:rsidRPr="00EC6BE9">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1D3CDDC3" w14:textId="77777777" w:rsidR="007D486D" w:rsidRDefault="007D486D" w:rsidP="00E32549">
            <w:pPr>
              <w:jc w:val="left"/>
            </w:pPr>
          </w:p>
          <w:p w14:paraId="77B97E11" w14:textId="77777777" w:rsidR="007D486D" w:rsidRPr="000D0191" w:rsidRDefault="007D486D" w:rsidP="007D486D">
            <w:pPr>
              <w:jc w:val="left"/>
              <w:rPr>
                <w:b/>
              </w:rPr>
            </w:pPr>
            <w:r w:rsidRPr="000D0191">
              <w:rPr>
                <w:b/>
              </w:rPr>
              <w:t xml:space="preserve">Stepped Premiums: </w:t>
            </w:r>
            <w:r w:rsidRPr="00FA3ECB">
              <w:t>We have recommended stepped premiums b</w:t>
            </w:r>
            <w:r w:rsidRPr="000D0191">
              <w:t>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7367C7A9" w14:textId="77777777" w:rsidR="007D486D" w:rsidRDefault="007D486D" w:rsidP="00E32549">
            <w:pPr>
              <w:jc w:val="left"/>
            </w:pPr>
          </w:p>
          <w:p w14:paraId="7FC1DCB2" w14:textId="77777777" w:rsidR="007D486D" w:rsidRPr="000D0191" w:rsidRDefault="007D486D" w:rsidP="007D486D">
            <w:pPr>
              <w:jc w:val="left"/>
              <w:rPr>
                <w:b/>
              </w:rPr>
            </w:pPr>
            <w:r w:rsidRPr="000D0191">
              <w:rPr>
                <w:b/>
              </w:rPr>
              <w:t xml:space="preserve">Basic Cover: </w:t>
            </w:r>
            <w:r w:rsidRPr="00FA3ECB">
              <w:t>Provides you with the most basic cover available.</w:t>
            </w:r>
          </w:p>
          <w:p w14:paraId="63BA0F60" w14:textId="77777777" w:rsidR="007D486D" w:rsidRDefault="007D486D" w:rsidP="00E32549">
            <w:pPr>
              <w:jc w:val="left"/>
            </w:pPr>
          </w:p>
          <w:p w14:paraId="659667E3" w14:textId="706811BD" w:rsidR="007D486D" w:rsidRDefault="007D486D" w:rsidP="00E32549">
            <w:pPr>
              <w:jc w:val="left"/>
            </w:pPr>
            <w:r w:rsidRPr="000D0191">
              <w:rPr>
                <w:b/>
              </w:rPr>
              <w:t xml:space="preserve">Comprehensive Cover: </w:t>
            </w:r>
            <w:r w:rsidRPr="00FA3ECB">
              <w:t>Provides you with the most comprehensive cover available.</w:t>
            </w:r>
          </w:p>
          <w:p w14:paraId="574E795F" w14:textId="77777777" w:rsidR="007D486D" w:rsidRDefault="007D486D" w:rsidP="00E32549">
            <w:pPr>
              <w:jc w:val="left"/>
            </w:pPr>
          </w:p>
          <w:p w14:paraId="3401E3B7" w14:textId="77777777" w:rsidR="007D486D" w:rsidRPr="000D0191" w:rsidRDefault="007D486D" w:rsidP="007D486D">
            <w:pPr>
              <w:jc w:val="left"/>
              <w:rPr>
                <w:b/>
              </w:rPr>
            </w:pPr>
            <w:r w:rsidRPr="000D0191">
              <w:rPr>
                <w:b/>
              </w:rPr>
              <w:t>Buy Back Period:</w:t>
            </w:r>
            <w:r w:rsidRPr="000D0191">
              <w:t xml:space="preserve"> </w:t>
            </w:r>
            <w:r w:rsidRPr="00FA3ECB">
              <w:t>Applicable</w:t>
            </w:r>
            <w:r w:rsidRPr="000D0191">
              <w:t xml:space="preserve"> where TPD and/or Trauma is to be linked to life cover. This feature allows the policy holder to buy back, after a certain period of time, the life cover that is reduced following a TPD and/or Trauma claim at standard rates.</w:t>
            </w:r>
          </w:p>
          <w:p w14:paraId="5E5C994A" w14:textId="0642FC58" w:rsidR="007D486D" w:rsidRDefault="007D486D" w:rsidP="00E32549">
            <w:pPr>
              <w:jc w:val="left"/>
            </w:pPr>
          </w:p>
          <w:p w14:paraId="73B5C6D8" w14:textId="77777777" w:rsidR="007D486D" w:rsidRPr="000D0191" w:rsidRDefault="007D486D" w:rsidP="007D486D">
            <w:pPr>
              <w:jc w:val="left"/>
              <w:rPr>
                <w:b/>
              </w:rPr>
            </w:pPr>
            <w:r w:rsidRPr="000D0191">
              <w:rPr>
                <w:b/>
              </w:rPr>
              <w:t xml:space="preserve">Critical </w:t>
            </w:r>
            <w:r w:rsidRPr="00FA3ECB">
              <w:rPr>
                <w:b/>
              </w:rPr>
              <w:t xml:space="preserve">Illness Benefit: </w:t>
            </w:r>
            <w:r w:rsidRPr="000D0191">
              <w:t>A critical illness benefit will typically provide 6months of benefits (regardless as to whether the injured is totally disabled or not) in the event that the Insured suffers one of the specified trauma events. Some policies may provide this benefit in addition to the usual monthly benefit.</w:t>
            </w:r>
          </w:p>
          <w:p w14:paraId="1F9A4D46" w14:textId="77777777" w:rsidR="007D486D" w:rsidRPr="000D0191" w:rsidRDefault="007D486D" w:rsidP="003812CB">
            <w:pPr>
              <w:pStyle w:val="ListParagraph"/>
              <w:numPr>
                <w:ilvl w:val="0"/>
                <w:numId w:val="55"/>
              </w:numPr>
              <w:jc w:val="left"/>
              <w:rPr>
                <w:color w:val="7030A0"/>
                <w:highlight w:val="yellow"/>
              </w:rPr>
            </w:pPr>
            <w:r w:rsidRPr="000D0191">
              <w:rPr>
                <w:color w:val="7030A0"/>
                <w:highlight w:val="yellow"/>
              </w:rPr>
              <w:t>[Insert reason].</w:t>
            </w:r>
          </w:p>
          <w:p w14:paraId="7D933331" w14:textId="77777777" w:rsidR="007D486D" w:rsidRPr="000D0191" w:rsidRDefault="007D486D" w:rsidP="003812CB">
            <w:pPr>
              <w:pStyle w:val="ListParagraph"/>
              <w:numPr>
                <w:ilvl w:val="0"/>
                <w:numId w:val="55"/>
              </w:numPr>
              <w:jc w:val="left"/>
              <w:rPr>
                <w:color w:val="7030A0"/>
                <w:highlight w:val="yellow"/>
              </w:rPr>
            </w:pPr>
            <w:r w:rsidRPr="000D0191">
              <w:rPr>
                <w:color w:val="7030A0"/>
                <w:highlight w:val="yellow"/>
              </w:rPr>
              <w:t>[Insert reason].</w:t>
            </w:r>
          </w:p>
          <w:p w14:paraId="52D763D4" w14:textId="77777777" w:rsidR="007D486D" w:rsidRDefault="007D486D" w:rsidP="00E32549">
            <w:pPr>
              <w:jc w:val="left"/>
            </w:pPr>
          </w:p>
          <w:p w14:paraId="7A4FE311" w14:textId="77777777" w:rsidR="007D486D" w:rsidRPr="005F763D" w:rsidRDefault="007D486D" w:rsidP="007D486D">
            <w:pPr>
              <w:jc w:val="left"/>
            </w:pPr>
            <w:r w:rsidRPr="005F763D">
              <w:t>Before proceeding with the recommended Trauma Insurance, you should consider the following:</w:t>
            </w:r>
          </w:p>
          <w:p w14:paraId="6296DD26" w14:textId="560DD8BA" w:rsidR="00560306" w:rsidRPr="001B4ECE" w:rsidRDefault="00560306" w:rsidP="001B4ECE">
            <w:pPr>
              <w:pStyle w:val="InterPracBullet"/>
              <w:numPr>
                <w:ilvl w:val="0"/>
                <w:numId w:val="123"/>
              </w:numPr>
            </w:pPr>
            <w:r w:rsidRPr="001B4ECE">
              <w:t xml:space="preserve">You may not be able to claim under the recommended policy for any trauma or </w:t>
            </w:r>
            <w:proofErr w:type="spellStart"/>
            <w:r w:rsidRPr="001B4ECE">
              <w:t>self inflicted</w:t>
            </w:r>
            <w:proofErr w:type="spellEnd"/>
            <w:r w:rsidRPr="001B4ECE">
              <w:t xml:space="preserve"> injury (direct or indirect) due to a suicide attempt.</w:t>
            </w:r>
          </w:p>
          <w:p w14:paraId="3AC16BD4" w14:textId="77777777" w:rsidR="007D486D" w:rsidRPr="001B4ECE" w:rsidRDefault="00A60E59" w:rsidP="001B4ECE">
            <w:pPr>
              <w:pStyle w:val="InterPracBullet"/>
              <w:numPr>
                <w:ilvl w:val="0"/>
                <w:numId w:val="123"/>
              </w:numPr>
            </w:pPr>
            <w:r w:rsidRPr="001B4ECE">
              <w:t>T</w:t>
            </w:r>
            <w:r w:rsidR="004F2AE7" w:rsidRPr="001B4ECE">
              <w:t>rauma</w:t>
            </w:r>
            <w:r w:rsidRPr="001B4ECE">
              <w:t xml:space="preserve"> premiums </w:t>
            </w:r>
            <w:r w:rsidR="004F2AE7" w:rsidRPr="001B4ECE">
              <w:t>a</w:t>
            </w:r>
            <w:r w:rsidRPr="001B4ECE">
              <w:t>re not tax deductible</w:t>
            </w:r>
            <w:r w:rsidR="00851321" w:rsidRPr="001B4ECE">
              <w:t xml:space="preserve"> </w:t>
            </w:r>
            <w:r w:rsidR="004F2AE7" w:rsidRPr="001B4ECE">
              <w:t xml:space="preserve">to the person insured </w:t>
            </w:r>
            <w:r w:rsidR="00851321" w:rsidRPr="001B4ECE">
              <w:t>but,</w:t>
            </w:r>
            <w:r w:rsidRPr="001B4ECE">
              <w:t xml:space="preserve"> in return</w:t>
            </w:r>
            <w:r w:rsidR="00851321" w:rsidRPr="001B4ECE">
              <w:t>,</w:t>
            </w:r>
            <w:r w:rsidRPr="001B4ECE">
              <w:t xml:space="preserve"> the proceeds are tax-free.</w:t>
            </w:r>
          </w:p>
          <w:p w14:paraId="32097164" w14:textId="77777777" w:rsidR="00530E7E" w:rsidRPr="001B4ECE" w:rsidRDefault="00530E7E" w:rsidP="001B4ECE">
            <w:pPr>
              <w:pStyle w:val="InterPracBullet"/>
              <w:numPr>
                <w:ilvl w:val="0"/>
                <w:numId w:val="123"/>
              </w:numPr>
            </w:pPr>
            <w:r w:rsidRPr="001B4ECE">
              <w:t xml:space="preserve">Some insurers have a “qualifying” or “exclusion” period – typically the first three to six months - on stated conditions. For example: heart attack; other heart conditions; stroke; cancer (Carcinoma In Situ); severe diabetes. </w:t>
            </w:r>
          </w:p>
          <w:p w14:paraId="01106B5D" w14:textId="77777777" w:rsidR="0085396C" w:rsidRPr="001B4ECE" w:rsidRDefault="0085396C" w:rsidP="001B4ECE">
            <w:pPr>
              <w:pStyle w:val="InterPracBullet"/>
              <w:numPr>
                <w:ilvl w:val="0"/>
                <w:numId w:val="123"/>
              </w:numPr>
            </w:pPr>
            <w:r w:rsidRPr="001B4ECE">
              <w:t>Trauma cover cannot be held within superannuation.</w:t>
            </w:r>
          </w:p>
          <w:p w14:paraId="3A5087DC" w14:textId="2F4FE112" w:rsidR="0085396C" w:rsidRPr="001A22F0" w:rsidRDefault="0085396C">
            <w:pPr>
              <w:pStyle w:val="InterPracBullet"/>
            </w:pPr>
          </w:p>
        </w:tc>
      </w:tr>
    </w:tbl>
    <w:p w14:paraId="258098A9" w14:textId="77777777" w:rsidR="007D486D" w:rsidRDefault="007D486D" w:rsidP="000D0191">
      <w:pPr>
        <w:jc w:val="left"/>
        <w:rPr>
          <w:rFonts w:ascii="Calibri Light" w:hAnsi="Calibri Light"/>
          <w:b/>
          <w:color w:val="auto"/>
          <w:w w:val="120"/>
          <w:sz w:val="16"/>
          <w:szCs w:val="16"/>
          <w:highlight w:val="yellow"/>
        </w:rPr>
      </w:pPr>
    </w:p>
    <w:p w14:paraId="49709135" w14:textId="77777777" w:rsidR="00D614BC" w:rsidRPr="005F763D" w:rsidRDefault="00D614BC" w:rsidP="008C7CE9">
      <w:pPr>
        <w:jc w:val="left"/>
      </w:pPr>
    </w:p>
    <w:p w14:paraId="4976A5E0" w14:textId="77777777" w:rsidR="00D614BC" w:rsidRPr="005F763D" w:rsidRDefault="00D614BC" w:rsidP="008C7CE9">
      <w:pPr>
        <w:jc w:val="left"/>
        <w:rPr>
          <w:rFonts w:cs="Calibri"/>
        </w:rPr>
      </w:pPr>
    </w:p>
    <w:p w14:paraId="7DF3D6AD" w14:textId="77777777" w:rsidR="00AC6859" w:rsidRDefault="00AC6859" w:rsidP="008C7CE9">
      <w:pPr>
        <w:jc w:val="left"/>
        <w:rPr>
          <w:rFonts w:cs="Calibri"/>
        </w:rPr>
        <w:sectPr w:rsidR="00AC6859" w:rsidSect="00B14A22">
          <w:type w:val="continuous"/>
          <w:pgSz w:w="11906" w:h="16838" w:code="9"/>
          <w:pgMar w:top="1134" w:right="566" w:bottom="426" w:left="709" w:header="567" w:footer="95" w:gutter="0"/>
          <w:cols w:space="708"/>
          <w:docGrid w:linePitch="360"/>
        </w:sectPr>
      </w:pPr>
    </w:p>
    <w:p w14:paraId="55C575F4" w14:textId="77777777" w:rsidR="007704E7" w:rsidRDefault="007704E7" w:rsidP="008C7CE9">
      <w:pPr>
        <w:jc w:val="left"/>
        <w:rPr>
          <w:rFonts w:cs="Calibri"/>
        </w:rPr>
        <w:sectPr w:rsidR="007704E7" w:rsidSect="00B14A22">
          <w:type w:val="continuous"/>
          <w:pgSz w:w="11906" w:h="16838" w:code="9"/>
          <w:pgMar w:top="1134" w:right="566" w:bottom="426" w:left="709" w:header="567" w:footer="95" w:gutter="0"/>
          <w:cols w:space="708"/>
          <w:docGrid w:linePitch="360"/>
        </w:sectPr>
      </w:pPr>
    </w:p>
    <w:p w14:paraId="67C65A1D" w14:textId="3BDAD90C" w:rsidR="00D614BC" w:rsidRPr="005F763D" w:rsidRDefault="00D614BC" w:rsidP="008C7CE9">
      <w:pPr>
        <w:jc w:val="left"/>
        <w:rPr>
          <w:rFonts w:cs="Calibri"/>
        </w:rPr>
      </w:pPr>
    </w:p>
    <w:p w14:paraId="3F7BFF46" w14:textId="4BE755D2" w:rsidR="00D614BC" w:rsidRPr="00B17B10" w:rsidRDefault="00D614BC" w:rsidP="00B17B10">
      <w:pPr>
        <w:jc w:val="left"/>
        <w:rPr>
          <w:sz w:val="24"/>
        </w:rPr>
      </w:pPr>
      <w:r w:rsidRPr="00B17B10">
        <w:rPr>
          <w:color w:val="002060"/>
          <w:sz w:val="24"/>
        </w:rPr>
        <w:t xml:space="preserve">Income Protection Insurance </w:t>
      </w:r>
      <w:commentRangeStart w:id="118"/>
      <w:r w:rsidRPr="00B17B10">
        <w:rPr>
          <w:color w:val="002060"/>
          <w:sz w:val="24"/>
        </w:rPr>
        <w:t>Cover</w:t>
      </w:r>
      <w:commentRangeEnd w:id="118"/>
      <w:r w:rsidR="00962E95">
        <w:rPr>
          <w:rStyle w:val="CommentReference"/>
          <w:color w:val="auto"/>
          <w:lang w:eastAsia="ja-JP"/>
        </w:rPr>
        <w:commentReference w:id="118"/>
      </w:r>
    </w:p>
    <w:p w14:paraId="12FCFA1F" w14:textId="37FF2879" w:rsidR="00D614BC" w:rsidRDefault="00D614BC" w:rsidP="008C7CE9">
      <w:pPr>
        <w:jc w:val="left"/>
        <w:rPr>
          <w:rFonts w:cs="Calibri"/>
        </w:rPr>
      </w:pPr>
    </w:p>
    <w:tbl>
      <w:tblPr>
        <w:tblStyle w:val="TableGrid"/>
        <w:tblW w:w="0" w:type="auto"/>
        <w:tblInd w:w="76" w:type="dxa"/>
        <w:tblLook w:val="04A0" w:firstRow="1" w:lastRow="0" w:firstColumn="1" w:lastColumn="0" w:noHBand="0" w:noVBand="1"/>
      </w:tblPr>
      <w:tblGrid>
        <w:gridCol w:w="2754"/>
        <w:gridCol w:w="6798"/>
      </w:tblGrid>
      <w:tr w:rsidR="00662CA6" w:rsidRPr="001A22F0" w14:paraId="12BEABC4" w14:textId="77777777" w:rsidTr="005637FA">
        <w:tc>
          <w:tcPr>
            <w:tcW w:w="2754" w:type="dxa"/>
          </w:tcPr>
          <w:p w14:paraId="132FA68D" w14:textId="77777777" w:rsidR="00662CA6" w:rsidRPr="00EA0A06" w:rsidRDefault="00662CA6" w:rsidP="00B21CF5">
            <w:pPr>
              <w:pStyle w:val="Instructions"/>
            </w:pPr>
            <w:r w:rsidRPr="00EA0A06">
              <w:t>Title</w:t>
            </w:r>
          </w:p>
        </w:tc>
        <w:tc>
          <w:tcPr>
            <w:tcW w:w="6798" w:type="dxa"/>
          </w:tcPr>
          <w:p w14:paraId="26151B22" w14:textId="4EE0C718" w:rsidR="00662CA6" w:rsidRPr="001A22F0" w:rsidRDefault="00A0749F" w:rsidP="005637FA">
            <w:pPr>
              <w:jc w:val="left"/>
            </w:pPr>
            <w:r>
              <w:t xml:space="preserve">Income Protection Insurance </w:t>
            </w:r>
          </w:p>
        </w:tc>
      </w:tr>
      <w:tr w:rsidR="00662CA6" w:rsidRPr="001A22F0" w14:paraId="12F6AF92" w14:textId="77777777" w:rsidTr="005637FA">
        <w:tc>
          <w:tcPr>
            <w:tcW w:w="2754" w:type="dxa"/>
          </w:tcPr>
          <w:p w14:paraId="37D02B76" w14:textId="77777777" w:rsidR="00662CA6" w:rsidRPr="00EA0A06" w:rsidRDefault="00662CA6" w:rsidP="00B21CF5">
            <w:pPr>
              <w:pStyle w:val="Instructions"/>
            </w:pPr>
            <w:r w:rsidRPr="00EA0A06">
              <w:t>Explanation</w:t>
            </w:r>
          </w:p>
        </w:tc>
        <w:tc>
          <w:tcPr>
            <w:tcW w:w="6798" w:type="dxa"/>
          </w:tcPr>
          <w:p w14:paraId="53D9311C" w14:textId="01B547F5" w:rsidR="00A0749F" w:rsidRPr="00305196" w:rsidRDefault="00A0749F" w:rsidP="00A0749F">
            <w:pPr>
              <w:spacing w:before="120"/>
            </w:pPr>
            <w:r w:rsidRPr="00305196">
              <w:t>It is recommended that you apply for $</w:t>
            </w:r>
            <w:r w:rsidRPr="00305196">
              <w:rPr>
                <w:color w:val="FF0000"/>
              </w:rPr>
              <w:t>[_</w:t>
            </w:r>
            <w:proofErr w:type="gramStart"/>
            <w:r w:rsidRPr="00305196">
              <w:rPr>
                <w:color w:val="FF0000"/>
              </w:rPr>
              <w:t>_,_</w:t>
            </w:r>
            <w:proofErr w:type="gramEnd"/>
            <w:r w:rsidRPr="00305196">
              <w:rPr>
                <w:color w:val="FF0000"/>
              </w:rPr>
              <w:t>_]</w:t>
            </w:r>
            <w:r w:rsidRPr="00305196">
              <w:t xml:space="preserve"> </w:t>
            </w:r>
            <w:r w:rsidR="00736A5C" w:rsidRPr="00305196">
              <w:t>of Income</w:t>
            </w:r>
            <w:r w:rsidRPr="00305196">
              <w:t xml:space="preserve"> Protection cover </w:t>
            </w:r>
            <w:r w:rsidRPr="00305196">
              <w:rPr>
                <w:color w:val="FF0000"/>
              </w:rPr>
              <w:t>[</w:t>
            </w:r>
            <w:r w:rsidR="00C62CCC">
              <w:rPr>
                <w:color w:val="FF0000"/>
              </w:rPr>
              <w:t xml:space="preserve">Full </w:t>
            </w:r>
            <w:commentRangeStart w:id="119"/>
            <w:r w:rsidRPr="00305196">
              <w:rPr>
                <w:color w:val="FF0000"/>
              </w:rPr>
              <w:t>Product</w:t>
            </w:r>
            <w:commentRangeEnd w:id="119"/>
            <w:r w:rsidR="00C62CCC">
              <w:rPr>
                <w:rStyle w:val="CommentReference"/>
                <w:color w:val="auto"/>
                <w:lang w:eastAsia="ja-JP"/>
              </w:rPr>
              <w:commentReference w:id="119"/>
            </w:r>
            <w:r w:rsidRPr="00305196">
              <w:rPr>
                <w:color w:val="FF0000"/>
              </w:rPr>
              <w:t xml:space="preserve"> Name]</w:t>
            </w:r>
            <w:r w:rsidRPr="00305196">
              <w:t xml:space="preserve"> with </w:t>
            </w:r>
            <w:r w:rsidRPr="00305196">
              <w:rPr>
                <w:color w:val="FF0000"/>
              </w:rPr>
              <w:t>[Provider]</w:t>
            </w:r>
            <w:r w:rsidRPr="00305196">
              <w:t>.</w:t>
            </w:r>
          </w:p>
          <w:p w14:paraId="4E3DE646" w14:textId="77777777" w:rsidR="00A0749F" w:rsidRDefault="00A0749F" w:rsidP="00A0749F">
            <w:pPr>
              <w:spacing w:before="120"/>
            </w:pPr>
            <w:r w:rsidRPr="00305196">
              <w:t>The insurance will have the following terms:</w:t>
            </w:r>
          </w:p>
          <w:p w14:paraId="37B7E2DF" w14:textId="77777777" w:rsidR="00A0749F" w:rsidRPr="000F4823" w:rsidRDefault="00A0749F">
            <w:pPr>
              <w:pStyle w:val="InterPracBullet"/>
              <w:rPr>
                <w:highlight w:val="yellow"/>
              </w:rPr>
            </w:pPr>
            <w:r w:rsidRPr="000F4823">
              <w:rPr>
                <w:highlight w:val="yellow"/>
              </w:rPr>
              <w:t>[Term]</w:t>
            </w:r>
          </w:p>
          <w:p w14:paraId="24875DE1" w14:textId="77777777" w:rsidR="00A0749F" w:rsidRPr="00765BEF" w:rsidRDefault="00A0749F">
            <w:pPr>
              <w:pStyle w:val="InterPracBullet"/>
              <w:rPr>
                <w:highlight w:val="yellow"/>
              </w:rPr>
            </w:pPr>
            <w:r w:rsidRPr="000F4823">
              <w:rPr>
                <w:highlight w:val="yellow"/>
              </w:rPr>
              <w:lastRenderedPageBreak/>
              <w:t>[Term]</w:t>
            </w:r>
          </w:p>
          <w:p w14:paraId="48201C9E" w14:textId="04CCD3FE" w:rsidR="00662CA6" w:rsidRPr="001A22F0" w:rsidRDefault="00662CA6" w:rsidP="005637FA">
            <w:pPr>
              <w:jc w:val="left"/>
            </w:pPr>
          </w:p>
        </w:tc>
      </w:tr>
      <w:tr w:rsidR="00662CA6" w:rsidRPr="001A22F0" w14:paraId="66B209DB" w14:textId="77777777" w:rsidTr="005637FA">
        <w:tc>
          <w:tcPr>
            <w:tcW w:w="2754" w:type="dxa"/>
          </w:tcPr>
          <w:p w14:paraId="1CBA232C" w14:textId="77777777" w:rsidR="00662CA6" w:rsidRPr="00EA0A06" w:rsidRDefault="00662CA6" w:rsidP="00B21CF5">
            <w:pPr>
              <w:pStyle w:val="Instructions"/>
            </w:pPr>
            <w:r w:rsidRPr="00EA0A06">
              <w:lastRenderedPageBreak/>
              <w:t>In your Best Interest</w:t>
            </w:r>
          </w:p>
        </w:tc>
        <w:tc>
          <w:tcPr>
            <w:tcW w:w="6798" w:type="dxa"/>
          </w:tcPr>
          <w:p w14:paraId="2BE40C21" w14:textId="77777777" w:rsidR="00662CA6" w:rsidRPr="001A22F0" w:rsidRDefault="00662CA6" w:rsidP="005637FA">
            <w:pPr>
              <w:jc w:val="left"/>
            </w:pPr>
          </w:p>
        </w:tc>
      </w:tr>
      <w:tr w:rsidR="00662CA6" w:rsidRPr="001A22F0" w14:paraId="0EF6C915" w14:textId="77777777" w:rsidTr="005637FA">
        <w:tc>
          <w:tcPr>
            <w:tcW w:w="2754" w:type="dxa"/>
          </w:tcPr>
          <w:p w14:paraId="5730F56B" w14:textId="77777777" w:rsidR="00662CA6" w:rsidRPr="00EA0A06" w:rsidRDefault="00662CA6" w:rsidP="00B21CF5">
            <w:pPr>
              <w:pStyle w:val="Instructions"/>
            </w:pPr>
            <w:r w:rsidRPr="00EA0A06">
              <w:t>Further Detail</w:t>
            </w:r>
          </w:p>
        </w:tc>
        <w:tc>
          <w:tcPr>
            <w:tcW w:w="6798" w:type="dxa"/>
          </w:tcPr>
          <w:p w14:paraId="503DD2FF" w14:textId="29AE3AA7" w:rsidR="00A0749F" w:rsidRPr="005F763D" w:rsidRDefault="00A0749F" w:rsidP="00A0749F">
            <w:pPr>
              <w:jc w:val="left"/>
            </w:pPr>
            <w:r w:rsidRPr="005F763D">
              <w:t>We believe that implementing the recommended Income Protection Insurance cover meets your needs/objectives for the following reasons:</w:t>
            </w:r>
          </w:p>
          <w:p w14:paraId="6ED4505C" w14:textId="77777777" w:rsidR="00A0749F" w:rsidRPr="000D0191" w:rsidRDefault="00A0749F" w:rsidP="003812CB">
            <w:pPr>
              <w:pStyle w:val="ListParagraph"/>
              <w:numPr>
                <w:ilvl w:val="0"/>
                <w:numId w:val="57"/>
              </w:numPr>
              <w:jc w:val="left"/>
            </w:pPr>
            <w:r w:rsidRPr="000D0191">
              <w:t>One of your goals is to protect your income in the case that you are unable to work due to illness or injury.  In this case, your income protection insurance would pay you a monthly benefit which would allow you to maintain your lifestyle needs and obligations and would reduce financial stress on your family.</w:t>
            </w:r>
          </w:p>
          <w:p w14:paraId="621BBD73" w14:textId="025861BA" w:rsidR="00A0749F" w:rsidRPr="000D0191" w:rsidRDefault="00A0749F" w:rsidP="003812CB">
            <w:pPr>
              <w:pStyle w:val="ListParagraph"/>
              <w:numPr>
                <w:ilvl w:val="0"/>
                <w:numId w:val="57"/>
              </w:numPr>
              <w:jc w:val="left"/>
            </w:pPr>
            <w:r w:rsidRPr="000D0191">
              <w:t xml:space="preserve">In order to protect from such a </w:t>
            </w:r>
            <w:r w:rsidR="00FA11A0" w:rsidRPr="000D0191">
              <w:t>situation,</w:t>
            </w:r>
            <w:r w:rsidRPr="000D0191">
              <w:t xml:space="preserve"> we recommend the placement of Income Protection insurance cover.  Such cover is payable should an illness or disability see you are unable to work for a period of time greater than the waiting period provided under the contract.  Payment of such benefits can be selected for a time frame of one year or up to age 65.</w:t>
            </w:r>
          </w:p>
          <w:p w14:paraId="6897D83A" w14:textId="77777777" w:rsidR="00662CA6" w:rsidRDefault="00662CA6" w:rsidP="00B17B10"/>
          <w:p w14:paraId="46569697" w14:textId="77777777" w:rsidR="004569BD" w:rsidRPr="000D0191" w:rsidRDefault="004569BD" w:rsidP="004569BD">
            <w:pPr>
              <w:jc w:val="left"/>
            </w:pPr>
            <w:r w:rsidRPr="000D0191">
              <w:t>The cost of such cover is determined by what waiting and benefit periods are selected:</w:t>
            </w:r>
          </w:p>
          <w:p w14:paraId="02DC019D" w14:textId="77777777" w:rsidR="004569BD" w:rsidRPr="000D0191" w:rsidRDefault="004569BD" w:rsidP="003812CB">
            <w:pPr>
              <w:pStyle w:val="ListParagraph"/>
              <w:numPr>
                <w:ilvl w:val="0"/>
                <w:numId w:val="57"/>
              </w:numPr>
              <w:jc w:val="left"/>
            </w:pPr>
            <w:r w:rsidRPr="000D0191">
              <w:t xml:space="preserve">Based on your current available liquid assets, we recommend a waiting period of </w:t>
            </w:r>
            <w:r w:rsidRPr="000D0191">
              <w:rPr>
                <w:color w:val="7030A0"/>
                <w:highlight w:val="yellow"/>
              </w:rPr>
              <w:t>[XX]</w:t>
            </w:r>
            <w:r w:rsidRPr="00FA3ECB">
              <w:t xml:space="preserve"> days, and a benefit period of </w:t>
            </w:r>
            <w:r w:rsidRPr="000D0191">
              <w:rPr>
                <w:color w:val="7030A0"/>
                <w:highlight w:val="yellow"/>
              </w:rPr>
              <w:t>[XX]</w:t>
            </w:r>
            <w:r w:rsidRPr="00FA3ECB">
              <w:t>.</w:t>
            </w:r>
          </w:p>
          <w:p w14:paraId="4D36A6F2" w14:textId="37553C38" w:rsidR="004569BD" w:rsidRPr="000D0191" w:rsidRDefault="004569BD" w:rsidP="003812CB">
            <w:pPr>
              <w:pStyle w:val="ListParagraph"/>
              <w:numPr>
                <w:ilvl w:val="0"/>
                <w:numId w:val="57"/>
              </w:numPr>
              <w:jc w:val="left"/>
              <w:rPr>
                <w:color w:val="7030A0"/>
                <w:highlight w:val="yellow"/>
              </w:rPr>
            </w:pPr>
            <w:r w:rsidRPr="000D0191">
              <w:rPr>
                <w:color w:val="7030A0"/>
                <w:highlight w:val="yellow"/>
              </w:rPr>
              <w:t xml:space="preserve">With regard to the benefit payable, normally maximum amount that can be insured for is 75% of income (including packaged benefits such as superannuation and other items seen to have a dollar benefit).  We recommend we insure for 75% of your overall package which would see a monthly insurance benefit payment of </w:t>
            </w:r>
            <w:r w:rsidRPr="000D0191">
              <w:rPr>
                <w:color w:val="FF0000"/>
              </w:rPr>
              <w:t>$_</w:t>
            </w:r>
            <w:proofErr w:type="gramStart"/>
            <w:r w:rsidRPr="000D0191">
              <w:rPr>
                <w:color w:val="FF0000"/>
              </w:rPr>
              <w:t>_,_</w:t>
            </w:r>
            <w:proofErr w:type="gramEnd"/>
            <w:r w:rsidRPr="000D0191">
              <w:rPr>
                <w:color w:val="FF0000"/>
              </w:rPr>
              <w:t>__</w:t>
            </w:r>
            <w:r w:rsidRPr="000D0191">
              <w:rPr>
                <w:color w:val="7030A0"/>
                <w:highlight w:val="yellow"/>
              </w:rPr>
              <w:t xml:space="preserve">.  Note though that tax will </w:t>
            </w:r>
            <w:r w:rsidR="00FA11A0" w:rsidRPr="000D0191">
              <w:rPr>
                <w:color w:val="7030A0"/>
                <w:highlight w:val="yellow"/>
              </w:rPr>
              <w:t>be deducted</w:t>
            </w:r>
            <w:r w:rsidRPr="000D0191">
              <w:rPr>
                <w:color w:val="7030A0"/>
                <w:highlight w:val="yellow"/>
              </w:rPr>
              <w:t xml:space="preserve"> from the benefit amount.</w:t>
            </w:r>
          </w:p>
          <w:p w14:paraId="44AF739F" w14:textId="77777777" w:rsidR="004569BD" w:rsidRPr="00765BEF" w:rsidRDefault="004569BD" w:rsidP="004569BD">
            <w:pPr>
              <w:jc w:val="left"/>
              <w:rPr>
                <w:b/>
                <w:color w:val="auto"/>
              </w:rPr>
            </w:pPr>
            <w:r w:rsidRPr="00765BEF">
              <w:rPr>
                <w:b/>
                <w:color w:val="auto"/>
              </w:rPr>
              <w:t>OR</w:t>
            </w:r>
          </w:p>
          <w:p w14:paraId="19F38636" w14:textId="77777777" w:rsidR="004569BD" w:rsidRPr="000D0191" w:rsidRDefault="004569BD" w:rsidP="003812CB">
            <w:pPr>
              <w:pStyle w:val="ListParagraph"/>
              <w:numPr>
                <w:ilvl w:val="0"/>
                <w:numId w:val="58"/>
              </w:numPr>
              <w:jc w:val="left"/>
              <w:rPr>
                <w:color w:val="7030A0"/>
                <w:highlight w:val="yellow"/>
              </w:rPr>
            </w:pPr>
            <w:r w:rsidRPr="000D0191">
              <w:rPr>
                <w:color w:val="7030A0"/>
                <w:highlight w:val="yellow"/>
              </w:rPr>
              <w:t xml:space="preserve">With regard to the benefit payable, as a self-employed business owner the amount that can be insured for is normally calculated as being 75% of your earnings after expenses, plus any expenses that benefit you personally.  We calculate that we can base an insurance benefit as 75% of </w:t>
            </w:r>
            <w:r w:rsidRPr="00FA3ECB">
              <w:rPr>
                <w:color w:val="FF0000"/>
              </w:rPr>
              <w:t>$_</w:t>
            </w:r>
            <w:proofErr w:type="gramStart"/>
            <w:r w:rsidRPr="00FA3ECB">
              <w:rPr>
                <w:color w:val="FF0000"/>
              </w:rPr>
              <w:t>_,_</w:t>
            </w:r>
            <w:proofErr w:type="gramEnd"/>
            <w:r w:rsidRPr="00FA3ECB">
              <w:rPr>
                <w:color w:val="FF0000"/>
              </w:rPr>
              <w:t>__</w:t>
            </w:r>
            <w:r w:rsidRPr="000D0191">
              <w:rPr>
                <w:color w:val="7030A0"/>
                <w:highlight w:val="yellow"/>
              </w:rPr>
              <w:t xml:space="preserve"> which would provide a monthly benefit of </w:t>
            </w:r>
            <w:r w:rsidRPr="00FA3ECB">
              <w:rPr>
                <w:color w:val="FF0000"/>
              </w:rPr>
              <w:t>$__,___</w:t>
            </w:r>
            <w:r w:rsidRPr="000D0191">
              <w:rPr>
                <w:color w:val="7030A0"/>
                <w:highlight w:val="yellow"/>
              </w:rPr>
              <w:t>.  Note though that tax will be deducted from the benefit amount.</w:t>
            </w:r>
          </w:p>
          <w:p w14:paraId="743484E1" w14:textId="77777777" w:rsidR="00A0749F" w:rsidRDefault="00A0749F" w:rsidP="00B17B10"/>
          <w:p w14:paraId="5A34BC4B" w14:textId="77777777" w:rsidR="004569BD" w:rsidRDefault="004569BD" w:rsidP="004569BD">
            <w:pPr>
              <w:pStyle w:val="Normal150cmLeft5ptBefore"/>
              <w:ind w:left="0"/>
            </w:pPr>
            <w:r w:rsidRPr="005F763D">
              <w:t xml:space="preserve">Please also be aware that premiums paid for an income protection policy are usually tax deductible.  </w:t>
            </w:r>
          </w:p>
          <w:p w14:paraId="34287B23" w14:textId="77777777" w:rsidR="004569BD" w:rsidRDefault="004569BD" w:rsidP="004569BD">
            <w:pPr>
              <w:pStyle w:val="Normal150cmLeft5ptBefore"/>
              <w:ind w:left="0"/>
            </w:pPr>
            <w:r>
              <w:t>If</w:t>
            </w:r>
            <w:r w:rsidRPr="005F763D">
              <w:t xml:space="preserve"> the policy is owned in the name of the person insured, premiums can be paid for by the business as a business expense.</w:t>
            </w:r>
          </w:p>
          <w:p w14:paraId="4580BA62" w14:textId="77777777" w:rsidR="004569BD" w:rsidRDefault="004569BD" w:rsidP="00B17B10"/>
          <w:p w14:paraId="1E73D831" w14:textId="77777777" w:rsidR="00770F8D" w:rsidRPr="000D0191" w:rsidRDefault="00770F8D" w:rsidP="00770F8D">
            <w:pPr>
              <w:pStyle w:val="Normal150cmLeft5ptBefore"/>
              <w:ind w:left="0"/>
            </w:pPr>
            <w:r w:rsidRPr="000D0191">
              <w:rPr>
                <w:b/>
              </w:rPr>
              <w:t xml:space="preserve">Level </w:t>
            </w:r>
            <w:commentRangeStart w:id="120"/>
            <w:r w:rsidRPr="000D0191">
              <w:rPr>
                <w:b/>
              </w:rPr>
              <w:t>Premiums</w:t>
            </w:r>
            <w:commentRangeEnd w:id="120"/>
            <w:r w:rsidR="00DF1B58">
              <w:rPr>
                <w:rStyle w:val="CommentReference"/>
                <w:rFonts w:eastAsia="MS Mincho"/>
                <w:lang w:eastAsia="ja-JP"/>
              </w:rPr>
              <w:commentReference w:id="120"/>
            </w:r>
            <w:r w:rsidRPr="000D0191">
              <w:rPr>
                <w:b/>
              </w:rPr>
              <w:t>:</w:t>
            </w:r>
            <w:r w:rsidRPr="00FA3ECB">
              <w:t xml:space="preserve"> We have recommended level premiums because they are mor</w:t>
            </w:r>
            <w:r w:rsidRPr="000D0191">
              <w:t>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52FCB96C" w14:textId="77777777" w:rsidR="004569BD" w:rsidRDefault="004569BD" w:rsidP="00B17B10"/>
          <w:p w14:paraId="66908563" w14:textId="77777777" w:rsidR="00770F8D" w:rsidRPr="000D0191" w:rsidRDefault="00770F8D" w:rsidP="00770F8D">
            <w:pPr>
              <w:pStyle w:val="Normal150cmLeft5ptBefore"/>
              <w:ind w:left="0"/>
              <w:rPr>
                <w:b/>
              </w:rPr>
            </w:pPr>
            <w:r w:rsidRPr="000D0191">
              <w:rPr>
                <w:b/>
              </w:rPr>
              <w:t xml:space="preserve">Stepped Premiums: </w:t>
            </w:r>
            <w:r w:rsidRPr="00FA3ECB">
              <w:t>We have recommended stepped premiums because they are lower and more cost effective for you than level premiums in the initial years. Stepped premiums are based</w:t>
            </w:r>
            <w:r w:rsidRPr="000D0191">
              <w:t xml:space="preserve"> on your age and will usually increase each year. Premiums may be higher than level premiums where the policy is held for an extended period.</w:t>
            </w:r>
          </w:p>
          <w:p w14:paraId="515A1C60" w14:textId="77777777" w:rsidR="00770F8D" w:rsidRPr="000D0191" w:rsidRDefault="00770F8D" w:rsidP="00770F8D">
            <w:pPr>
              <w:pStyle w:val="Normal150cmLeft5ptBefore"/>
              <w:ind w:left="0"/>
              <w:rPr>
                <w:b/>
              </w:rPr>
            </w:pPr>
            <w:r w:rsidRPr="000D0191">
              <w:rPr>
                <w:b/>
              </w:rPr>
              <w:t xml:space="preserve">Waiting Period: </w:t>
            </w:r>
            <w:r w:rsidRPr="00FA3ECB">
              <w:t xml:space="preserve">The waiting period specifies the period of time that the Insured must be totally or partially </w:t>
            </w:r>
            <w:r w:rsidRPr="000D0191">
              <w:t>disabled prior to becoming eligible for the monthly benefit amount.</w:t>
            </w:r>
          </w:p>
          <w:p w14:paraId="08FF80EB" w14:textId="77777777" w:rsidR="00770F8D" w:rsidRPr="000D0191" w:rsidRDefault="00770F8D" w:rsidP="00770F8D">
            <w:pPr>
              <w:pStyle w:val="Normal150cmLeft5ptBefore"/>
              <w:ind w:left="0"/>
            </w:pPr>
            <w:r w:rsidRPr="000D0191">
              <w:rPr>
                <w:b/>
              </w:rPr>
              <w:t xml:space="preserve">Benefit Period: </w:t>
            </w:r>
            <w:r w:rsidRPr="00FA3ECB">
              <w:t>The benefit period specifies the period of time that the Insured may be entitled to receive the monthly benefit for a disability arising from the one cause or a number of r</w:t>
            </w:r>
            <w:r w:rsidRPr="000D0191">
              <w:t>elated causes.</w:t>
            </w:r>
          </w:p>
          <w:p w14:paraId="1F28FF28" w14:textId="77777777" w:rsidR="00770F8D" w:rsidRDefault="00770F8D" w:rsidP="00B17B10"/>
          <w:p w14:paraId="0CCC9021" w14:textId="77777777" w:rsidR="00770F8D" w:rsidRDefault="00770F8D" w:rsidP="00B17B10">
            <w:r w:rsidRPr="000D0191">
              <w:rPr>
                <w:b/>
              </w:rPr>
              <w:t xml:space="preserve">Basic Cover: </w:t>
            </w:r>
            <w:r w:rsidRPr="00FA3ECB">
              <w:t>Provides you with the most basic cover available.</w:t>
            </w:r>
          </w:p>
          <w:p w14:paraId="4E7E56E8" w14:textId="77777777" w:rsidR="0053376B" w:rsidRDefault="0053376B" w:rsidP="0053376B">
            <w:pPr>
              <w:pStyle w:val="Normal150cmLeft5ptBefore"/>
              <w:ind w:left="0"/>
              <w:rPr>
                <w:b/>
              </w:rPr>
            </w:pPr>
          </w:p>
          <w:p w14:paraId="2787DFC5" w14:textId="197C3EB5" w:rsidR="0053376B" w:rsidRPr="000D0191" w:rsidRDefault="0053376B" w:rsidP="0053376B">
            <w:pPr>
              <w:pStyle w:val="Normal150cmLeft5ptBefore"/>
              <w:ind w:left="0"/>
            </w:pPr>
            <w:r w:rsidRPr="000D0191">
              <w:rPr>
                <w:b/>
              </w:rPr>
              <w:t xml:space="preserve">Comprehensive Cover: </w:t>
            </w:r>
            <w:r w:rsidRPr="00FA3ECB">
              <w:t>Provides you with the most comprehensive cover available.</w:t>
            </w:r>
          </w:p>
          <w:p w14:paraId="125BCABC" w14:textId="77777777" w:rsidR="0053376B" w:rsidRPr="00FA3ECB" w:rsidRDefault="0053376B" w:rsidP="0053376B">
            <w:pPr>
              <w:pStyle w:val="Normal150cmLeft5ptBefore"/>
              <w:ind w:left="0"/>
            </w:pPr>
            <w:r w:rsidRPr="000D0191">
              <w:rPr>
                <w:b/>
              </w:rPr>
              <w:t>Agreed Value:</w:t>
            </w:r>
            <w:r w:rsidRPr="00BD4963">
              <w:t xml:space="preserve"> </w:t>
            </w:r>
            <w:r w:rsidRPr="007D634E">
              <w:t>With agreed value, you are paid a monthly sum settled at the time you take out insurance. Indemnity cover is about 20 per cent cheaper than agreed value, but it's also probably about 20 per cent riskier, particularly if you are self-employed.</w:t>
            </w:r>
          </w:p>
          <w:p w14:paraId="6FCE0E5D" w14:textId="77777777" w:rsidR="00770F8D" w:rsidRDefault="00770F8D" w:rsidP="00B17B10"/>
          <w:p w14:paraId="54A8994B" w14:textId="77777777" w:rsidR="0053376B" w:rsidRPr="000D0191" w:rsidRDefault="0053376B" w:rsidP="0053376B">
            <w:pPr>
              <w:pStyle w:val="Normal150cmLeft5ptBefore"/>
              <w:ind w:left="0"/>
              <w:rPr>
                <w:b/>
              </w:rPr>
            </w:pPr>
            <w:r w:rsidRPr="000D0191">
              <w:rPr>
                <w:b/>
              </w:rPr>
              <w:t>Indemnity:</w:t>
            </w:r>
            <w:r w:rsidRPr="00FA3ECB">
              <w:t xml:space="preserve"> With indemnity cover, the income paid is determined at the time the claim is made. This could work in your favour, but it can equally work against you. If your health ha</w:t>
            </w:r>
            <w:r w:rsidRPr="000D0191">
              <w:t>s been steadily declining and your customers – and in turn your income – have been declining too, you will only be paid on your reduced income.</w:t>
            </w:r>
          </w:p>
          <w:p w14:paraId="33173830" w14:textId="77777777" w:rsidR="0053376B" w:rsidRDefault="0053376B" w:rsidP="00B17B10"/>
          <w:p w14:paraId="280DB1B0" w14:textId="3C59FD32" w:rsidR="0053376B" w:rsidRPr="000D0191" w:rsidRDefault="0053376B" w:rsidP="0053376B">
            <w:pPr>
              <w:pStyle w:val="Normal150cmLeft5ptBefore"/>
              <w:ind w:left="0"/>
              <w:rPr>
                <w:b/>
              </w:rPr>
            </w:pPr>
            <w:r w:rsidRPr="000D0191">
              <w:rPr>
                <w:b/>
              </w:rPr>
              <w:t xml:space="preserve">Increasing Claims Benefit: </w:t>
            </w:r>
            <w:r w:rsidRPr="00FA3ECB">
              <w:t xml:space="preserve">In the event of a </w:t>
            </w:r>
            <w:r w:rsidR="00FA11A0" w:rsidRPr="00FA3ECB">
              <w:t>long-term</w:t>
            </w:r>
            <w:r w:rsidRPr="00FA3ECB">
              <w:t xml:space="preserve"> payment, the payment wi</w:t>
            </w:r>
            <w:r w:rsidRPr="000D0191">
              <w:t>ll be increase according to CPI.</w:t>
            </w:r>
          </w:p>
          <w:p w14:paraId="1C76AAFC" w14:textId="77777777" w:rsidR="0053376B" w:rsidRDefault="0053376B" w:rsidP="00B17B10"/>
          <w:p w14:paraId="67103B65" w14:textId="739E788F" w:rsidR="00BA6547" w:rsidRPr="000D0191" w:rsidRDefault="00BA6547" w:rsidP="00BA6547">
            <w:pPr>
              <w:pStyle w:val="Normal150cmLeft5ptBefore"/>
              <w:ind w:left="0"/>
            </w:pPr>
            <w:r w:rsidRPr="000D0191">
              <w:rPr>
                <w:b/>
              </w:rPr>
              <w:t xml:space="preserve">Day </w:t>
            </w:r>
            <w:r w:rsidRPr="00BA6547">
              <w:rPr>
                <w:b/>
                <w:color w:val="7030A0"/>
                <w:highlight w:val="yellow"/>
              </w:rPr>
              <w:t>[X]</w:t>
            </w:r>
            <w:r w:rsidRPr="000D0191">
              <w:rPr>
                <w:b/>
              </w:rPr>
              <w:t xml:space="preserve"> Accident Benefit: </w:t>
            </w:r>
            <w:r w:rsidRPr="00FA3ECB">
              <w:t>accident benefit may waive the waiting period in the event that the Insured is totally disable due to injury.</w:t>
            </w:r>
          </w:p>
          <w:p w14:paraId="58144510" w14:textId="77777777" w:rsidR="0053376B" w:rsidRDefault="0053376B" w:rsidP="00B17B10"/>
          <w:p w14:paraId="3984E058" w14:textId="77777777" w:rsidR="00BA6547" w:rsidRPr="005F763D" w:rsidRDefault="00BA6547" w:rsidP="00BA6547">
            <w:pPr>
              <w:jc w:val="left"/>
            </w:pPr>
            <w:r w:rsidRPr="005F763D">
              <w:t>Before proceeding with the recommended Income Protection, you should consider the following:</w:t>
            </w:r>
          </w:p>
          <w:p w14:paraId="399F53A1" w14:textId="77777777" w:rsidR="00BA6547" w:rsidRPr="00ED3FF3" w:rsidRDefault="00BA6547">
            <w:pPr>
              <w:pStyle w:val="InterPracBullet"/>
              <w:numPr>
                <w:ilvl w:val="0"/>
                <w:numId w:val="35"/>
              </w:numPr>
            </w:pPr>
            <w:r w:rsidRPr="00ED3FF3">
              <w:rPr>
                <w:snapToGrid w:val="0"/>
              </w:rPr>
              <w:t>Only up to 75% of your regular monthly income may be covered by an Income Protection policy.</w:t>
            </w:r>
          </w:p>
          <w:p w14:paraId="30582227" w14:textId="77777777" w:rsidR="00BA6547" w:rsidRPr="00ED3FF3" w:rsidRDefault="00BA6547">
            <w:pPr>
              <w:pStyle w:val="InterPracBullet"/>
              <w:numPr>
                <w:ilvl w:val="0"/>
                <w:numId w:val="35"/>
              </w:numPr>
            </w:pPr>
            <w:r w:rsidRPr="00ED3FF3">
              <w:rPr>
                <w:snapToGrid w:val="0"/>
              </w:rPr>
              <w:t>Up to 100% of your employer super contributions may also be covered by an Income Protection policy.</w:t>
            </w:r>
          </w:p>
          <w:p w14:paraId="402303C4" w14:textId="77777777" w:rsidR="00BA6547" w:rsidRPr="00ED3FF3" w:rsidRDefault="00BA6547">
            <w:pPr>
              <w:pStyle w:val="InterPracBullet"/>
              <w:numPr>
                <w:ilvl w:val="0"/>
                <w:numId w:val="35"/>
              </w:numPr>
            </w:pPr>
            <w:r w:rsidRPr="00ED3FF3">
              <w:rPr>
                <w:snapToGrid w:val="0"/>
              </w:rPr>
              <w:t>The waiting period is the minimum amount of time that you will have to wait before you begin to receive payments under the policy. You should also note that some payments are made in arrears so this may extend your waiting period.  This is why having cash in the bank or sick leave due from your employer can be beneficial.</w:t>
            </w:r>
          </w:p>
          <w:p w14:paraId="1A5448A0" w14:textId="77777777" w:rsidR="00BA6547" w:rsidRPr="00ED3FF3" w:rsidRDefault="00BA6547">
            <w:pPr>
              <w:pStyle w:val="InterPracBullet"/>
              <w:numPr>
                <w:ilvl w:val="0"/>
                <w:numId w:val="35"/>
              </w:numPr>
            </w:pPr>
            <w:r w:rsidRPr="00ED3FF3">
              <w:t>The benefit period is the maximum amount of time that you will be paid under the policy (subject to policy conditions).</w:t>
            </w:r>
          </w:p>
          <w:p w14:paraId="2E72F479" w14:textId="77777777" w:rsidR="00BA6547" w:rsidRPr="00ED3FF3" w:rsidRDefault="00BA6547">
            <w:pPr>
              <w:pStyle w:val="InterPracBullet"/>
              <w:numPr>
                <w:ilvl w:val="0"/>
                <w:numId w:val="35"/>
              </w:numPr>
            </w:pPr>
            <w:r w:rsidRPr="00ED3FF3">
              <w:t>For an Indemnity policy, the income replacement benefit paid by the insurer is based on the life insured's average earnings in any 1</w:t>
            </w:r>
            <w:r w:rsidRPr="00ED3FF3">
              <w:rPr>
                <w:lang w:val="en-AU"/>
              </w:rPr>
              <w:t xml:space="preserve"> to </w:t>
            </w:r>
            <w:r w:rsidRPr="00ED3FF3">
              <w:t xml:space="preserve">2 </w:t>
            </w:r>
            <w:r w:rsidRPr="00ED3FF3">
              <w:rPr>
                <w:lang w:val="en-AU"/>
              </w:rPr>
              <w:t xml:space="preserve">year period </w:t>
            </w:r>
            <w:r w:rsidRPr="00ED3FF3">
              <w:t>prior to the time of claim.</w:t>
            </w:r>
          </w:p>
          <w:p w14:paraId="1CFA94FA" w14:textId="77777777" w:rsidR="00BA6547" w:rsidRDefault="00BA6547" w:rsidP="00B17B10"/>
          <w:p w14:paraId="05B51517" w14:textId="18735E6F" w:rsidR="00BA6547" w:rsidRPr="001A22F0" w:rsidRDefault="00BA6547" w:rsidP="00B17B10"/>
        </w:tc>
      </w:tr>
    </w:tbl>
    <w:p w14:paraId="52C0854B" w14:textId="77777777" w:rsidR="00662CA6" w:rsidRPr="005F763D" w:rsidRDefault="00662CA6" w:rsidP="008C7CE9">
      <w:pPr>
        <w:jc w:val="left"/>
        <w:rPr>
          <w:rFonts w:cs="Calibri"/>
        </w:rPr>
      </w:pPr>
    </w:p>
    <w:p w14:paraId="2E1C744E" w14:textId="77777777" w:rsidR="00067C25" w:rsidRDefault="00067C25">
      <w:pPr>
        <w:pStyle w:val="Normal150cmLeft5ptBefore"/>
        <w:ind w:left="0"/>
        <w:rPr>
          <w:snapToGrid w:val="0"/>
        </w:rPr>
        <w:sectPr w:rsidR="00067C25" w:rsidSect="00B14A22">
          <w:type w:val="continuous"/>
          <w:pgSz w:w="11906" w:h="16838" w:code="9"/>
          <w:pgMar w:top="1134" w:right="566" w:bottom="426" w:left="709" w:header="567" w:footer="95" w:gutter="0"/>
          <w:cols w:space="708"/>
          <w:docGrid w:linePitch="360"/>
        </w:sectPr>
      </w:pPr>
    </w:p>
    <w:p w14:paraId="030B69C4" w14:textId="6E195E0D" w:rsidR="00D614BC" w:rsidRPr="000D0191" w:rsidRDefault="00D614BC" w:rsidP="000D0191">
      <w:pPr>
        <w:pStyle w:val="Normal150cmLeft5ptBefore"/>
        <w:ind w:left="0"/>
        <w:rPr>
          <w:b/>
        </w:rPr>
      </w:pPr>
    </w:p>
    <w:p w14:paraId="18DF88A7" w14:textId="77777777" w:rsidR="00ED3FF3" w:rsidRDefault="00ED3FF3" w:rsidP="008C7CE9">
      <w:pPr>
        <w:jc w:val="left"/>
        <w:sectPr w:rsidR="00ED3FF3" w:rsidSect="00B14A22">
          <w:type w:val="continuous"/>
          <w:pgSz w:w="11906" w:h="16838" w:code="9"/>
          <w:pgMar w:top="1134" w:right="566" w:bottom="426" w:left="709" w:header="567" w:footer="95" w:gutter="0"/>
          <w:cols w:space="708"/>
          <w:docGrid w:linePitch="360"/>
        </w:sectPr>
      </w:pPr>
    </w:p>
    <w:p w14:paraId="155EED98" w14:textId="1FE7C0E3" w:rsidR="00D614BC" w:rsidRPr="005F763D" w:rsidRDefault="00D614BC" w:rsidP="008C7CE9">
      <w:pPr>
        <w:jc w:val="left"/>
      </w:pPr>
    </w:p>
    <w:p w14:paraId="2816E0E8" w14:textId="77777777" w:rsidR="00D614BC" w:rsidRPr="005F763D" w:rsidRDefault="00D614BC" w:rsidP="008C7CE9">
      <w:pPr>
        <w:jc w:val="left"/>
      </w:pPr>
    </w:p>
    <w:p w14:paraId="6FB7C67E" w14:textId="77777777" w:rsidR="00010E11" w:rsidRDefault="00010E11" w:rsidP="008C7CE9">
      <w:pPr>
        <w:jc w:val="left"/>
        <w:sectPr w:rsidR="00010E11" w:rsidSect="00B14A22">
          <w:type w:val="continuous"/>
          <w:pgSz w:w="11906" w:h="16838" w:code="9"/>
          <w:pgMar w:top="1134" w:right="566" w:bottom="426" w:left="709" w:header="567" w:footer="95" w:gutter="0"/>
          <w:cols w:space="708"/>
          <w:docGrid w:linePitch="360"/>
        </w:sectPr>
      </w:pPr>
    </w:p>
    <w:p w14:paraId="70959A15" w14:textId="77777777" w:rsidR="004932C3" w:rsidRDefault="004932C3" w:rsidP="008C7CE9">
      <w:pPr>
        <w:jc w:val="left"/>
        <w:sectPr w:rsidR="004932C3" w:rsidSect="00010E11">
          <w:type w:val="continuous"/>
          <w:pgSz w:w="11906" w:h="16838" w:code="9"/>
          <w:pgMar w:top="1134" w:right="566" w:bottom="426" w:left="709" w:header="567" w:footer="95" w:gutter="0"/>
          <w:cols w:space="708"/>
          <w:docGrid w:linePitch="360"/>
        </w:sectPr>
      </w:pPr>
    </w:p>
    <w:p w14:paraId="10BEDB35" w14:textId="6EC0AC0E" w:rsidR="007F606A" w:rsidRPr="005F763D" w:rsidRDefault="007F606A" w:rsidP="008C7CE9">
      <w:pPr>
        <w:jc w:val="left"/>
      </w:pPr>
    </w:p>
    <w:p w14:paraId="04EC3934" w14:textId="5DA824AF" w:rsidR="007F606A" w:rsidRPr="00B66109" w:rsidRDefault="007F606A" w:rsidP="00B66109">
      <w:pPr>
        <w:jc w:val="left"/>
        <w:rPr>
          <w:sz w:val="24"/>
        </w:rPr>
      </w:pPr>
      <w:r w:rsidRPr="00B66109">
        <w:rPr>
          <w:color w:val="002060"/>
          <w:sz w:val="24"/>
        </w:rPr>
        <w:t xml:space="preserve">Death Insurance Cover – Inside </w:t>
      </w:r>
      <w:commentRangeStart w:id="121"/>
      <w:r w:rsidRPr="00B66109">
        <w:rPr>
          <w:color w:val="002060"/>
          <w:sz w:val="24"/>
        </w:rPr>
        <w:t>Superannuation</w:t>
      </w:r>
      <w:commentRangeEnd w:id="121"/>
      <w:r w:rsidR="00AF7BE8">
        <w:rPr>
          <w:rStyle w:val="CommentReference"/>
          <w:color w:val="auto"/>
          <w:lang w:eastAsia="ja-JP"/>
        </w:rPr>
        <w:commentReference w:id="121"/>
      </w:r>
      <w:r w:rsidR="00AF7BE8">
        <w:rPr>
          <w:color w:val="002060"/>
          <w:sz w:val="24"/>
        </w:rPr>
        <w:t xml:space="preserve"> </w:t>
      </w:r>
    </w:p>
    <w:p w14:paraId="755B3529" w14:textId="79690A12" w:rsidR="007F606A" w:rsidRDefault="007F606A"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56A7C7F0" w14:textId="77777777" w:rsidTr="00E32549">
        <w:tc>
          <w:tcPr>
            <w:tcW w:w="2754" w:type="dxa"/>
          </w:tcPr>
          <w:p w14:paraId="333EB6E7" w14:textId="77777777" w:rsidR="00966021" w:rsidRPr="00EA0A06" w:rsidRDefault="00966021" w:rsidP="00E32549">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07FB819B" w14:textId="77777777" w:rsidR="00966021" w:rsidRPr="00E51BEA" w:rsidRDefault="00966021" w:rsidP="00E32549">
            <w:pPr>
              <w:pStyle w:val="TableHeader2"/>
              <w:rPr>
                <w:rFonts w:ascii="Calibri Light" w:hAnsi="Calibri Light"/>
              </w:rPr>
            </w:pPr>
          </w:p>
        </w:tc>
      </w:tr>
      <w:tr w:rsidR="00966021" w:rsidRPr="001A22F0" w14:paraId="303851E6" w14:textId="77777777" w:rsidTr="00E32549">
        <w:tc>
          <w:tcPr>
            <w:tcW w:w="2754" w:type="dxa"/>
          </w:tcPr>
          <w:p w14:paraId="7DAE179A" w14:textId="77777777" w:rsidR="00966021" w:rsidRPr="00EA0A06" w:rsidRDefault="00966021" w:rsidP="00B21CF5">
            <w:pPr>
              <w:pStyle w:val="Instructions"/>
            </w:pPr>
            <w:r w:rsidRPr="00EA0A06">
              <w:t>Title</w:t>
            </w:r>
          </w:p>
        </w:tc>
        <w:tc>
          <w:tcPr>
            <w:tcW w:w="6798" w:type="dxa"/>
          </w:tcPr>
          <w:p w14:paraId="1ACC71D9" w14:textId="3FF9FBC1" w:rsidR="00966021" w:rsidRPr="001A22F0" w:rsidRDefault="004559F1" w:rsidP="00E32549">
            <w:pPr>
              <w:jc w:val="left"/>
            </w:pPr>
            <w:r>
              <w:t>Life Insurance funded from Superannuation</w:t>
            </w:r>
          </w:p>
        </w:tc>
      </w:tr>
      <w:tr w:rsidR="00966021" w:rsidRPr="001A22F0" w14:paraId="3B9DF049" w14:textId="77777777" w:rsidTr="00E32549">
        <w:tc>
          <w:tcPr>
            <w:tcW w:w="2754" w:type="dxa"/>
          </w:tcPr>
          <w:p w14:paraId="7BAAA3A4" w14:textId="77777777" w:rsidR="00966021" w:rsidRPr="00EA0A06" w:rsidRDefault="00966021" w:rsidP="00B21CF5">
            <w:pPr>
              <w:pStyle w:val="Instructions"/>
            </w:pPr>
            <w:r w:rsidRPr="00EA0A06">
              <w:t>Explanation</w:t>
            </w:r>
          </w:p>
        </w:tc>
        <w:tc>
          <w:tcPr>
            <w:tcW w:w="6798" w:type="dxa"/>
          </w:tcPr>
          <w:p w14:paraId="34DF306A" w14:textId="0A36E8F4" w:rsidR="004559F1" w:rsidRPr="00765BEF" w:rsidRDefault="004559F1" w:rsidP="004559F1">
            <w:pPr>
              <w:spacing w:before="120"/>
              <w:rPr>
                <w:color w:val="auto"/>
              </w:rPr>
            </w:pPr>
            <w:r w:rsidRPr="00765BEF">
              <w:rPr>
                <w:color w:val="auto"/>
              </w:rPr>
              <w:t>It is recommended that you apply for $</w:t>
            </w:r>
            <w:r w:rsidRPr="00E11BDB">
              <w:rPr>
                <w:color w:val="FF0000"/>
              </w:rPr>
              <w:t>[_</w:t>
            </w:r>
            <w:proofErr w:type="gramStart"/>
            <w:r w:rsidRPr="00E11BDB">
              <w:rPr>
                <w:color w:val="FF0000"/>
              </w:rPr>
              <w:t>_,_</w:t>
            </w:r>
            <w:proofErr w:type="gramEnd"/>
            <w:r w:rsidRPr="00E11BDB">
              <w:rPr>
                <w:color w:val="FF0000"/>
              </w:rPr>
              <w:t>_]</w:t>
            </w:r>
            <w:r w:rsidRPr="00765BEF">
              <w:rPr>
                <w:color w:val="auto"/>
              </w:rPr>
              <w:t xml:space="preserve"> </w:t>
            </w:r>
            <w:r w:rsidR="00FA11A0" w:rsidRPr="00765BEF">
              <w:rPr>
                <w:color w:val="auto"/>
              </w:rPr>
              <w:t>of Life</w:t>
            </w:r>
            <w:r w:rsidRPr="00765BEF">
              <w:rPr>
                <w:color w:val="auto"/>
              </w:rPr>
              <w:t xml:space="preserve"> cover [Product Name] with [Provider].</w:t>
            </w:r>
          </w:p>
          <w:p w14:paraId="71511F9B" w14:textId="77777777" w:rsidR="004559F1" w:rsidRPr="00765BEF" w:rsidRDefault="004559F1" w:rsidP="004559F1">
            <w:pPr>
              <w:spacing w:before="120"/>
              <w:rPr>
                <w:color w:val="auto"/>
              </w:rPr>
            </w:pPr>
            <w:r w:rsidRPr="00765BEF">
              <w:rPr>
                <w:color w:val="auto"/>
              </w:rPr>
              <w:t>The insurance will have the following terms:</w:t>
            </w:r>
          </w:p>
          <w:p w14:paraId="503679FD" w14:textId="77777777" w:rsidR="004559F1" w:rsidRPr="000F4823" w:rsidRDefault="004559F1">
            <w:pPr>
              <w:pStyle w:val="InterPracBullet"/>
              <w:rPr>
                <w:highlight w:val="yellow"/>
              </w:rPr>
            </w:pPr>
            <w:r w:rsidRPr="000F4823">
              <w:rPr>
                <w:highlight w:val="yellow"/>
              </w:rPr>
              <w:t>[Term]</w:t>
            </w:r>
          </w:p>
          <w:p w14:paraId="54F2C257" w14:textId="77777777" w:rsidR="004559F1" w:rsidRPr="00765BEF" w:rsidRDefault="004559F1">
            <w:pPr>
              <w:pStyle w:val="InterPracBullet"/>
              <w:rPr>
                <w:highlight w:val="yellow"/>
              </w:rPr>
            </w:pPr>
            <w:r w:rsidRPr="000F4823">
              <w:rPr>
                <w:highlight w:val="yellow"/>
              </w:rPr>
              <w:lastRenderedPageBreak/>
              <w:t>[Term]</w:t>
            </w:r>
          </w:p>
          <w:p w14:paraId="5C54C888" w14:textId="77777777" w:rsidR="00966021" w:rsidRPr="001A22F0" w:rsidRDefault="00966021" w:rsidP="00E32549">
            <w:pPr>
              <w:jc w:val="left"/>
            </w:pPr>
          </w:p>
        </w:tc>
      </w:tr>
      <w:tr w:rsidR="00966021" w:rsidRPr="001A22F0" w14:paraId="5897671C" w14:textId="77777777" w:rsidTr="00E32549">
        <w:tc>
          <w:tcPr>
            <w:tcW w:w="2754" w:type="dxa"/>
          </w:tcPr>
          <w:p w14:paraId="3517E30F" w14:textId="77777777" w:rsidR="00966021" w:rsidRPr="00EA0A06" w:rsidRDefault="00966021" w:rsidP="00B21CF5">
            <w:pPr>
              <w:pStyle w:val="Instructions"/>
            </w:pPr>
            <w:r w:rsidRPr="00EA0A06">
              <w:lastRenderedPageBreak/>
              <w:t>In your Best Interest</w:t>
            </w:r>
          </w:p>
        </w:tc>
        <w:tc>
          <w:tcPr>
            <w:tcW w:w="6798" w:type="dxa"/>
          </w:tcPr>
          <w:p w14:paraId="706E7550" w14:textId="77777777" w:rsidR="00966021" w:rsidRPr="001A22F0" w:rsidRDefault="00966021" w:rsidP="00E32549">
            <w:pPr>
              <w:jc w:val="left"/>
            </w:pPr>
          </w:p>
        </w:tc>
      </w:tr>
      <w:tr w:rsidR="00966021" w:rsidRPr="001A22F0" w14:paraId="0F43D80F" w14:textId="77777777" w:rsidTr="00E32549">
        <w:tc>
          <w:tcPr>
            <w:tcW w:w="2754" w:type="dxa"/>
          </w:tcPr>
          <w:p w14:paraId="435B907D" w14:textId="77777777" w:rsidR="00966021" w:rsidRPr="00EA0A06" w:rsidRDefault="00966021" w:rsidP="00B21CF5">
            <w:pPr>
              <w:pStyle w:val="Instructions"/>
            </w:pPr>
            <w:r w:rsidRPr="00EA0A06">
              <w:t>Further Detail</w:t>
            </w:r>
          </w:p>
        </w:tc>
        <w:tc>
          <w:tcPr>
            <w:tcW w:w="6798" w:type="dxa"/>
          </w:tcPr>
          <w:p w14:paraId="13338450" w14:textId="75810964" w:rsidR="004559F1" w:rsidRPr="005F763D" w:rsidRDefault="004559F1" w:rsidP="004559F1">
            <w:pPr>
              <w:jc w:val="left"/>
            </w:pPr>
            <w:r w:rsidRPr="00765BEF">
              <w:t xml:space="preserve">We believe that implementing the recommended Death Insurance cover </w:t>
            </w:r>
            <w:r w:rsidR="00FA11A0" w:rsidRPr="00765BEF">
              <w:t>typically meets</w:t>
            </w:r>
            <w:r w:rsidRPr="00765BEF">
              <w:t xml:space="preserve"> your needs/objectives for the following reasons:</w:t>
            </w:r>
          </w:p>
          <w:p w14:paraId="3A67B014" w14:textId="77777777" w:rsidR="004559F1" w:rsidRPr="00ED3FF3" w:rsidRDefault="004559F1">
            <w:pPr>
              <w:pStyle w:val="InterPracBullet"/>
            </w:pPr>
            <w:r w:rsidRPr="00ED3FF3">
              <w:t>One of your goals is to protect your family’s assets in the case of your early passing.  Currently, if you were to die, your family would not have sufficient funds to allow them to maintain their current lifestyle.</w:t>
            </w:r>
          </w:p>
          <w:p w14:paraId="36DABFE4" w14:textId="77777777" w:rsidR="004559F1" w:rsidRPr="00ED3FF3" w:rsidRDefault="004559F1">
            <w:pPr>
              <w:pStyle w:val="InterPracBullet"/>
            </w:pPr>
            <w:r w:rsidRPr="00ED3FF3">
              <w:t>Ideally Death cover will allow the family to be debt free and remain in their current home without the surviving spouse having to seek additional income during a time in which the loss of a loved one can be stressful enough.</w:t>
            </w:r>
          </w:p>
          <w:p w14:paraId="17E7934E" w14:textId="77777777" w:rsidR="00966021" w:rsidRDefault="00966021" w:rsidP="00E32549">
            <w:pPr>
              <w:jc w:val="left"/>
            </w:pPr>
          </w:p>
          <w:p w14:paraId="63FD20EF" w14:textId="77777777" w:rsidR="00E90281" w:rsidRPr="00FA3ECB" w:rsidRDefault="00E90281" w:rsidP="00E90281">
            <w:pPr>
              <w:jc w:val="left"/>
            </w:pPr>
            <w:r w:rsidRPr="000D0191">
              <w:rPr>
                <w:b/>
              </w:rPr>
              <w:t>Level Premiums:</w:t>
            </w:r>
            <w:r w:rsidRPr="00FA3ECB">
              <w:t xml:space="preserve"> </w:t>
            </w:r>
            <w:commentRangeStart w:id="122"/>
            <w:r w:rsidRPr="004932C3">
              <w:t>We</w:t>
            </w:r>
            <w:commentRangeEnd w:id="122"/>
            <w:r w:rsidR="0077039D">
              <w:rPr>
                <w:rStyle w:val="CommentReference"/>
                <w:color w:val="auto"/>
                <w:lang w:eastAsia="ja-JP"/>
              </w:rPr>
              <w:commentReference w:id="122"/>
            </w:r>
            <w:r w:rsidRPr="004932C3">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4D30D77D" w14:textId="77777777" w:rsidR="00E90281" w:rsidRDefault="00E90281" w:rsidP="00E32549">
            <w:pPr>
              <w:jc w:val="left"/>
            </w:pPr>
          </w:p>
          <w:p w14:paraId="46ECAAF3" w14:textId="195BE2E4" w:rsidR="00E90281" w:rsidRDefault="00E90281" w:rsidP="00E90281">
            <w:pPr>
              <w:jc w:val="left"/>
            </w:pPr>
            <w:r w:rsidRPr="000D0191">
              <w:rPr>
                <w:b/>
              </w:rPr>
              <w:t xml:space="preserve">Stepped Premiums: </w:t>
            </w:r>
            <w:r w:rsidRPr="00FA3ECB">
              <w:t>We have recommended stepped premiums because they are lower and more cost effective for you than level premiums in the initial years. Stepped premiums are based on your age and will usually increase each year. Premiums may be higher than level premiums</w:t>
            </w:r>
            <w:r w:rsidRPr="000D0191">
              <w:t xml:space="preserve"> where the policy is held for an extended period.</w:t>
            </w:r>
          </w:p>
          <w:p w14:paraId="751C0E08" w14:textId="77777777" w:rsidR="00BF2014" w:rsidRPr="000D0191" w:rsidRDefault="00BF2014" w:rsidP="00E90281">
            <w:pPr>
              <w:jc w:val="left"/>
              <w:rPr>
                <w:b/>
              </w:rPr>
            </w:pPr>
          </w:p>
          <w:p w14:paraId="00670692" w14:textId="25C23DAD" w:rsidR="00E90281" w:rsidRPr="009730A7" w:rsidRDefault="00E90281">
            <w:pPr>
              <w:pStyle w:val="InterPracBullet"/>
            </w:pPr>
            <w:r w:rsidRPr="009730A7">
              <w:t>Owning the policy within the superannuation environment provides the following benefits:</w:t>
            </w:r>
          </w:p>
          <w:p w14:paraId="0B73BDCC" w14:textId="77777777" w:rsidR="00E90281" w:rsidRPr="00ED3FF3" w:rsidRDefault="00E90281">
            <w:pPr>
              <w:pStyle w:val="InterPracBullet"/>
              <w:numPr>
                <w:ilvl w:val="0"/>
                <w:numId w:val="36"/>
              </w:numPr>
            </w:pPr>
            <w:r w:rsidRPr="00ED3FF3">
              <w:t>Tax deductibility of premiums. Where insurance is arranged inside a superannuation fund there is the opportunity to pay premiums from employer contributions (including Salary Sacrifice) which means you can pay the premiums from pre-tax funds.</w:t>
            </w:r>
          </w:p>
          <w:p w14:paraId="7244FBC5" w14:textId="77777777" w:rsidR="00E90281" w:rsidRPr="00ED3FF3" w:rsidRDefault="00E90281">
            <w:pPr>
              <w:pStyle w:val="InterPracBullet"/>
              <w:numPr>
                <w:ilvl w:val="0"/>
                <w:numId w:val="36"/>
              </w:numPr>
            </w:pPr>
            <w:r w:rsidRPr="00ED3FF3">
              <w:t>Improved cash flow outside of superannuation.</w:t>
            </w:r>
          </w:p>
          <w:p w14:paraId="5B7BB9C7" w14:textId="77777777" w:rsidR="00E90281" w:rsidRPr="00ED3FF3" w:rsidRDefault="00E90281">
            <w:pPr>
              <w:pStyle w:val="InterPracBullet"/>
              <w:numPr>
                <w:ilvl w:val="0"/>
                <w:numId w:val="36"/>
              </w:numPr>
            </w:pPr>
            <w:r w:rsidRPr="00ED3FF3">
              <w:t>The superannuation fund can use the proceeds of the policy to commence tax effective superannuation pensions or lump sums to your dependants.</w:t>
            </w:r>
          </w:p>
          <w:p w14:paraId="37457FE3" w14:textId="77777777" w:rsidR="00E90281" w:rsidRDefault="00E90281" w:rsidP="00E32549">
            <w:pPr>
              <w:jc w:val="left"/>
            </w:pPr>
          </w:p>
          <w:p w14:paraId="48DE239F" w14:textId="77777777" w:rsidR="008435F8" w:rsidRDefault="008435F8">
            <w:pPr>
              <w:pStyle w:val="InterPracBullet"/>
            </w:pPr>
            <w:r w:rsidRPr="005F763D">
              <w:t>The risks associated with owning insurance policies through superannuation are:</w:t>
            </w:r>
          </w:p>
          <w:p w14:paraId="3D22F115" w14:textId="77777777" w:rsidR="008435F8" w:rsidRPr="00E52D64" w:rsidRDefault="008435F8">
            <w:pPr>
              <w:pStyle w:val="InterPracBullet"/>
              <w:numPr>
                <w:ilvl w:val="0"/>
                <w:numId w:val="40"/>
              </w:numPr>
            </w:pPr>
            <w:r w:rsidRPr="00E52D64">
              <w:t>The subsequent closure of your super account could mean that your insurance cover will be lost, unless you are eligible, and wish to transfer, your insurance cover to a separate policy outside of the super environment.</w:t>
            </w:r>
          </w:p>
          <w:p w14:paraId="6A8F2FFD" w14:textId="77777777" w:rsidR="008435F8" w:rsidRDefault="008435F8">
            <w:pPr>
              <w:pStyle w:val="InterPracBullet"/>
              <w:numPr>
                <w:ilvl w:val="0"/>
                <w:numId w:val="40"/>
              </w:numPr>
            </w:pPr>
            <w:r w:rsidRPr="00E52D64">
              <w:t>Reduction in retirement savings where no additional contributions are made to the superannuation fund to meet premiums.</w:t>
            </w:r>
          </w:p>
          <w:p w14:paraId="79F87ADC" w14:textId="5F63EF94" w:rsidR="008435F8" w:rsidRDefault="008435F8">
            <w:pPr>
              <w:pStyle w:val="InterPracBullet"/>
              <w:numPr>
                <w:ilvl w:val="0"/>
                <w:numId w:val="40"/>
              </w:numPr>
            </w:pPr>
            <w:r>
              <w:t xml:space="preserve">The insurance claim proceeds will form part of your Superannuation balance. </w:t>
            </w:r>
          </w:p>
          <w:p w14:paraId="0AE0D23D" w14:textId="77777777" w:rsidR="008435F8" w:rsidRDefault="008435F8">
            <w:pPr>
              <w:pStyle w:val="InterPracBullet"/>
              <w:numPr>
                <w:ilvl w:val="0"/>
                <w:numId w:val="40"/>
              </w:numPr>
            </w:pPr>
            <w:r>
              <w:t>Unless you have a binding death benefit nomination in place the Superannuation fund trustee may decide who is to receive your death benefits (including the insurance proceeds). This may not be in line with your objectives. If disputes occur the timeframe to resolve can be lengthy which could place financial stress on your family.</w:t>
            </w:r>
          </w:p>
          <w:p w14:paraId="3F7A908E" w14:textId="77777777" w:rsidR="00B53CAD" w:rsidRDefault="008435F8">
            <w:pPr>
              <w:pStyle w:val="InterPracBullet"/>
              <w:numPr>
                <w:ilvl w:val="0"/>
                <w:numId w:val="40"/>
              </w:numPr>
            </w:pPr>
            <w:r w:rsidRPr="00E52D64">
              <w:t xml:space="preserve">Inability to pay the </w:t>
            </w:r>
            <w:r w:rsidRPr="008435F8">
              <w:t>benefit directly to</w:t>
            </w:r>
            <w:r w:rsidR="00F737BA">
              <w:rPr>
                <w:lang w:val="en-AU"/>
              </w:rPr>
              <w:t xml:space="preserve"> certain</w:t>
            </w:r>
            <w:r w:rsidRPr="008435F8">
              <w:t xml:space="preserve"> non-dependant beneficiaries.</w:t>
            </w:r>
            <w:r w:rsidR="00B53CAD">
              <w:t xml:space="preserve"> </w:t>
            </w:r>
          </w:p>
          <w:p w14:paraId="2AC2D3CB" w14:textId="75B86EAB" w:rsidR="00E90281" w:rsidRPr="001A22F0" w:rsidRDefault="00B53CAD" w:rsidP="001B4ECE">
            <w:pPr>
              <w:pStyle w:val="InterPracBullet"/>
              <w:numPr>
                <w:ilvl w:val="0"/>
                <w:numId w:val="40"/>
              </w:numPr>
            </w:pPr>
            <w:r>
              <w:t>If the ultimate beneficiary does not meet the criteria for tax concessions lump sum tax up to 30% (plus Medicare) may be payable</w:t>
            </w:r>
            <w:r>
              <w:rPr>
                <w:lang w:val="en-AU"/>
              </w:rPr>
              <w:t>.</w:t>
            </w:r>
          </w:p>
        </w:tc>
      </w:tr>
    </w:tbl>
    <w:p w14:paraId="4DB444A2" w14:textId="77777777" w:rsidR="00966021" w:rsidRPr="005F763D" w:rsidRDefault="00966021" w:rsidP="008C7CE9">
      <w:pPr>
        <w:jc w:val="left"/>
      </w:pPr>
    </w:p>
    <w:p w14:paraId="399CEF17" w14:textId="77777777" w:rsidR="007F606A" w:rsidRPr="005F763D" w:rsidRDefault="007F606A" w:rsidP="008C7CE9">
      <w:pPr>
        <w:jc w:val="left"/>
      </w:pPr>
    </w:p>
    <w:p w14:paraId="369279C9" w14:textId="77777777" w:rsidR="00010E11" w:rsidRDefault="00010E11" w:rsidP="008C7CE9">
      <w:pPr>
        <w:jc w:val="left"/>
        <w:sectPr w:rsidR="00010E11" w:rsidSect="00010E11">
          <w:type w:val="continuous"/>
          <w:pgSz w:w="11906" w:h="16838" w:code="9"/>
          <w:pgMar w:top="1134" w:right="566" w:bottom="426" w:left="709" w:header="567" w:footer="95" w:gutter="0"/>
          <w:cols w:space="708"/>
          <w:docGrid w:linePitch="360"/>
        </w:sectPr>
      </w:pPr>
    </w:p>
    <w:p w14:paraId="2C87DA20" w14:textId="77777777" w:rsidR="00B061AE" w:rsidRDefault="00B061AE" w:rsidP="008C7CE9">
      <w:pPr>
        <w:jc w:val="left"/>
        <w:sectPr w:rsidR="00B061AE" w:rsidSect="00010E11">
          <w:type w:val="continuous"/>
          <w:pgSz w:w="11906" w:h="16838" w:code="9"/>
          <w:pgMar w:top="1134" w:right="566" w:bottom="426" w:left="709" w:header="567" w:footer="95" w:gutter="0"/>
          <w:cols w:space="708"/>
          <w:docGrid w:linePitch="360"/>
        </w:sectPr>
      </w:pPr>
    </w:p>
    <w:p w14:paraId="742564A5" w14:textId="77777777" w:rsidR="009B6088" w:rsidRDefault="009B6088" w:rsidP="008C7CE9">
      <w:pPr>
        <w:jc w:val="left"/>
        <w:sectPr w:rsidR="009B6088" w:rsidSect="00010E11">
          <w:type w:val="continuous"/>
          <w:pgSz w:w="11906" w:h="16838" w:code="9"/>
          <w:pgMar w:top="1134" w:right="566" w:bottom="426" w:left="709" w:header="567" w:footer="95" w:gutter="0"/>
          <w:cols w:space="708"/>
          <w:docGrid w:linePitch="360"/>
        </w:sectPr>
      </w:pPr>
    </w:p>
    <w:p w14:paraId="548D221E" w14:textId="2C312356" w:rsidR="007F606A" w:rsidRPr="005F763D" w:rsidRDefault="007F606A" w:rsidP="008C7CE9">
      <w:pPr>
        <w:jc w:val="left"/>
      </w:pPr>
    </w:p>
    <w:p w14:paraId="4562ADCB" w14:textId="5ACD8BC5" w:rsidR="007F606A" w:rsidRPr="00830895" w:rsidRDefault="007F606A" w:rsidP="00830895">
      <w:pPr>
        <w:jc w:val="left"/>
        <w:rPr>
          <w:sz w:val="24"/>
        </w:rPr>
      </w:pPr>
      <w:r w:rsidRPr="00830895">
        <w:rPr>
          <w:color w:val="002060"/>
          <w:sz w:val="24"/>
        </w:rPr>
        <w:lastRenderedPageBreak/>
        <w:t>TPD Insurance Cover – Inside Superannuation</w:t>
      </w:r>
    </w:p>
    <w:p w14:paraId="75B216DD" w14:textId="1B0D4F3C" w:rsidR="007F606A" w:rsidRDefault="007F606A" w:rsidP="008C7CE9">
      <w:pPr>
        <w:jc w:val="left"/>
      </w:pPr>
    </w:p>
    <w:tbl>
      <w:tblPr>
        <w:tblStyle w:val="TableGrid"/>
        <w:tblW w:w="0" w:type="auto"/>
        <w:tblInd w:w="76" w:type="dxa"/>
        <w:tblLook w:val="04A0" w:firstRow="1" w:lastRow="0" w:firstColumn="1" w:lastColumn="0" w:noHBand="0" w:noVBand="1"/>
      </w:tblPr>
      <w:tblGrid>
        <w:gridCol w:w="2754"/>
        <w:gridCol w:w="6798"/>
      </w:tblGrid>
      <w:tr w:rsidR="005A1821" w:rsidRPr="001A22F0" w14:paraId="03420DE2" w14:textId="77777777" w:rsidTr="005637FA">
        <w:tc>
          <w:tcPr>
            <w:tcW w:w="2754" w:type="dxa"/>
          </w:tcPr>
          <w:p w14:paraId="6701189F" w14:textId="77777777" w:rsidR="005A1821" w:rsidRPr="00EA0A06" w:rsidRDefault="005A1821" w:rsidP="00B21CF5">
            <w:pPr>
              <w:pStyle w:val="Instructions"/>
            </w:pPr>
            <w:r w:rsidRPr="00EA0A06">
              <w:t>Title</w:t>
            </w:r>
          </w:p>
        </w:tc>
        <w:tc>
          <w:tcPr>
            <w:tcW w:w="6798" w:type="dxa"/>
          </w:tcPr>
          <w:p w14:paraId="301A7D34" w14:textId="434D7A87" w:rsidR="005A1821" w:rsidRPr="001A22F0" w:rsidRDefault="00C33F4C" w:rsidP="005637FA">
            <w:pPr>
              <w:jc w:val="left"/>
            </w:pPr>
            <w:r>
              <w:t>Total and Permanent Disability</w:t>
            </w:r>
            <w:r w:rsidR="00A81FC8">
              <w:t xml:space="preserve"> Insurance funded from Superannuation</w:t>
            </w:r>
          </w:p>
        </w:tc>
      </w:tr>
      <w:tr w:rsidR="005A1821" w:rsidRPr="001A22F0" w14:paraId="1CEB4FAA" w14:textId="77777777" w:rsidTr="005637FA">
        <w:tc>
          <w:tcPr>
            <w:tcW w:w="2754" w:type="dxa"/>
          </w:tcPr>
          <w:p w14:paraId="181B5059" w14:textId="77777777" w:rsidR="005A1821" w:rsidRPr="00EA0A06" w:rsidRDefault="005A1821" w:rsidP="00B21CF5">
            <w:pPr>
              <w:pStyle w:val="Instructions"/>
            </w:pPr>
            <w:r w:rsidRPr="00EA0A06">
              <w:t>Explanation</w:t>
            </w:r>
          </w:p>
        </w:tc>
        <w:tc>
          <w:tcPr>
            <w:tcW w:w="6798" w:type="dxa"/>
          </w:tcPr>
          <w:p w14:paraId="47EF2699" w14:textId="2061F6E3" w:rsidR="00A81FC8" w:rsidRPr="00765BEF" w:rsidRDefault="00A81FC8" w:rsidP="00A81FC8">
            <w:pPr>
              <w:spacing w:before="120"/>
            </w:pPr>
            <w:r w:rsidRPr="00765BEF">
              <w:t>It is recommended that you apply for $</w:t>
            </w:r>
            <w:r w:rsidRPr="00765BEF">
              <w:rPr>
                <w:color w:val="FF0000"/>
              </w:rPr>
              <w:t>[_</w:t>
            </w:r>
            <w:proofErr w:type="gramStart"/>
            <w:r w:rsidRPr="00765BEF">
              <w:rPr>
                <w:color w:val="FF0000"/>
              </w:rPr>
              <w:t>_,_</w:t>
            </w:r>
            <w:proofErr w:type="gramEnd"/>
            <w:r w:rsidRPr="00765BEF">
              <w:rPr>
                <w:color w:val="FF0000"/>
              </w:rPr>
              <w:t>_]</w:t>
            </w:r>
            <w:r w:rsidRPr="00765BEF">
              <w:t xml:space="preserve"> </w:t>
            </w:r>
            <w:r w:rsidR="005D27C7" w:rsidRPr="00765BEF">
              <w:t>of Total</w:t>
            </w:r>
            <w:r w:rsidR="00466E7B" w:rsidRPr="00765BEF">
              <w:t xml:space="preserve"> and Permanent Disability</w:t>
            </w:r>
            <w:r w:rsidRPr="00765BEF">
              <w:t xml:space="preserve"> cover </w:t>
            </w:r>
            <w:r w:rsidRPr="00765BEF">
              <w:rPr>
                <w:color w:val="FF0000"/>
              </w:rPr>
              <w:t>[Product Name]</w:t>
            </w:r>
            <w:r w:rsidRPr="00765BEF">
              <w:t xml:space="preserve"> with </w:t>
            </w:r>
            <w:r w:rsidRPr="00765BEF">
              <w:rPr>
                <w:color w:val="FF0000"/>
              </w:rPr>
              <w:t>[Provider]</w:t>
            </w:r>
            <w:r w:rsidRPr="00765BEF">
              <w:t>.</w:t>
            </w:r>
          </w:p>
          <w:p w14:paraId="3CA89CFD" w14:textId="77777777" w:rsidR="00A81FC8" w:rsidRDefault="00A81FC8" w:rsidP="00A81FC8">
            <w:pPr>
              <w:spacing w:before="120"/>
            </w:pPr>
            <w:r w:rsidRPr="00765BEF">
              <w:t>The insurance will have the following terms:</w:t>
            </w:r>
          </w:p>
          <w:p w14:paraId="2B9B74D9" w14:textId="77777777" w:rsidR="00A81FC8" w:rsidRPr="000F4823" w:rsidRDefault="00A81FC8">
            <w:pPr>
              <w:pStyle w:val="InterPracBullet"/>
              <w:rPr>
                <w:highlight w:val="yellow"/>
              </w:rPr>
            </w:pPr>
            <w:r w:rsidRPr="000F4823">
              <w:rPr>
                <w:highlight w:val="yellow"/>
              </w:rPr>
              <w:t>[Term]</w:t>
            </w:r>
          </w:p>
          <w:p w14:paraId="05DE61A2" w14:textId="77777777" w:rsidR="00A81FC8" w:rsidRPr="00765BEF" w:rsidRDefault="00A81FC8">
            <w:pPr>
              <w:pStyle w:val="InterPracBullet"/>
              <w:rPr>
                <w:highlight w:val="yellow"/>
              </w:rPr>
            </w:pPr>
            <w:r w:rsidRPr="000F4823">
              <w:rPr>
                <w:highlight w:val="yellow"/>
              </w:rPr>
              <w:t>[Term]</w:t>
            </w:r>
          </w:p>
          <w:p w14:paraId="6AE6377B" w14:textId="051A992C" w:rsidR="005A1821" w:rsidRPr="001A22F0" w:rsidRDefault="005A1821" w:rsidP="005637FA">
            <w:pPr>
              <w:jc w:val="left"/>
            </w:pPr>
          </w:p>
        </w:tc>
      </w:tr>
      <w:tr w:rsidR="005A1821" w:rsidRPr="001A22F0" w14:paraId="278967F5" w14:textId="77777777" w:rsidTr="005637FA">
        <w:tc>
          <w:tcPr>
            <w:tcW w:w="2754" w:type="dxa"/>
          </w:tcPr>
          <w:p w14:paraId="0A5BE87B" w14:textId="77777777" w:rsidR="005A1821" w:rsidRPr="00EA0A06" w:rsidRDefault="005A1821" w:rsidP="00B21CF5">
            <w:pPr>
              <w:pStyle w:val="Instructions"/>
            </w:pPr>
            <w:r w:rsidRPr="00EA0A06">
              <w:t>In your Best Interest</w:t>
            </w:r>
          </w:p>
        </w:tc>
        <w:tc>
          <w:tcPr>
            <w:tcW w:w="6798" w:type="dxa"/>
          </w:tcPr>
          <w:p w14:paraId="02F2613F" w14:textId="77777777" w:rsidR="005A1821" w:rsidRPr="001A22F0" w:rsidRDefault="005A1821" w:rsidP="005637FA">
            <w:pPr>
              <w:jc w:val="left"/>
            </w:pPr>
          </w:p>
        </w:tc>
      </w:tr>
      <w:tr w:rsidR="005A1821" w:rsidRPr="001A22F0" w14:paraId="3141D48F" w14:textId="77777777" w:rsidTr="005637FA">
        <w:tc>
          <w:tcPr>
            <w:tcW w:w="2754" w:type="dxa"/>
          </w:tcPr>
          <w:p w14:paraId="5D65F314" w14:textId="77777777" w:rsidR="005A1821" w:rsidRPr="00EA0A06" w:rsidRDefault="005A1821" w:rsidP="00B21CF5">
            <w:pPr>
              <w:pStyle w:val="Instructions"/>
            </w:pPr>
            <w:r w:rsidRPr="00EA0A06">
              <w:t>Further Detail</w:t>
            </w:r>
          </w:p>
        </w:tc>
        <w:tc>
          <w:tcPr>
            <w:tcW w:w="6798" w:type="dxa"/>
          </w:tcPr>
          <w:p w14:paraId="17357118" w14:textId="3836FB10" w:rsidR="00D9305A" w:rsidRPr="005F763D" w:rsidRDefault="00D9305A" w:rsidP="00D9305A">
            <w:pPr>
              <w:jc w:val="left"/>
            </w:pPr>
            <w:r w:rsidRPr="00765BEF">
              <w:t xml:space="preserve">We believe that implementing the recommended </w:t>
            </w:r>
            <w:commentRangeStart w:id="123"/>
            <w:r w:rsidRPr="00765BEF">
              <w:t xml:space="preserve">Death &amp; TPD </w:t>
            </w:r>
            <w:commentRangeEnd w:id="123"/>
            <w:r w:rsidR="00CE7C03">
              <w:rPr>
                <w:rStyle w:val="CommentReference"/>
                <w:color w:val="auto"/>
                <w:lang w:eastAsia="ja-JP"/>
              </w:rPr>
              <w:commentReference w:id="123"/>
            </w:r>
            <w:r w:rsidRPr="00765BEF">
              <w:t xml:space="preserve">Insurance cover </w:t>
            </w:r>
            <w:r w:rsidR="00A623D7" w:rsidRPr="00765BEF">
              <w:t xml:space="preserve">typically </w:t>
            </w:r>
            <w:r w:rsidRPr="00765BEF">
              <w:t>meets your needs/objectives for the following reasons:</w:t>
            </w:r>
          </w:p>
          <w:p w14:paraId="784071D8" w14:textId="77777777" w:rsidR="00D9305A" w:rsidRPr="00B061AE" w:rsidRDefault="00D9305A">
            <w:pPr>
              <w:pStyle w:val="InterPracBullet"/>
              <w:numPr>
                <w:ilvl w:val="0"/>
                <w:numId w:val="38"/>
              </w:numPr>
            </w:pPr>
            <w:r w:rsidRPr="00B061AE">
              <w:t>One of your goals is to protect your family from financial loss in the case of your early passing or disability.  Currently, if you were to die, your family would not have sufficient funds to allow them to maintain their current lifestyle.</w:t>
            </w:r>
          </w:p>
          <w:p w14:paraId="5B5C5A49" w14:textId="77777777" w:rsidR="00D9305A" w:rsidRPr="00B061AE" w:rsidRDefault="00D9305A">
            <w:pPr>
              <w:pStyle w:val="InterPracBullet"/>
              <w:numPr>
                <w:ilvl w:val="0"/>
                <w:numId w:val="38"/>
              </w:numPr>
            </w:pPr>
            <w:r w:rsidRPr="00B061AE">
              <w:t>Ideally Death cover will allow the family to be debt free and remain in their current home without the surviving spouse having to seek additional income during a time in which the loss of a loved one can be stressful enough.</w:t>
            </w:r>
          </w:p>
          <w:p w14:paraId="0100953D" w14:textId="77777777" w:rsidR="00D9305A" w:rsidRPr="00B061AE" w:rsidRDefault="00D9305A">
            <w:pPr>
              <w:pStyle w:val="InterPracBullet"/>
              <w:numPr>
                <w:ilvl w:val="0"/>
                <w:numId w:val="38"/>
              </w:numPr>
            </w:pPr>
            <w:r w:rsidRPr="00B061AE">
              <w:t>Total and Permanent Disability (TPD) insurance cover provides a lump sum to provide for your family in the event you are so severely disabled you will never be able to return to work.</w:t>
            </w:r>
          </w:p>
          <w:p w14:paraId="0E69FC29" w14:textId="77777777" w:rsidR="00D9305A" w:rsidRPr="00B061AE" w:rsidRDefault="00D9305A">
            <w:pPr>
              <w:pStyle w:val="InterPracBullet"/>
              <w:numPr>
                <w:ilvl w:val="0"/>
                <w:numId w:val="38"/>
              </w:numPr>
            </w:pPr>
            <w:r w:rsidRPr="00B061AE">
              <w:t>The lump sum payment of a TPD benefit can be used for any purpose but would normally be structured to supplement any other income payments that may be received, as well as for any costs that may be required to allow for the ongoing care of the disabled person.  Because of this, a TPD benefit is normally calculated as being equal to or slightly less than one’s life insurance benefit requirement.</w:t>
            </w:r>
          </w:p>
          <w:p w14:paraId="6CE91438" w14:textId="77777777" w:rsidR="005A1821" w:rsidRDefault="005A1821" w:rsidP="005637FA"/>
          <w:p w14:paraId="55883DE6" w14:textId="77777777" w:rsidR="00A623D7" w:rsidRPr="00FA3ECB" w:rsidRDefault="00A623D7" w:rsidP="00A623D7">
            <w:pPr>
              <w:jc w:val="left"/>
            </w:pPr>
            <w:r w:rsidRPr="000D0191">
              <w:rPr>
                <w:b/>
              </w:rPr>
              <w:t>Level Premiums:</w:t>
            </w:r>
            <w:r w:rsidRPr="00FA3ECB">
              <w:t xml:space="preserve"> </w:t>
            </w:r>
            <w:commentRangeStart w:id="124"/>
            <w:r w:rsidRPr="00182D3F">
              <w:t>We</w:t>
            </w:r>
            <w:commentRangeEnd w:id="124"/>
            <w:r w:rsidR="00797748">
              <w:rPr>
                <w:rStyle w:val="CommentReference"/>
                <w:color w:val="auto"/>
                <w:lang w:eastAsia="ja-JP"/>
              </w:rPr>
              <w:commentReference w:id="124"/>
            </w:r>
            <w:r w:rsidRPr="00182D3F">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63A7705A" w14:textId="77777777" w:rsidR="00D9305A" w:rsidRDefault="00D9305A" w:rsidP="005637FA"/>
          <w:p w14:paraId="7963D638" w14:textId="77777777" w:rsidR="00A623D7" w:rsidRPr="00FA3ECB" w:rsidRDefault="00A623D7" w:rsidP="00A623D7">
            <w:pPr>
              <w:jc w:val="left"/>
            </w:pPr>
            <w:r w:rsidRPr="00FA3ECB">
              <w:rPr>
                <w:b/>
              </w:rPr>
              <w:t xml:space="preserve">Stepped Premiums: </w:t>
            </w:r>
            <w:r w:rsidRPr="000D0191">
              <w:t>We have recommended stepped premiums because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401716AA" w14:textId="7F6502ED" w:rsidR="00A623D7" w:rsidRDefault="00A623D7" w:rsidP="005637FA"/>
          <w:p w14:paraId="6FD6DD53" w14:textId="77777777" w:rsidR="001375CA" w:rsidRPr="00FA3ECB" w:rsidRDefault="001375CA" w:rsidP="001375CA">
            <w:pPr>
              <w:jc w:val="left"/>
            </w:pPr>
            <w:r w:rsidRPr="000D0191">
              <w:rPr>
                <w:b/>
              </w:rPr>
              <w:t>Any Occupation:</w:t>
            </w:r>
            <w:r w:rsidRPr="00FA3ECB">
              <w:t xml:space="preserve"> </w:t>
            </w:r>
            <w:r w:rsidRPr="0033152B">
              <w:t>We have recommended the Any Occupation definition because:</w:t>
            </w:r>
          </w:p>
          <w:p w14:paraId="113907A6" w14:textId="4FDA0BE1" w:rsidR="00C074EE" w:rsidRDefault="00C074EE" w:rsidP="003812CB">
            <w:pPr>
              <w:pStyle w:val="ListParagraph"/>
              <w:numPr>
                <w:ilvl w:val="0"/>
                <w:numId w:val="59"/>
              </w:numPr>
              <w:jc w:val="left"/>
            </w:pPr>
            <w:r w:rsidRPr="00AC6859">
              <w:t>This TPD definition is designed to be paid provided you meet certain parameters that deem you will never again be able to work in any occupation.</w:t>
            </w:r>
          </w:p>
          <w:p w14:paraId="0E91A60E" w14:textId="77777777" w:rsidR="00C074EE" w:rsidRPr="00AC6859" w:rsidRDefault="00C074EE" w:rsidP="003812CB">
            <w:pPr>
              <w:pStyle w:val="ListParagraph"/>
              <w:numPr>
                <w:ilvl w:val="0"/>
                <w:numId w:val="59"/>
              </w:numPr>
              <w:jc w:val="left"/>
            </w:pPr>
            <w:r w:rsidRPr="00AC6859">
              <w:t>Given the Own Occupation definition is a much narrower definition of ability to work the cost for this type of cover is much greater than for cover under an Any Occupation contract.  Also, an Own Occupation definition is not available for all occupations.</w:t>
            </w:r>
          </w:p>
          <w:p w14:paraId="049C0F67" w14:textId="77777777" w:rsidR="00C074EE" w:rsidRPr="000D0191" w:rsidRDefault="00C074EE" w:rsidP="003812CB">
            <w:pPr>
              <w:pStyle w:val="ListParagraph"/>
              <w:numPr>
                <w:ilvl w:val="0"/>
                <w:numId w:val="59"/>
              </w:numPr>
              <w:jc w:val="left"/>
              <w:rPr>
                <w:color w:val="7030A0"/>
                <w:highlight w:val="yellow"/>
              </w:rPr>
            </w:pPr>
            <w:r w:rsidRPr="000D0191">
              <w:rPr>
                <w:color w:val="7030A0"/>
                <w:highlight w:val="yellow"/>
              </w:rPr>
              <w:t>[Insert reason].</w:t>
            </w:r>
          </w:p>
          <w:p w14:paraId="72078B40" w14:textId="77777777" w:rsidR="00C074EE" w:rsidRPr="000D0191" w:rsidRDefault="00C074EE" w:rsidP="003812CB">
            <w:pPr>
              <w:pStyle w:val="ListParagraph"/>
              <w:numPr>
                <w:ilvl w:val="0"/>
                <w:numId w:val="59"/>
              </w:numPr>
              <w:jc w:val="left"/>
              <w:rPr>
                <w:color w:val="7030A0"/>
                <w:highlight w:val="yellow"/>
              </w:rPr>
            </w:pPr>
            <w:r w:rsidRPr="000D0191">
              <w:rPr>
                <w:color w:val="7030A0"/>
                <w:highlight w:val="yellow"/>
              </w:rPr>
              <w:t>[Insert reason].</w:t>
            </w:r>
          </w:p>
          <w:p w14:paraId="7B06A94D" w14:textId="77777777" w:rsidR="00C074EE" w:rsidRPr="00AC6859" w:rsidRDefault="00C074EE" w:rsidP="00C074EE">
            <w:pPr>
              <w:pStyle w:val="ListParagraph"/>
              <w:jc w:val="left"/>
            </w:pPr>
          </w:p>
          <w:p w14:paraId="0A0BC1D5" w14:textId="77777777" w:rsidR="00553A3D" w:rsidRPr="000D0191" w:rsidRDefault="00553A3D" w:rsidP="00553A3D">
            <w:pPr>
              <w:jc w:val="left"/>
            </w:pPr>
            <w:r w:rsidRPr="000D0191">
              <w:rPr>
                <w:b/>
              </w:rPr>
              <w:t xml:space="preserve">Buy Back Period: </w:t>
            </w:r>
            <w:r w:rsidRPr="000D0191">
              <w:t xml:space="preserve">Applicable where TPD and/or Trauma is to be linked to life cover. This feature allows the policy holder to buy back, after a certain period of </w:t>
            </w:r>
            <w:r w:rsidRPr="000D0191">
              <w:lastRenderedPageBreak/>
              <w:t>time, the life cover that is reduced following a TPD and/or Trauma claim at standard rates.</w:t>
            </w:r>
          </w:p>
          <w:p w14:paraId="34DD78C2" w14:textId="77777777" w:rsidR="00553A3D" w:rsidRDefault="00553A3D" w:rsidP="005637FA"/>
          <w:p w14:paraId="10C829AA" w14:textId="77777777" w:rsidR="00553A3D" w:rsidRPr="005F763D" w:rsidRDefault="00553A3D">
            <w:pPr>
              <w:pStyle w:val="InterPracBullet"/>
            </w:pPr>
            <w:r w:rsidRPr="005F763D">
              <w:t>Owning the policy within the superannuation environment provides the following benefits:</w:t>
            </w:r>
          </w:p>
          <w:p w14:paraId="69F320C4" w14:textId="77777777" w:rsidR="00553A3D" w:rsidRPr="00236E30" w:rsidRDefault="00553A3D">
            <w:pPr>
              <w:pStyle w:val="InterPracBullet"/>
              <w:numPr>
                <w:ilvl w:val="0"/>
                <w:numId w:val="40"/>
              </w:numPr>
            </w:pPr>
            <w:r w:rsidRPr="00236E30">
              <w:t>Tax deductibility of premiums. Where insurance is arranged inside a superannuation fund there is the opportunity to pay premiums from employer contributions (including Salary Sacrifice) which means you can pay the premiums from pre-tax funds.</w:t>
            </w:r>
          </w:p>
          <w:p w14:paraId="2F3D0061" w14:textId="77777777" w:rsidR="00553A3D" w:rsidRPr="00236E30" w:rsidRDefault="00553A3D">
            <w:pPr>
              <w:pStyle w:val="InterPracBullet"/>
              <w:numPr>
                <w:ilvl w:val="0"/>
                <w:numId w:val="40"/>
              </w:numPr>
            </w:pPr>
            <w:r w:rsidRPr="00236E30">
              <w:t>Improved cash flow outside of superannuation.</w:t>
            </w:r>
          </w:p>
          <w:p w14:paraId="524468C5" w14:textId="77777777" w:rsidR="00553A3D" w:rsidRPr="00236E30" w:rsidRDefault="00553A3D">
            <w:pPr>
              <w:pStyle w:val="InterPracBullet"/>
              <w:numPr>
                <w:ilvl w:val="0"/>
                <w:numId w:val="40"/>
              </w:numPr>
            </w:pPr>
            <w:r w:rsidRPr="00236E30">
              <w:t>The superannuation fund can use the proceeds of the policy to commence tax effective superannuation pensions or lump sums to your dependants.</w:t>
            </w:r>
          </w:p>
          <w:p w14:paraId="672F28D3" w14:textId="53906B57" w:rsidR="008F29E7" w:rsidRPr="005F763D" w:rsidRDefault="008F29E7">
            <w:pPr>
              <w:pStyle w:val="InterPracBullet"/>
            </w:pPr>
            <w:r w:rsidRPr="005F763D">
              <w:t>Before proceeding with the recommended TPD Insurance, you should consider the following:</w:t>
            </w:r>
          </w:p>
          <w:p w14:paraId="173E2788" w14:textId="1FE7364F" w:rsidR="008F29E7" w:rsidRPr="005F763D" w:rsidRDefault="008F29E7">
            <w:pPr>
              <w:pStyle w:val="InterPracBullet"/>
              <w:numPr>
                <w:ilvl w:val="0"/>
                <w:numId w:val="40"/>
              </w:numPr>
            </w:pPr>
            <w:r w:rsidRPr="005F763D">
              <w:t>You will not be able to claim under the recommended policy in the event of becoming totally and permanently disabled due to a suicide attempt.</w:t>
            </w:r>
          </w:p>
          <w:p w14:paraId="467F5011" w14:textId="6C402D49" w:rsidR="008F29E7" w:rsidRPr="005F763D" w:rsidRDefault="008F29E7">
            <w:pPr>
              <w:pStyle w:val="InterPracBullet"/>
              <w:numPr>
                <w:ilvl w:val="0"/>
                <w:numId w:val="40"/>
              </w:numPr>
            </w:pPr>
            <w:r w:rsidRPr="005F763D">
              <w:t>If a claim is made on your TPD policy and the insurer agrees to pay the claim, the benefit will be</w:t>
            </w:r>
            <w:r w:rsidR="00F503DB">
              <w:rPr>
                <w:lang w:val="en-AU"/>
              </w:rPr>
              <w:t xml:space="preserve"> first</w:t>
            </w:r>
            <w:r w:rsidRPr="005F763D">
              <w:t xml:space="preserve"> paid direct to </w:t>
            </w:r>
            <w:r w:rsidR="00F503DB">
              <w:rPr>
                <w:lang w:val="en-AU"/>
              </w:rPr>
              <w:t>the superannuation Trustee</w:t>
            </w:r>
            <w:r w:rsidRPr="005F763D">
              <w:t xml:space="preserve"> (i.e. it cannot be paid to a nominated beneficiary).</w:t>
            </w:r>
            <w:r w:rsidR="00F503DB">
              <w:rPr>
                <w:lang w:val="en-AU"/>
              </w:rPr>
              <w:t xml:space="preserve"> </w:t>
            </w:r>
            <w:r w:rsidR="006000FE">
              <w:t xml:space="preserve">You will need to meet the Superannuation fund’s definition of permanent incapacity to access the benefits. </w:t>
            </w:r>
            <w:r w:rsidR="00F503DB">
              <w:rPr>
                <w:lang w:val="en-AU"/>
              </w:rPr>
              <w:t xml:space="preserve">The Trustee </w:t>
            </w:r>
            <w:r w:rsidR="006000FE">
              <w:rPr>
                <w:lang w:val="en-AU"/>
              </w:rPr>
              <w:t>will</w:t>
            </w:r>
            <w:r w:rsidR="00F503DB">
              <w:rPr>
                <w:lang w:val="en-AU"/>
              </w:rPr>
              <w:t xml:space="preserve"> then pay you.</w:t>
            </w:r>
            <w:r w:rsidR="006000FE">
              <w:rPr>
                <w:lang w:val="en-AU"/>
              </w:rPr>
              <w:t xml:space="preserve"> </w:t>
            </w:r>
            <w:r w:rsidR="006000FE">
              <w:t>Tax may be payable on the benefit if you are under age 60.</w:t>
            </w:r>
          </w:p>
          <w:p w14:paraId="1D2F76D7" w14:textId="77777777" w:rsidR="008F29E7" w:rsidRPr="005F763D" w:rsidRDefault="008F29E7">
            <w:pPr>
              <w:pStyle w:val="InterPracBullet"/>
              <w:numPr>
                <w:ilvl w:val="0"/>
                <w:numId w:val="40"/>
              </w:numPr>
            </w:pPr>
            <w:r w:rsidRPr="005F763D">
              <w:t>The definition of eligible employment under an 'own occupation' TPD policy is restricted to the role you were employed in at the time of your insurance claim.</w:t>
            </w:r>
          </w:p>
          <w:p w14:paraId="40EEE7B4" w14:textId="77777777" w:rsidR="008F29E7" w:rsidRPr="005F763D" w:rsidRDefault="008F29E7">
            <w:pPr>
              <w:pStyle w:val="InterPracBullet"/>
              <w:numPr>
                <w:ilvl w:val="0"/>
                <w:numId w:val="40"/>
              </w:numPr>
            </w:pPr>
            <w:r w:rsidRPr="005F763D">
              <w:t>Although ‘any occupation’ cover is cheaper than ‘own occupation’ cover, it is also more restrictive as you have to meet the criteria of not being able to perform any job that you are reasonably qualified or trained for.</w:t>
            </w:r>
          </w:p>
          <w:p w14:paraId="283BB6D0" w14:textId="77777777" w:rsidR="008F29E7" w:rsidRPr="005F763D" w:rsidRDefault="008F29E7">
            <w:pPr>
              <w:pStyle w:val="InterPracBullet"/>
              <w:numPr>
                <w:ilvl w:val="0"/>
                <w:numId w:val="40"/>
              </w:numPr>
            </w:pPr>
            <w:r w:rsidRPr="005F763D">
              <w:t>The TPD cover we have recommended is linked to your Life Cover.  This means that if you suffer a TPD event and receive a payout, your Life Cover will be automatically reduced by the amount of the TPD payout.</w:t>
            </w:r>
          </w:p>
          <w:p w14:paraId="379EDBAF" w14:textId="77777777" w:rsidR="002A6343" w:rsidRDefault="002A6343" w:rsidP="005637FA"/>
          <w:p w14:paraId="7883817B" w14:textId="77777777" w:rsidR="008F29E7" w:rsidRPr="005F763D" w:rsidRDefault="008F29E7">
            <w:pPr>
              <w:pStyle w:val="InterPracBullet"/>
            </w:pPr>
            <w:r w:rsidRPr="005F763D">
              <w:t>The risks associated with owning insurance policies through superannuation are:</w:t>
            </w:r>
          </w:p>
          <w:p w14:paraId="680B43B7" w14:textId="77777777" w:rsidR="008F29E7" w:rsidRPr="00E52D64" w:rsidRDefault="008F29E7">
            <w:pPr>
              <w:pStyle w:val="InterPracBullet"/>
              <w:numPr>
                <w:ilvl w:val="0"/>
                <w:numId w:val="40"/>
              </w:numPr>
            </w:pPr>
            <w:r w:rsidRPr="00E52D64">
              <w:t>The subsequent closure of your super account could mean that your insurance cover will be lost, unless you are eligible, and wish to transfer, your insurance cover to a separate policy outside of the super environment.</w:t>
            </w:r>
          </w:p>
          <w:p w14:paraId="1331C363" w14:textId="77777777" w:rsidR="008F29E7" w:rsidRPr="00E52D64" w:rsidRDefault="008F29E7">
            <w:pPr>
              <w:pStyle w:val="InterPracBullet"/>
              <w:numPr>
                <w:ilvl w:val="0"/>
                <w:numId w:val="40"/>
              </w:numPr>
            </w:pPr>
            <w:r w:rsidRPr="00E52D64">
              <w:t>Reduction in retirement savings where no additional contributions are made to the superannuation fund to meet premiums.</w:t>
            </w:r>
          </w:p>
          <w:p w14:paraId="2B2B2547" w14:textId="35A5E069" w:rsidR="008F29E7" w:rsidRPr="001A22F0" w:rsidRDefault="008F29E7" w:rsidP="001B4ECE">
            <w:pPr>
              <w:pStyle w:val="InterPracBullet"/>
            </w:pPr>
          </w:p>
        </w:tc>
      </w:tr>
    </w:tbl>
    <w:p w14:paraId="68A575E1" w14:textId="77777777" w:rsidR="005A1821" w:rsidRPr="005F763D" w:rsidRDefault="005A1821" w:rsidP="008C7CE9">
      <w:pPr>
        <w:jc w:val="left"/>
      </w:pPr>
    </w:p>
    <w:p w14:paraId="4335E8FE" w14:textId="77777777" w:rsidR="008524EA" w:rsidRDefault="008524EA" w:rsidP="000D0191">
      <w:pPr>
        <w:jc w:val="left"/>
        <w:rPr>
          <w:b/>
        </w:rPr>
        <w:sectPr w:rsidR="008524EA" w:rsidSect="00010E11">
          <w:type w:val="continuous"/>
          <w:pgSz w:w="11906" w:h="16838" w:code="9"/>
          <w:pgMar w:top="1134" w:right="566" w:bottom="426" w:left="709" w:header="567" w:footer="95" w:gutter="0"/>
          <w:cols w:space="708"/>
          <w:docGrid w:linePitch="360"/>
        </w:sectPr>
      </w:pPr>
    </w:p>
    <w:p w14:paraId="074BD3F7" w14:textId="77777777" w:rsidR="009B6088" w:rsidRDefault="009B6088">
      <w:pPr>
        <w:pStyle w:val="InterPracBullet"/>
        <w:sectPr w:rsidR="009B6088" w:rsidSect="00010E11">
          <w:type w:val="continuous"/>
          <w:pgSz w:w="11906" w:h="16838" w:code="9"/>
          <w:pgMar w:top="1134" w:right="566" w:bottom="426" w:left="709" w:header="567" w:footer="95" w:gutter="0"/>
          <w:cols w:space="708"/>
          <w:docGrid w:linePitch="360"/>
        </w:sectPr>
      </w:pPr>
    </w:p>
    <w:p w14:paraId="0133A7FD" w14:textId="77777777" w:rsidR="007F606A" w:rsidRPr="005F763D" w:rsidRDefault="007F606A" w:rsidP="008C7CE9">
      <w:pPr>
        <w:jc w:val="left"/>
      </w:pPr>
    </w:p>
    <w:p w14:paraId="3D1E3611" w14:textId="77777777" w:rsidR="00010E11" w:rsidRDefault="00010E11" w:rsidP="008C7CE9">
      <w:pPr>
        <w:jc w:val="left"/>
        <w:sectPr w:rsidR="00010E11" w:rsidSect="00010E11">
          <w:type w:val="continuous"/>
          <w:pgSz w:w="11906" w:h="16838" w:code="9"/>
          <w:pgMar w:top="1134" w:right="566" w:bottom="426" w:left="709" w:header="567" w:footer="95" w:gutter="0"/>
          <w:cols w:space="708"/>
          <w:docGrid w:linePitch="360"/>
        </w:sectPr>
      </w:pPr>
    </w:p>
    <w:p w14:paraId="3DB5BFA0" w14:textId="77777777" w:rsidR="009B6088" w:rsidRDefault="009B6088" w:rsidP="008C7CE9">
      <w:pPr>
        <w:jc w:val="left"/>
        <w:sectPr w:rsidR="009B6088" w:rsidSect="00010E11">
          <w:type w:val="continuous"/>
          <w:pgSz w:w="11906" w:h="16838" w:code="9"/>
          <w:pgMar w:top="1134" w:right="566" w:bottom="426" w:left="709" w:header="567" w:footer="95" w:gutter="0"/>
          <w:cols w:space="708"/>
          <w:docGrid w:linePitch="360"/>
        </w:sectPr>
      </w:pPr>
    </w:p>
    <w:p w14:paraId="35C046AA" w14:textId="52B67BBC" w:rsidR="007F606A" w:rsidRPr="005F763D" w:rsidRDefault="007F606A" w:rsidP="008C7CE9">
      <w:pPr>
        <w:jc w:val="left"/>
      </w:pPr>
    </w:p>
    <w:p w14:paraId="42B86EFE" w14:textId="3765077C" w:rsidR="007E08E1" w:rsidRPr="00466E7B" w:rsidRDefault="007E08E1" w:rsidP="00466E7B">
      <w:pPr>
        <w:jc w:val="left"/>
        <w:rPr>
          <w:sz w:val="24"/>
        </w:rPr>
      </w:pPr>
      <w:r w:rsidRPr="00466E7B">
        <w:rPr>
          <w:color w:val="002060"/>
          <w:sz w:val="24"/>
        </w:rPr>
        <w:t xml:space="preserve">Income Protection </w:t>
      </w:r>
      <w:r w:rsidR="00F241B9" w:rsidRPr="00466E7B">
        <w:rPr>
          <w:color w:val="002060"/>
          <w:sz w:val="24"/>
        </w:rPr>
        <w:t>/Salary Continuance Insurance</w:t>
      </w:r>
      <w:r w:rsidRPr="00466E7B">
        <w:rPr>
          <w:color w:val="002060"/>
          <w:sz w:val="24"/>
        </w:rPr>
        <w:t xml:space="preserve"> </w:t>
      </w:r>
      <w:r w:rsidR="005D27C7" w:rsidRPr="00466E7B">
        <w:rPr>
          <w:color w:val="002060"/>
          <w:sz w:val="24"/>
        </w:rPr>
        <w:t>– Inside</w:t>
      </w:r>
      <w:r w:rsidRPr="00466E7B">
        <w:rPr>
          <w:color w:val="002060"/>
          <w:sz w:val="24"/>
        </w:rPr>
        <w:t xml:space="preserve"> </w:t>
      </w:r>
      <w:commentRangeStart w:id="125"/>
      <w:r w:rsidRPr="00466E7B">
        <w:rPr>
          <w:color w:val="002060"/>
          <w:sz w:val="24"/>
        </w:rPr>
        <w:t>Superannuation</w:t>
      </w:r>
      <w:commentRangeEnd w:id="125"/>
      <w:r w:rsidR="00300360">
        <w:rPr>
          <w:rStyle w:val="CommentReference"/>
          <w:color w:val="auto"/>
          <w:lang w:eastAsia="ja-JP"/>
        </w:rPr>
        <w:commentReference w:id="125"/>
      </w:r>
    </w:p>
    <w:p w14:paraId="2C63B29D" w14:textId="4433AFA7" w:rsidR="007F606A" w:rsidRDefault="007F606A" w:rsidP="0008751D">
      <w:pPr>
        <w:pStyle w:val="Heading2"/>
      </w:pPr>
    </w:p>
    <w:tbl>
      <w:tblPr>
        <w:tblStyle w:val="TableGrid"/>
        <w:tblW w:w="0" w:type="auto"/>
        <w:tblInd w:w="76" w:type="dxa"/>
        <w:tblLook w:val="04A0" w:firstRow="1" w:lastRow="0" w:firstColumn="1" w:lastColumn="0" w:noHBand="0" w:noVBand="1"/>
      </w:tblPr>
      <w:tblGrid>
        <w:gridCol w:w="2754"/>
        <w:gridCol w:w="6798"/>
      </w:tblGrid>
      <w:tr w:rsidR="00830895" w:rsidRPr="001A22F0" w14:paraId="313084C6" w14:textId="77777777" w:rsidTr="005637FA">
        <w:tc>
          <w:tcPr>
            <w:tcW w:w="2754" w:type="dxa"/>
          </w:tcPr>
          <w:p w14:paraId="23932D8F" w14:textId="77777777" w:rsidR="00830895" w:rsidRPr="00EA0A06" w:rsidRDefault="00830895" w:rsidP="00B21CF5">
            <w:pPr>
              <w:pStyle w:val="Instructions"/>
            </w:pPr>
            <w:r w:rsidRPr="00EA0A06">
              <w:t>Title</w:t>
            </w:r>
          </w:p>
        </w:tc>
        <w:tc>
          <w:tcPr>
            <w:tcW w:w="6798" w:type="dxa"/>
          </w:tcPr>
          <w:p w14:paraId="60477A6D" w14:textId="1295258F" w:rsidR="00830895" w:rsidRPr="001A22F0" w:rsidRDefault="00466E7B" w:rsidP="005637FA">
            <w:pPr>
              <w:jc w:val="left"/>
            </w:pPr>
            <w:r>
              <w:rPr>
                <w:color w:val="7030A0"/>
                <w:highlight w:val="yellow"/>
              </w:rPr>
              <w:t xml:space="preserve">[Income </w:t>
            </w:r>
            <w:proofErr w:type="gramStart"/>
            <w:r>
              <w:rPr>
                <w:color w:val="7030A0"/>
                <w:highlight w:val="yellow"/>
              </w:rPr>
              <w:t>Protection][</w:t>
            </w:r>
            <w:proofErr w:type="gramEnd"/>
            <w:r>
              <w:rPr>
                <w:color w:val="7030A0"/>
                <w:highlight w:val="yellow"/>
              </w:rPr>
              <w:t>Sala</w:t>
            </w:r>
            <w:r w:rsidR="003F337D">
              <w:rPr>
                <w:color w:val="7030A0"/>
                <w:highlight w:val="yellow"/>
              </w:rPr>
              <w:t>r</w:t>
            </w:r>
            <w:r>
              <w:rPr>
                <w:color w:val="7030A0"/>
                <w:highlight w:val="yellow"/>
              </w:rPr>
              <w:t xml:space="preserve">y Continuance] </w:t>
            </w:r>
            <w:r w:rsidRPr="00DA1875">
              <w:rPr>
                <w:color w:val="auto"/>
              </w:rPr>
              <w:t>funded within Superannuation</w:t>
            </w:r>
            <w:r w:rsidR="00830895" w:rsidRPr="00DA1875">
              <w:rPr>
                <w:color w:val="auto"/>
              </w:rPr>
              <w:t xml:space="preserve"> </w:t>
            </w:r>
            <w:r w:rsidR="00830895" w:rsidRPr="00466E7B">
              <w:rPr>
                <w:color w:val="auto"/>
              </w:rPr>
              <w:t xml:space="preserve"> </w:t>
            </w:r>
          </w:p>
        </w:tc>
      </w:tr>
      <w:tr w:rsidR="00830895" w:rsidRPr="001A22F0" w14:paraId="3C2FFEDE" w14:textId="77777777" w:rsidTr="005637FA">
        <w:tc>
          <w:tcPr>
            <w:tcW w:w="2754" w:type="dxa"/>
          </w:tcPr>
          <w:p w14:paraId="2D626191" w14:textId="77777777" w:rsidR="00830895" w:rsidRPr="00EA0A06" w:rsidRDefault="00830895" w:rsidP="00B21CF5">
            <w:pPr>
              <w:pStyle w:val="Instructions"/>
            </w:pPr>
            <w:r w:rsidRPr="00EA0A06">
              <w:t>Explanation</w:t>
            </w:r>
          </w:p>
        </w:tc>
        <w:tc>
          <w:tcPr>
            <w:tcW w:w="6798" w:type="dxa"/>
          </w:tcPr>
          <w:p w14:paraId="41CC02C6" w14:textId="6E48A12D" w:rsidR="00466E7B" w:rsidRPr="0016266D" w:rsidRDefault="00466E7B" w:rsidP="00466E7B">
            <w:pPr>
              <w:spacing w:before="120"/>
            </w:pPr>
            <w:r w:rsidRPr="0016266D">
              <w:t>It is recommended that you apply for</w:t>
            </w:r>
            <w:r w:rsidRPr="00095751">
              <w:t xml:space="preserve"> $</w:t>
            </w:r>
            <w:r w:rsidRPr="00095751">
              <w:rPr>
                <w:color w:val="FF0000"/>
              </w:rPr>
              <w:t>[_</w:t>
            </w:r>
            <w:proofErr w:type="gramStart"/>
            <w:r w:rsidRPr="00095751">
              <w:rPr>
                <w:color w:val="FF0000"/>
              </w:rPr>
              <w:t>_,_</w:t>
            </w:r>
            <w:proofErr w:type="gramEnd"/>
            <w:r w:rsidRPr="00095751">
              <w:rPr>
                <w:color w:val="FF0000"/>
              </w:rPr>
              <w:t>_]</w:t>
            </w:r>
            <w:r>
              <w:t xml:space="preserve"> </w:t>
            </w:r>
            <w:r w:rsidR="005D27C7" w:rsidRPr="0016266D">
              <w:t>of [</w:t>
            </w:r>
            <w:r w:rsidR="006A1F61" w:rsidRPr="00536808">
              <w:rPr>
                <w:color w:val="7030A0"/>
                <w:highlight w:val="yellow"/>
              </w:rPr>
              <w:t>Income Protection] [Salary Continuance]</w:t>
            </w:r>
            <w:r w:rsidRPr="0016266D">
              <w:t xml:space="preserve"> cover </w:t>
            </w:r>
            <w:r w:rsidRPr="0016266D">
              <w:rPr>
                <w:color w:val="FF0000"/>
              </w:rPr>
              <w:t>[Product Name]</w:t>
            </w:r>
            <w:r w:rsidRPr="0016266D">
              <w:t xml:space="preserve"> with </w:t>
            </w:r>
            <w:r w:rsidRPr="0016266D">
              <w:rPr>
                <w:color w:val="FF0000"/>
              </w:rPr>
              <w:t>[Provider]</w:t>
            </w:r>
            <w:r w:rsidRPr="0016266D">
              <w:t>.</w:t>
            </w:r>
          </w:p>
          <w:p w14:paraId="4A933B6C" w14:textId="77777777" w:rsidR="00466E7B" w:rsidRDefault="00466E7B" w:rsidP="00466E7B">
            <w:pPr>
              <w:spacing w:before="120"/>
            </w:pPr>
            <w:r w:rsidRPr="0016266D">
              <w:t>The insurance will have the following terms:</w:t>
            </w:r>
          </w:p>
          <w:p w14:paraId="0D5B81BE" w14:textId="77777777" w:rsidR="00466E7B" w:rsidRPr="000F4823" w:rsidRDefault="00466E7B">
            <w:pPr>
              <w:pStyle w:val="InterPracBullet"/>
              <w:numPr>
                <w:ilvl w:val="0"/>
                <w:numId w:val="125"/>
              </w:numPr>
              <w:rPr>
                <w:highlight w:val="yellow"/>
              </w:rPr>
            </w:pPr>
            <w:r w:rsidRPr="000F4823">
              <w:rPr>
                <w:highlight w:val="yellow"/>
              </w:rPr>
              <w:t>[Term]</w:t>
            </w:r>
          </w:p>
          <w:p w14:paraId="0A8D11E5" w14:textId="77777777" w:rsidR="00466E7B" w:rsidRPr="000F4823" w:rsidRDefault="00466E7B">
            <w:pPr>
              <w:pStyle w:val="InterPracBullet"/>
              <w:numPr>
                <w:ilvl w:val="0"/>
                <w:numId w:val="125"/>
              </w:numPr>
            </w:pPr>
            <w:r w:rsidRPr="000F4823">
              <w:rPr>
                <w:highlight w:val="yellow"/>
              </w:rPr>
              <w:t>[Term]</w:t>
            </w:r>
          </w:p>
          <w:p w14:paraId="3245D603" w14:textId="2A7FE853" w:rsidR="00830895" w:rsidRPr="001A22F0" w:rsidRDefault="00830895" w:rsidP="005637FA">
            <w:pPr>
              <w:jc w:val="left"/>
            </w:pPr>
          </w:p>
        </w:tc>
      </w:tr>
      <w:tr w:rsidR="00830895" w:rsidRPr="001A22F0" w14:paraId="22D2F19B" w14:textId="77777777" w:rsidTr="005637FA">
        <w:tc>
          <w:tcPr>
            <w:tcW w:w="2754" w:type="dxa"/>
          </w:tcPr>
          <w:p w14:paraId="185152F5" w14:textId="77777777" w:rsidR="00830895" w:rsidRPr="00EA0A06" w:rsidRDefault="00830895" w:rsidP="00B21CF5">
            <w:pPr>
              <w:pStyle w:val="Instructions"/>
            </w:pPr>
            <w:r w:rsidRPr="00EA0A06">
              <w:lastRenderedPageBreak/>
              <w:t>In your Best Interest</w:t>
            </w:r>
          </w:p>
        </w:tc>
        <w:tc>
          <w:tcPr>
            <w:tcW w:w="6798" w:type="dxa"/>
          </w:tcPr>
          <w:p w14:paraId="02E83F59" w14:textId="77777777" w:rsidR="00830895" w:rsidRPr="001A22F0" w:rsidRDefault="00830895" w:rsidP="005637FA">
            <w:pPr>
              <w:jc w:val="left"/>
            </w:pPr>
          </w:p>
        </w:tc>
      </w:tr>
      <w:tr w:rsidR="00830895" w:rsidRPr="001A22F0" w14:paraId="067118EC" w14:textId="77777777" w:rsidTr="005637FA">
        <w:tc>
          <w:tcPr>
            <w:tcW w:w="2754" w:type="dxa"/>
          </w:tcPr>
          <w:p w14:paraId="118B8A9A" w14:textId="77777777" w:rsidR="00830895" w:rsidRPr="00EA0A06" w:rsidRDefault="00830895" w:rsidP="00B21CF5">
            <w:pPr>
              <w:pStyle w:val="Instructions"/>
            </w:pPr>
            <w:r w:rsidRPr="00EA0A06">
              <w:t>Further Detail</w:t>
            </w:r>
          </w:p>
        </w:tc>
        <w:tc>
          <w:tcPr>
            <w:tcW w:w="6798" w:type="dxa"/>
          </w:tcPr>
          <w:p w14:paraId="731BE7FD" w14:textId="77777777" w:rsidR="005637FA" w:rsidRPr="005F763D" w:rsidRDefault="00830895" w:rsidP="005637FA">
            <w:pPr>
              <w:jc w:val="left"/>
            </w:pPr>
            <w:r w:rsidRPr="000D0191">
              <w:t xml:space="preserve"> </w:t>
            </w:r>
            <w:r w:rsidR="005637FA" w:rsidRPr="005F763D">
              <w:t xml:space="preserve">We believe that implementing the recommended </w:t>
            </w:r>
            <w:r w:rsidR="005637FA" w:rsidRPr="000D0191">
              <w:rPr>
                <w:rFonts w:eastAsia="SimSun"/>
                <w:color w:val="7030A0"/>
                <w:szCs w:val="22"/>
                <w:highlight w:val="yellow"/>
                <w:lang w:val="x-none" w:eastAsia="x-none"/>
              </w:rPr>
              <w:t>[Income Protection] [Salary Continuance]</w:t>
            </w:r>
            <w:r w:rsidR="005637FA" w:rsidRPr="000D0191">
              <w:rPr>
                <w:rFonts w:eastAsia="SimSun"/>
                <w:color w:val="7030A0"/>
                <w:szCs w:val="22"/>
                <w:lang w:val="x-none" w:eastAsia="x-none"/>
              </w:rPr>
              <w:t xml:space="preserve"> </w:t>
            </w:r>
            <w:r w:rsidR="005637FA" w:rsidRPr="005F763D">
              <w:t>Insurance cover meets your needs/objectives for the following reasons:</w:t>
            </w:r>
          </w:p>
          <w:p w14:paraId="109FD8F0" w14:textId="77777777" w:rsidR="005637FA" w:rsidRPr="005F763D" w:rsidRDefault="005637FA" w:rsidP="001B4ECE">
            <w:pPr>
              <w:pStyle w:val="InterPracBullet"/>
              <w:numPr>
                <w:ilvl w:val="0"/>
                <w:numId w:val="110"/>
              </w:numPr>
            </w:pPr>
            <w:r w:rsidRPr="005F763D">
              <w:t>One of your goals is to protect your income in the case that you are unable to work due to illness or injury.  In this case, your income protection insurance would pay you a monthly benefit which would allow you to maintain your lifestyle needs and obligations and would reduce financial stress on your family.</w:t>
            </w:r>
          </w:p>
          <w:p w14:paraId="5F5224C2" w14:textId="77777777" w:rsidR="005637FA" w:rsidRDefault="005637FA" w:rsidP="001B4ECE">
            <w:pPr>
              <w:pStyle w:val="InterPracBullet"/>
              <w:numPr>
                <w:ilvl w:val="0"/>
                <w:numId w:val="110"/>
              </w:numPr>
            </w:pPr>
            <w:r w:rsidRPr="005F763D">
              <w:t xml:space="preserve">In order to protect from such a situation we recommend the placement of </w:t>
            </w:r>
            <w:r w:rsidRPr="000D0191">
              <w:rPr>
                <w:highlight w:val="yellow"/>
              </w:rPr>
              <w:t xml:space="preserve">[Income Protection] [Salary Continuance] </w:t>
            </w:r>
            <w:r w:rsidRPr="00F4138D">
              <w:t>insurance</w:t>
            </w:r>
            <w:r w:rsidRPr="000D0191">
              <w:t xml:space="preserve"> </w:t>
            </w:r>
            <w:r w:rsidRPr="005F763D">
              <w:t xml:space="preserve">cover.  Such cover is payable should an illness or disability see you are unable to work for a period of time greater than the waiting period provided under the contract.  </w:t>
            </w:r>
          </w:p>
          <w:p w14:paraId="04C954BF" w14:textId="77777777" w:rsidR="00830895" w:rsidRDefault="00830895" w:rsidP="005637FA"/>
          <w:p w14:paraId="1B231B5B" w14:textId="77777777" w:rsidR="00B31813" w:rsidRPr="000D0191" w:rsidRDefault="00B31813" w:rsidP="001B7654">
            <w:pPr>
              <w:pStyle w:val="InterPracBullet1"/>
            </w:pPr>
            <w:r w:rsidRPr="000D0191">
              <w:rPr>
                <w:highlight w:val="yellow"/>
              </w:rPr>
              <w:t>If Salary Continuance:</w:t>
            </w:r>
          </w:p>
          <w:p w14:paraId="2CDD41EF" w14:textId="77777777" w:rsidR="00B31813" w:rsidRDefault="00B31813" w:rsidP="001B4ECE">
            <w:pPr>
              <w:pStyle w:val="InterPracBullet"/>
              <w:numPr>
                <w:ilvl w:val="0"/>
                <w:numId w:val="110"/>
              </w:numPr>
            </w:pPr>
            <w:r w:rsidRPr="005F763D">
              <w:t xml:space="preserve">Payment of such benefits can be selected for a time frame of one </w:t>
            </w:r>
            <w:r>
              <w:rPr>
                <w:lang w:val="en-AU"/>
              </w:rPr>
              <w:t>to two years</w:t>
            </w:r>
            <w:r w:rsidRPr="005F763D">
              <w:t>.</w:t>
            </w:r>
          </w:p>
          <w:p w14:paraId="3F37396D" w14:textId="77777777" w:rsidR="00B31813" w:rsidRPr="000D0191" w:rsidRDefault="00B31813" w:rsidP="001B7654">
            <w:pPr>
              <w:pStyle w:val="InterPracBullet1"/>
              <w:rPr>
                <w:highlight w:val="yellow"/>
              </w:rPr>
            </w:pPr>
            <w:r w:rsidRPr="000D0191">
              <w:rPr>
                <w:highlight w:val="yellow"/>
              </w:rPr>
              <w:t>If Income Protection:</w:t>
            </w:r>
          </w:p>
          <w:p w14:paraId="44A2EF00" w14:textId="77777777" w:rsidR="00B31813" w:rsidRPr="005F763D" w:rsidRDefault="00B31813" w:rsidP="001B4ECE">
            <w:pPr>
              <w:pStyle w:val="InterPracBullet"/>
              <w:numPr>
                <w:ilvl w:val="0"/>
                <w:numId w:val="110"/>
              </w:numPr>
            </w:pPr>
            <w:r w:rsidRPr="005F763D">
              <w:t>Payment of such benefits can be selected for a time frame of one year or up to age 65.</w:t>
            </w:r>
          </w:p>
          <w:p w14:paraId="10EAED59" w14:textId="77777777" w:rsidR="005637FA" w:rsidRDefault="005637FA" w:rsidP="005637FA"/>
          <w:p w14:paraId="18B8BD9F" w14:textId="77777777" w:rsidR="003F337D" w:rsidRPr="005F763D" w:rsidRDefault="003F337D">
            <w:pPr>
              <w:pStyle w:val="InterPracBullet"/>
            </w:pPr>
            <w:r w:rsidRPr="005F763D">
              <w:t>The cost of such cover is determined by what waiting and benefit periods are selected:</w:t>
            </w:r>
          </w:p>
          <w:p w14:paraId="024F3CAE" w14:textId="77777777" w:rsidR="003F337D" w:rsidRPr="00CF29AB" w:rsidRDefault="003F337D">
            <w:pPr>
              <w:pStyle w:val="InterPracBullet"/>
            </w:pPr>
            <w:r w:rsidRPr="00CF29AB">
              <w:t xml:space="preserve">Based on your current available liquid assets, we recommend a waiting period of </w:t>
            </w:r>
            <w:r w:rsidRPr="000D0191">
              <w:rPr>
                <w:highlight w:val="yellow"/>
                <w:lang w:val="en-AU"/>
              </w:rPr>
              <w:t>[</w:t>
            </w:r>
            <w:r w:rsidRPr="000D0191">
              <w:rPr>
                <w:highlight w:val="yellow"/>
              </w:rPr>
              <w:t>XX</w:t>
            </w:r>
            <w:r w:rsidRPr="000D0191">
              <w:rPr>
                <w:highlight w:val="yellow"/>
                <w:lang w:val="en-AU"/>
              </w:rPr>
              <w:t>]</w:t>
            </w:r>
            <w:r w:rsidRPr="00CF29AB">
              <w:t xml:space="preserve"> days, and a benefit period of </w:t>
            </w:r>
            <w:r w:rsidRPr="000D0191">
              <w:rPr>
                <w:highlight w:val="yellow"/>
                <w:lang w:val="en-AU"/>
              </w:rPr>
              <w:t>[</w:t>
            </w:r>
            <w:r w:rsidRPr="000D0191">
              <w:rPr>
                <w:highlight w:val="yellow"/>
              </w:rPr>
              <w:t>XX</w:t>
            </w:r>
            <w:r w:rsidRPr="000D0191">
              <w:rPr>
                <w:highlight w:val="yellow"/>
                <w:lang w:val="en-AU"/>
              </w:rPr>
              <w:t>]</w:t>
            </w:r>
            <w:r w:rsidRPr="00CF29AB">
              <w:t>.</w:t>
            </w:r>
          </w:p>
          <w:p w14:paraId="34D7905D" w14:textId="77777777" w:rsidR="003F337D" w:rsidRPr="00CF29AB" w:rsidRDefault="003F337D">
            <w:pPr>
              <w:pStyle w:val="InterPracBullet"/>
            </w:pPr>
            <w:r w:rsidRPr="000D0191">
              <w:rPr>
                <w:highlight w:val="yellow"/>
              </w:rPr>
              <w:t xml:space="preserve">With regard to the benefit payable, normally </w:t>
            </w:r>
            <w:r w:rsidRPr="000D0191">
              <w:rPr>
                <w:highlight w:val="yellow"/>
                <w:lang w:val="en-AU"/>
              </w:rPr>
              <w:t xml:space="preserve">the </w:t>
            </w:r>
            <w:r w:rsidRPr="000D0191">
              <w:rPr>
                <w:highlight w:val="yellow"/>
              </w:rPr>
              <w:t>maximum amount that can be insured for is 75% of income (including packaged benefits such as superannuation and other items seen to have a dollar benefit).  We recommend we insure for 75% of your overall package which would see a monthly insurance benefit payment of</w:t>
            </w:r>
            <w:r w:rsidRPr="008639C6">
              <w:t xml:space="preserve"> </w:t>
            </w:r>
            <w:r w:rsidRPr="00CF29AB">
              <w:t>$</w:t>
            </w:r>
            <w:r w:rsidRPr="000D0191">
              <w:rPr>
                <w:color w:val="FF0000"/>
              </w:rPr>
              <w:t>[__,___]</w:t>
            </w:r>
            <w:r w:rsidRPr="00CF29AB">
              <w:t xml:space="preserve">.  </w:t>
            </w:r>
            <w:r w:rsidRPr="000D0191">
              <w:rPr>
                <w:highlight w:val="yellow"/>
              </w:rPr>
              <w:t>Note though that tax will deducted from the benefit amount.</w:t>
            </w:r>
          </w:p>
          <w:p w14:paraId="4CCA1F9F" w14:textId="0EFCFFDD" w:rsidR="003F337D" w:rsidRPr="0016266D" w:rsidRDefault="003F337D" w:rsidP="003F337D">
            <w:pPr>
              <w:pStyle w:val="Bullet150cmLeft5ptBefore"/>
              <w:rPr>
                <w:b/>
              </w:rPr>
            </w:pPr>
            <w:r w:rsidRPr="0016266D">
              <w:rPr>
                <w:b/>
              </w:rPr>
              <w:t>OR</w:t>
            </w:r>
          </w:p>
          <w:p w14:paraId="012BED75" w14:textId="77777777" w:rsidR="003F337D" w:rsidRPr="00CF29AB" w:rsidRDefault="003F337D">
            <w:pPr>
              <w:pStyle w:val="InterPracBullet"/>
            </w:pPr>
            <w:r w:rsidRPr="000D0191">
              <w:rPr>
                <w:highlight w:val="yellow"/>
              </w:rPr>
              <w:t>With regard to the benefit payable, as a self-employed business owner the amount that can be insured for is normally calculated as being 75% of your earnings after expenses, plus any expenses that benefit you personally.  We calculate that we can base an insurance benefit as 75% of $</w:t>
            </w:r>
            <w:r w:rsidRPr="000D0191">
              <w:rPr>
                <w:color w:val="FF0000"/>
                <w:highlight w:val="yellow"/>
              </w:rPr>
              <w:t>[__,___]</w:t>
            </w:r>
            <w:r w:rsidRPr="000D0191">
              <w:rPr>
                <w:highlight w:val="yellow"/>
              </w:rPr>
              <w:t xml:space="preserve"> which would provide a monthly benefit of</w:t>
            </w:r>
            <w:r w:rsidRPr="008639C6">
              <w:t xml:space="preserve"> </w:t>
            </w:r>
            <w:r w:rsidRPr="00CF29AB">
              <w:t>$</w:t>
            </w:r>
            <w:r w:rsidRPr="000D0191">
              <w:rPr>
                <w:color w:val="FF0000"/>
              </w:rPr>
              <w:t>[__,___]</w:t>
            </w:r>
            <w:r w:rsidRPr="00CF29AB">
              <w:t xml:space="preserve">.  </w:t>
            </w:r>
            <w:r w:rsidRPr="000D0191">
              <w:rPr>
                <w:highlight w:val="yellow"/>
              </w:rPr>
              <w:t>Note though that tax will deducted from the benefit amount.</w:t>
            </w:r>
          </w:p>
          <w:p w14:paraId="1964F27C" w14:textId="77777777" w:rsidR="005637FA" w:rsidRDefault="005637FA" w:rsidP="005637FA"/>
          <w:p w14:paraId="146E4914" w14:textId="0F1F1A49" w:rsidR="003F337D" w:rsidRDefault="003F337D" w:rsidP="003F337D">
            <w:pPr>
              <w:pStyle w:val="Bullet150cmLeft5ptBefore"/>
            </w:pPr>
            <w:r w:rsidRPr="005F763D">
              <w:t>Please also be aware that premiums paid</w:t>
            </w:r>
            <w:r w:rsidR="005D27C7">
              <w:t xml:space="preserve"> </w:t>
            </w:r>
            <w:r>
              <w:t xml:space="preserve">by a </w:t>
            </w:r>
            <w:r w:rsidR="00E50F9C">
              <w:t>superannuation</w:t>
            </w:r>
            <w:r>
              <w:t xml:space="preserve"> fund</w:t>
            </w:r>
            <w:r w:rsidRPr="005F763D">
              <w:t xml:space="preserve"> are </w:t>
            </w:r>
            <w:r>
              <w:t xml:space="preserve">not </w:t>
            </w:r>
            <w:r w:rsidRPr="005F763D">
              <w:t>tax deductible</w:t>
            </w:r>
            <w:r>
              <w:t xml:space="preserve"> to an individual.  They are a deduction to the super fund.</w:t>
            </w:r>
            <w:r w:rsidRPr="005F763D">
              <w:t xml:space="preserve">  </w:t>
            </w:r>
          </w:p>
          <w:p w14:paraId="17E8488E" w14:textId="77777777" w:rsidR="005637FA" w:rsidRDefault="005637FA" w:rsidP="005637FA"/>
          <w:p w14:paraId="55A29640" w14:textId="77777777" w:rsidR="001B7654" w:rsidRPr="000D0191" w:rsidRDefault="001B7654" w:rsidP="001B7654">
            <w:pPr>
              <w:pStyle w:val="InterPracBullet1"/>
            </w:pPr>
            <w:r w:rsidRPr="005F763D">
              <w:t>Level Premiums:</w:t>
            </w:r>
            <w:r w:rsidRPr="000D0191">
              <w:t xml:space="preserve"> </w:t>
            </w:r>
            <w:commentRangeStart w:id="126"/>
            <w:r w:rsidRPr="001B7654">
              <w:rPr>
                <w:b w:val="0"/>
              </w:rPr>
              <w:t>We</w:t>
            </w:r>
            <w:commentRangeEnd w:id="126"/>
            <w:r w:rsidR="00797748">
              <w:rPr>
                <w:rStyle w:val="CommentReference"/>
                <w:rFonts w:eastAsia="MS Mincho"/>
                <w:b w:val="0"/>
                <w:lang w:val="en-AU" w:eastAsia="ja-JP"/>
              </w:rPr>
              <w:commentReference w:id="126"/>
            </w:r>
            <w:r w:rsidRPr="001B7654">
              <w:rPr>
                <w:b w:val="0"/>
              </w:rPr>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026369F6" w14:textId="77777777" w:rsidR="003F337D" w:rsidRDefault="003F337D" w:rsidP="005637FA"/>
          <w:p w14:paraId="7CEAF067" w14:textId="77777777" w:rsidR="001B7654" w:rsidRPr="001B7654" w:rsidRDefault="001B7654" w:rsidP="001B7654">
            <w:pPr>
              <w:pStyle w:val="InterPracBullet1"/>
              <w:rPr>
                <w:b w:val="0"/>
              </w:rPr>
            </w:pPr>
            <w:r w:rsidRPr="005F763D">
              <w:t>Stepped Premiums:</w:t>
            </w:r>
            <w:r w:rsidRPr="000D0191">
              <w:t xml:space="preserve"> </w:t>
            </w:r>
            <w:r w:rsidRPr="001B7654">
              <w:rPr>
                <w:b w:val="0"/>
              </w:rPr>
              <w:t>We have recommended stepped premiums because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5C15A2EA" w14:textId="77777777" w:rsidR="001B7654" w:rsidRPr="001B7654" w:rsidRDefault="001B7654" w:rsidP="001B7654">
            <w:pPr>
              <w:pStyle w:val="InterPracBullet1"/>
              <w:rPr>
                <w:b w:val="0"/>
              </w:rPr>
            </w:pPr>
            <w:r w:rsidRPr="001B7654">
              <w:t>Waiting Period:</w:t>
            </w:r>
            <w:r w:rsidRPr="001B7654">
              <w:rPr>
                <w:b w:val="0"/>
              </w:rPr>
              <w:t xml:space="preserve"> The waiting period specifies the period of time that the Insured must be totally or partially disabled prior to becoming eligible for the monthly benefit amount.</w:t>
            </w:r>
          </w:p>
          <w:p w14:paraId="4517E2D1" w14:textId="77777777" w:rsidR="001B7654" w:rsidRPr="001B7654" w:rsidRDefault="001B7654" w:rsidP="001B7654">
            <w:pPr>
              <w:pStyle w:val="InterPracBullet1"/>
              <w:rPr>
                <w:b w:val="0"/>
              </w:rPr>
            </w:pPr>
            <w:r w:rsidRPr="001B7654">
              <w:lastRenderedPageBreak/>
              <w:t>Benefit Period:</w:t>
            </w:r>
            <w:r w:rsidRPr="001B7654">
              <w:rPr>
                <w:b w:val="0"/>
              </w:rPr>
              <w:t xml:space="preserve"> The benefit period specifies the period of time that the Insured may be entitled to receive the monthly benefit for a disability arising from the one cause or a number of related causes.</w:t>
            </w:r>
          </w:p>
          <w:p w14:paraId="0D939149" w14:textId="77777777" w:rsidR="003F337D" w:rsidRDefault="003F337D" w:rsidP="005637FA"/>
          <w:p w14:paraId="14F75CAD" w14:textId="7AED96E1" w:rsidR="00695597" w:rsidRPr="00695597" w:rsidRDefault="00695597" w:rsidP="00695597">
            <w:pPr>
              <w:pStyle w:val="InterPracBullet1"/>
              <w:rPr>
                <w:b w:val="0"/>
              </w:rPr>
            </w:pPr>
            <w:r w:rsidRPr="00BD4963">
              <w:t xml:space="preserve">Indemnity: </w:t>
            </w:r>
            <w:r w:rsidRPr="00695597">
              <w:rPr>
                <w:b w:val="0"/>
              </w:rPr>
              <w:t>With indemnity cover, the income paid is determined at the time the claim is made. This could work in your favour, but it can equally work against you. If your health has been steadily declining and your customers – and in turn your income – have been declining too, you will only be paid on your reduced income.</w:t>
            </w:r>
          </w:p>
          <w:p w14:paraId="27DE0F8B" w14:textId="636DD2E2" w:rsidR="00695597" w:rsidRPr="008B2A12" w:rsidRDefault="00695597" w:rsidP="00695597">
            <w:pPr>
              <w:pStyle w:val="InterPracBullet1"/>
            </w:pPr>
            <w:r w:rsidRPr="005F763D">
              <w:t>Increasing</w:t>
            </w:r>
            <w:r w:rsidRPr="00BD4963">
              <w:t xml:space="preserve"> Cla</w:t>
            </w:r>
            <w:r w:rsidRPr="000D0191">
              <w:t xml:space="preserve">ims Benefit: </w:t>
            </w:r>
            <w:r w:rsidRPr="00695597">
              <w:rPr>
                <w:b w:val="0"/>
              </w:rPr>
              <w:t>In the event of a long term payment, the payment will be increase</w:t>
            </w:r>
            <w:r w:rsidR="00C15136">
              <w:rPr>
                <w:b w:val="0"/>
                <w:lang w:val="en-AU"/>
              </w:rPr>
              <w:t>d</w:t>
            </w:r>
            <w:r w:rsidRPr="00695597">
              <w:rPr>
                <w:b w:val="0"/>
              </w:rPr>
              <w:t xml:space="preserve"> according to CPI.</w:t>
            </w:r>
          </w:p>
          <w:p w14:paraId="78C17887" w14:textId="0E664A28" w:rsidR="0065043A" w:rsidRPr="005F763D" w:rsidRDefault="0065043A">
            <w:pPr>
              <w:pStyle w:val="InterPracBullet"/>
            </w:pPr>
            <w:r w:rsidRPr="0016266D">
              <w:t xml:space="preserve">Owning the policy within the superannuation environment </w:t>
            </w:r>
            <w:r w:rsidRPr="0016266D">
              <w:rPr>
                <w:lang w:val="en-AU"/>
              </w:rPr>
              <w:t xml:space="preserve">typically </w:t>
            </w:r>
            <w:r w:rsidRPr="0016266D">
              <w:t>provides the following benefits:</w:t>
            </w:r>
          </w:p>
          <w:p w14:paraId="3139BE6B" w14:textId="77777777" w:rsidR="0065043A" w:rsidRPr="0030411A" w:rsidRDefault="0065043A" w:rsidP="001B4ECE">
            <w:pPr>
              <w:pStyle w:val="InterPracBullet"/>
              <w:numPr>
                <w:ilvl w:val="0"/>
                <w:numId w:val="110"/>
              </w:numPr>
            </w:pPr>
            <w:r w:rsidRPr="00E31377">
              <w:t>Tax deductibility of premiums. Where insurance is arranged inside a superannuation fund there is the opportunity to pay premiums from employer contributions (in</w:t>
            </w:r>
            <w:r w:rsidRPr="008C0AC7">
              <w:t xml:space="preserve">cluding </w:t>
            </w:r>
            <w:r w:rsidRPr="00A0584A">
              <w:t>[Income Protection] [Salary Continuance]</w:t>
            </w:r>
            <w:r w:rsidRPr="0094412C">
              <w:t>) which means you can pay the premiums from p</w:t>
            </w:r>
            <w:r w:rsidRPr="0030411A">
              <w:t>re-tax funds.</w:t>
            </w:r>
          </w:p>
          <w:p w14:paraId="0F4ACD97" w14:textId="77777777" w:rsidR="0065043A" w:rsidRPr="00B57043" w:rsidRDefault="0065043A" w:rsidP="001B4ECE">
            <w:pPr>
              <w:pStyle w:val="InterPracBullet"/>
              <w:numPr>
                <w:ilvl w:val="0"/>
                <w:numId w:val="110"/>
              </w:numPr>
            </w:pPr>
            <w:r w:rsidRPr="00B57043">
              <w:t>Improved cash flow outside of superannuation.</w:t>
            </w:r>
          </w:p>
          <w:p w14:paraId="7D1B55D7" w14:textId="77777777" w:rsidR="00567FBA" w:rsidRPr="00E31377" w:rsidRDefault="00567FBA" w:rsidP="00567FBA">
            <w:pPr>
              <w:pStyle w:val="InterPracBullet"/>
            </w:pPr>
            <w:r w:rsidRPr="000D0191">
              <w:rPr>
                <w:highlight w:val="yellow"/>
              </w:rPr>
              <w:t>If Salary Continuance:</w:t>
            </w:r>
          </w:p>
          <w:p w14:paraId="5BF35F39" w14:textId="7FF0EBCA" w:rsidR="00972712" w:rsidRPr="000D0191" w:rsidRDefault="00972712">
            <w:pPr>
              <w:pStyle w:val="InterPracBullet"/>
            </w:pPr>
            <w:r w:rsidRPr="000D0191">
              <w:t>Before proceeding with the recommended Salary Continuance Insurance, you</w:t>
            </w:r>
            <w:r w:rsidR="00DC7765">
              <w:rPr>
                <w:lang w:val="en-AU"/>
              </w:rPr>
              <w:t xml:space="preserve"> </w:t>
            </w:r>
            <w:r w:rsidRPr="000D0191">
              <w:t>should consider the following:</w:t>
            </w:r>
          </w:p>
          <w:p w14:paraId="63AF0136" w14:textId="77777777" w:rsidR="00972712" w:rsidRPr="000D0191" w:rsidRDefault="00972712" w:rsidP="001B4ECE">
            <w:pPr>
              <w:pStyle w:val="InterPracBullet"/>
              <w:numPr>
                <w:ilvl w:val="0"/>
                <w:numId w:val="110"/>
              </w:numPr>
            </w:pPr>
            <w:r w:rsidRPr="005F763D">
              <w:t>Only up to 75% of your regular monthly income may be covered by a Salary Continuance policy.</w:t>
            </w:r>
          </w:p>
          <w:p w14:paraId="4BCE6FE0" w14:textId="77777777" w:rsidR="00972712" w:rsidRPr="000D0191" w:rsidRDefault="00972712">
            <w:pPr>
              <w:pStyle w:val="InterPracBullet"/>
              <w:rPr>
                <w:highlight w:val="yellow"/>
              </w:rPr>
            </w:pPr>
            <w:r w:rsidRPr="000D0191">
              <w:rPr>
                <w:highlight w:val="yellow"/>
              </w:rPr>
              <w:t>If Income Protection:</w:t>
            </w:r>
          </w:p>
          <w:p w14:paraId="49A6B67F" w14:textId="4C7CB371" w:rsidR="00972712" w:rsidRPr="005F763D" w:rsidRDefault="00972712" w:rsidP="001B4ECE">
            <w:pPr>
              <w:pStyle w:val="InterPracBullet"/>
              <w:numPr>
                <w:ilvl w:val="0"/>
                <w:numId w:val="110"/>
              </w:numPr>
            </w:pPr>
            <w:r w:rsidRPr="005F763D">
              <w:t xml:space="preserve">Up to 100% of your employer super contributions may also be covered by </w:t>
            </w:r>
            <w:r w:rsidR="00E50F9C" w:rsidRPr="005F763D">
              <w:t>an</w:t>
            </w:r>
            <w:r w:rsidRPr="005F763D">
              <w:t xml:space="preserve"> </w:t>
            </w:r>
            <w:r>
              <w:rPr>
                <w:lang w:val="en-AU"/>
              </w:rPr>
              <w:t>Income Protection</w:t>
            </w:r>
            <w:r w:rsidRPr="005F763D">
              <w:t xml:space="preserve"> policy.</w:t>
            </w:r>
          </w:p>
          <w:p w14:paraId="5EB02153" w14:textId="47F259C5" w:rsidR="00972712" w:rsidRPr="005F763D" w:rsidRDefault="00972712">
            <w:pPr>
              <w:pStyle w:val="InterPracBullet"/>
            </w:pPr>
            <w:r w:rsidRPr="005F763D">
              <w:t xml:space="preserve">The </w:t>
            </w:r>
            <w:r w:rsidRPr="00972712">
              <w:rPr>
                <w:b/>
              </w:rPr>
              <w:t>waiting period</w:t>
            </w:r>
            <w:r w:rsidRPr="005F763D">
              <w:t xml:space="preserve"> is the minimum amount of time that you will have to wait before you begin to receive payments under the policy. You should also note that some payments are made in arrears so this may extend your waiting period.  This is why having cash in the bank or sick leave due from your employer can be beneficial.</w:t>
            </w:r>
          </w:p>
          <w:p w14:paraId="25FB68A3" w14:textId="77777777" w:rsidR="00972712" w:rsidRPr="005F763D" w:rsidRDefault="00972712">
            <w:pPr>
              <w:pStyle w:val="InterPracBullet"/>
            </w:pPr>
            <w:r w:rsidRPr="005F763D">
              <w:t xml:space="preserve">The </w:t>
            </w:r>
            <w:r w:rsidRPr="00972712">
              <w:rPr>
                <w:b/>
              </w:rPr>
              <w:t>benefit period</w:t>
            </w:r>
            <w:r w:rsidRPr="005F763D">
              <w:t xml:space="preserve"> is the maximum amount of time that you will be paid under the policy (subject to policy conditions).</w:t>
            </w:r>
          </w:p>
          <w:p w14:paraId="38E9F5E1" w14:textId="77777777" w:rsidR="00972712" w:rsidRPr="005F763D" w:rsidRDefault="00972712">
            <w:pPr>
              <w:pStyle w:val="InterPracBullet"/>
            </w:pPr>
            <w:r w:rsidRPr="005F763D">
              <w:t xml:space="preserve">For an </w:t>
            </w:r>
            <w:r w:rsidRPr="00972712">
              <w:rPr>
                <w:b/>
              </w:rPr>
              <w:t>Indemnity policy,</w:t>
            </w:r>
            <w:r w:rsidRPr="005F763D">
              <w:t xml:space="preserve"> the income replacement benefit paid by the insurer is based on the life insured's average earnings in any 12 consecutive months of income over the past 36 months prior to the time of claim.</w:t>
            </w:r>
          </w:p>
          <w:p w14:paraId="028A8937" w14:textId="67EE42B4" w:rsidR="00972712" w:rsidRPr="005F763D" w:rsidRDefault="00972712">
            <w:pPr>
              <w:pStyle w:val="InterPracBullet"/>
            </w:pPr>
            <w:r w:rsidRPr="005F763D">
              <w:t>The risks associated with owning insurance policies through superannuation are:</w:t>
            </w:r>
          </w:p>
          <w:p w14:paraId="17BEB99B" w14:textId="77777777" w:rsidR="00972712" w:rsidRPr="005F763D" w:rsidRDefault="00972712">
            <w:pPr>
              <w:pStyle w:val="InterPracBullet"/>
              <w:numPr>
                <w:ilvl w:val="0"/>
                <w:numId w:val="110"/>
              </w:numPr>
            </w:pPr>
            <w:r w:rsidRPr="005F763D">
              <w:t>The subsequent closure of your super account could mean that your insurance cover will be lost, unless you are eligible, and wish to transfer, your insurance cover to a separate policy outside of the super environment.</w:t>
            </w:r>
          </w:p>
          <w:p w14:paraId="0AE332C0" w14:textId="77777777" w:rsidR="00972712" w:rsidRPr="005F763D" w:rsidRDefault="00972712">
            <w:pPr>
              <w:pStyle w:val="InterPracBullet"/>
              <w:numPr>
                <w:ilvl w:val="0"/>
                <w:numId w:val="110"/>
              </w:numPr>
            </w:pPr>
            <w:r w:rsidRPr="005F763D">
              <w:t>Reduction in retirement savings where no additional contributions are made to the superannuation fund to meet premiums.</w:t>
            </w:r>
          </w:p>
          <w:p w14:paraId="491EA626" w14:textId="37413977" w:rsidR="00972712" w:rsidRPr="005F763D" w:rsidRDefault="00972712">
            <w:pPr>
              <w:pStyle w:val="InterPracBullet"/>
              <w:numPr>
                <w:ilvl w:val="0"/>
                <w:numId w:val="110"/>
              </w:numPr>
            </w:pPr>
            <w:r w:rsidRPr="005F763D">
              <w:t>For any insurance benefits paid into super, there may be assessments for super lump sum tax.</w:t>
            </w:r>
            <w:r w:rsidR="00677FD3">
              <w:t xml:space="preserve"> The Superannuation fund may deduct PAYG instalments from the amount payable.</w:t>
            </w:r>
          </w:p>
          <w:p w14:paraId="1464A927" w14:textId="77777777" w:rsidR="00972712" w:rsidRPr="005F763D" w:rsidRDefault="00972712">
            <w:pPr>
              <w:pStyle w:val="InterPracBullet"/>
              <w:numPr>
                <w:ilvl w:val="0"/>
                <w:numId w:val="110"/>
              </w:numPr>
            </w:pPr>
            <w:r w:rsidRPr="005F763D">
              <w:t>Access to benefit payments can be slow.</w:t>
            </w:r>
          </w:p>
          <w:p w14:paraId="642137E1" w14:textId="580A92B5" w:rsidR="00273B1D" w:rsidRPr="001B4ECE" w:rsidRDefault="00273B1D" w:rsidP="001B4ECE">
            <w:pPr>
              <w:pStyle w:val="InterPracBullet"/>
              <w:numPr>
                <w:ilvl w:val="0"/>
                <w:numId w:val="110"/>
              </w:numPr>
            </w:pPr>
            <w:r>
              <w:t xml:space="preserve">As the income protection policy is owned by your Superannuation fund, claim proceeds are paid to your Superannuation fund. </w:t>
            </w:r>
            <w:r w:rsidR="00785666">
              <w:rPr>
                <w:lang w:val="en-AU"/>
              </w:rPr>
              <w:t>Technically, y</w:t>
            </w:r>
            <w:proofErr w:type="spellStart"/>
            <w:r>
              <w:t>ou</w:t>
            </w:r>
            <w:proofErr w:type="spellEnd"/>
            <w:r>
              <w:t xml:space="preserve"> </w:t>
            </w:r>
            <w:r w:rsidR="00677FD3">
              <w:rPr>
                <w:lang w:val="en-AU"/>
              </w:rPr>
              <w:t xml:space="preserve">then </w:t>
            </w:r>
            <w:r>
              <w:t>need to meet the payment conditions within the fund to receive the monthly income payments</w:t>
            </w:r>
            <w:r w:rsidR="00677FD3">
              <w:rPr>
                <w:lang w:val="en-AU"/>
              </w:rPr>
              <w:t xml:space="preserve"> which will be taxable at your marginal rate.</w:t>
            </w:r>
            <w:r w:rsidR="00121321">
              <w:rPr>
                <w:lang w:val="en-AU"/>
              </w:rPr>
              <w:t xml:space="preserve"> </w:t>
            </w:r>
            <w:r w:rsidR="00121321">
              <w:t>The Superannuation fund may deduct PAYG instalments from the amount payable.</w:t>
            </w:r>
          </w:p>
          <w:p w14:paraId="3150DE68" w14:textId="792BE349" w:rsidR="00972712" w:rsidRPr="001A22F0" w:rsidRDefault="00972712">
            <w:pPr>
              <w:pStyle w:val="InterPracBullet1"/>
            </w:pPr>
          </w:p>
        </w:tc>
      </w:tr>
    </w:tbl>
    <w:p w14:paraId="0DE66F77" w14:textId="77777777" w:rsidR="00830895" w:rsidRPr="00830895" w:rsidRDefault="00830895" w:rsidP="005637FA"/>
    <w:p w14:paraId="5855809B" w14:textId="77777777" w:rsidR="00B9421F" w:rsidRDefault="00B9421F">
      <w:pPr>
        <w:pStyle w:val="InterPracBullet1"/>
        <w:rPr>
          <w:highlight w:val="yellow"/>
        </w:rPr>
        <w:sectPr w:rsidR="00B9421F" w:rsidSect="00010E11">
          <w:type w:val="continuous"/>
          <w:pgSz w:w="11906" w:h="16838" w:code="9"/>
          <w:pgMar w:top="1134" w:right="566" w:bottom="426" w:left="709" w:header="567" w:footer="95" w:gutter="0"/>
          <w:cols w:space="708"/>
          <w:docGrid w:linePitch="360"/>
        </w:sectPr>
      </w:pPr>
    </w:p>
    <w:p w14:paraId="6820F90D" w14:textId="77777777" w:rsidR="00E60A10" w:rsidRDefault="00E60A10" w:rsidP="001B7654">
      <w:pPr>
        <w:pStyle w:val="InterPracBullet1"/>
      </w:pPr>
    </w:p>
    <w:p w14:paraId="46FC5602" w14:textId="77777777" w:rsidR="002E4836" w:rsidRDefault="002E4836">
      <w:pPr>
        <w:pStyle w:val="InterPracBullet"/>
        <w:sectPr w:rsidR="002E4836" w:rsidSect="00010E11">
          <w:type w:val="continuous"/>
          <w:pgSz w:w="11906" w:h="16838" w:code="9"/>
          <w:pgMar w:top="1134" w:right="566" w:bottom="426" w:left="709" w:header="567" w:footer="95" w:gutter="0"/>
          <w:cols w:space="708"/>
          <w:docGrid w:linePitch="360"/>
        </w:sectPr>
      </w:pPr>
    </w:p>
    <w:p w14:paraId="137D1D34" w14:textId="319BF46A" w:rsidR="0021377D" w:rsidRPr="000D0191" w:rsidRDefault="0021377D">
      <w:pPr>
        <w:pStyle w:val="InterPracBullet"/>
      </w:pPr>
    </w:p>
    <w:p w14:paraId="577A4D21" w14:textId="77777777" w:rsidR="007F606A" w:rsidRPr="005F763D" w:rsidRDefault="007F606A" w:rsidP="008C7CE9">
      <w:pPr>
        <w:jc w:val="left"/>
      </w:pPr>
    </w:p>
    <w:p w14:paraId="74B7E150" w14:textId="77777777" w:rsidR="00010E11" w:rsidRDefault="00010E11" w:rsidP="008C7CE9">
      <w:pPr>
        <w:jc w:val="left"/>
        <w:sectPr w:rsidR="00010E11" w:rsidSect="00010E11">
          <w:type w:val="continuous"/>
          <w:pgSz w:w="11906" w:h="16838" w:code="9"/>
          <w:pgMar w:top="1134" w:right="566" w:bottom="426" w:left="709" w:header="567" w:footer="95" w:gutter="0"/>
          <w:cols w:space="708"/>
          <w:docGrid w:linePitch="360"/>
        </w:sectPr>
      </w:pPr>
    </w:p>
    <w:p w14:paraId="135ECC9E" w14:textId="77777777" w:rsidR="0089470D" w:rsidRDefault="0089470D" w:rsidP="008C7CE9">
      <w:pPr>
        <w:jc w:val="left"/>
        <w:sectPr w:rsidR="0089470D" w:rsidSect="00010E11">
          <w:type w:val="continuous"/>
          <w:pgSz w:w="11906" w:h="16838" w:code="9"/>
          <w:pgMar w:top="1134" w:right="566" w:bottom="426" w:left="709" w:header="567" w:footer="95" w:gutter="0"/>
          <w:cols w:space="708"/>
          <w:docGrid w:linePitch="360"/>
        </w:sectPr>
      </w:pPr>
    </w:p>
    <w:p w14:paraId="09EDC369" w14:textId="40122694" w:rsidR="007F606A" w:rsidRPr="005F763D" w:rsidRDefault="007F606A" w:rsidP="008C7CE9">
      <w:pPr>
        <w:jc w:val="left"/>
      </w:pPr>
    </w:p>
    <w:p w14:paraId="016E3AC9" w14:textId="3095B0CA" w:rsidR="007F606A" w:rsidRPr="005F763D" w:rsidRDefault="007F606A" w:rsidP="0008751D">
      <w:pPr>
        <w:pStyle w:val="Heading2"/>
      </w:pPr>
      <w:bookmarkStart w:id="127" w:name="_Toc46236038"/>
      <w:r w:rsidRPr="005F763D">
        <w:t>Business Expense Insurance Cover</w:t>
      </w:r>
      <w:bookmarkEnd w:id="127"/>
    </w:p>
    <w:p w14:paraId="7CD1E7DD" w14:textId="70BC844C" w:rsidR="007F606A" w:rsidRDefault="007F606A" w:rsidP="008C7CE9">
      <w:pPr>
        <w:jc w:val="left"/>
      </w:pPr>
    </w:p>
    <w:tbl>
      <w:tblPr>
        <w:tblStyle w:val="TableGrid"/>
        <w:tblW w:w="0" w:type="auto"/>
        <w:tblInd w:w="76" w:type="dxa"/>
        <w:tblLook w:val="04A0" w:firstRow="1" w:lastRow="0" w:firstColumn="1" w:lastColumn="0" w:noHBand="0" w:noVBand="1"/>
      </w:tblPr>
      <w:tblGrid>
        <w:gridCol w:w="2754"/>
        <w:gridCol w:w="6798"/>
      </w:tblGrid>
      <w:tr w:rsidR="00970165" w:rsidRPr="001A22F0" w14:paraId="2D090560" w14:textId="77777777" w:rsidTr="005637FA">
        <w:tc>
          <w:tcPr>
            <w:tcW w:w="2754" w:type="dxa"/>
          </w:tcPr>
          <w:p w14:paraId="2DB8E2AB" w14:textId="77777777" w:rsidR="00970165" w:rsidRPr="00EA0A06" w:rsidRDefault="00970165" w:rsidP="00B21CF5">
            <w:pPr>
              <w:pStyle w:val="Instructions"/>
            </w:pPr>
            <w:r w:rsidRPr="00EA0A06">
              <w:t>Title</w:t>
            </w:r>
          </w:p>
        </w:tc>
        <w:tc>
          <w:tcPr>
            <w:tcW w:w="6798" w:type="dxa"/>
          </w:tcPr>
          <w:p w14:paraId="28DC788A" w14:textId="411EEFB4" w:rsidR="00970165" w:rsidRPr="001A22F0" w:rsidRDefault="007B5B10" w:rsidP="005637FA">
            <w:pPr>
              <w:jc w:val="left"/>
            </w:pPr>
            <w:r w:rsidRPr="007B5B10">
              <w:rPr>
                <w:color w:val="auto"/>
              </w:rPr>
              <w:t>Business Expense Cover</w:t>
            </w:r>
          </w:p>
        </w:tc>
      </w:tr>
      <w:tr w:rsidR="00970165" w:rsidRPr="001A22F0" w14:paraId="4BBD2B7B" w14:textId="77777777" w:rsidTr="005637FA">
        <w:tc>
          <w:tcPr>
            <w:tcW w:w="2754" w:type="dxa"/>
          </w:tcPr>
          <w:p w14:paraId="4E1FF30A" w14:textId="77777777" w:rsidR="00970165" w:rsidRPr="00EA0A06" w:rsidRDefault="00970165" w:rsidP="00B21CF5">
            <w:pPr>
              <w:pStyle w:val="Instructions"/>
            </w:pPr>
            <w:r w:rsidRPr="00EA0A06">
              <w:t>Explanation</w:t>
            </w:r>
          </w:p>
        </w:tc>
        <w:tc>
          <w:tcPr>
            <w:tcW w:w="6798" w:type="dxa"/>
          </w:tcPr>
          <w:p w14:paraId="1560FEAA" w14:textId="0B27D65C" w:rsidR="007B5B10" w:rsidRPr="0016266D" w:rsidRDefault="007B5B10" w:rsidP="007B5B10">
            <w:pPr>
              <w:spacing w:before="120"/>
            </w:pPr>
            <w:r w:rsidRPr="0016266D">
              <w:t>It is recommended that you apply for $</w:t>
            </w:r>
            <w:r w:rsidRPr="0016266D">
              <w:rPr>
                <w:color w:val="FF0000"/>
              </w:rPr>
              <w:t>[_</w:t>
            </w:r>
            <w:proofErr w:type="gramStart"/>
            <w:r w:rsidRPr="0016266D">
              <w:rPr>
                <w:color w:val="FF0000"/>
              </w:rPr>
              <w:t>_,_</w:t>
            </w:r>
            <w:proofErr w:type="gramEnd"/>
            <w:r w:rsidRPr="0016266D">
              <w:rPr>
                <w:color w:val="FF0000"/>
              </w:rPr>
              <w:t>_]</w:t>
            </w:r>
            <w:r w:rsidRPr="0016266D">
              <w:t xml:space="preserve"> </w:t>
            </w:r>
            <w:r w:rsidR="00E50F9C" w:rsidRPr="0016266D">
              <w:t>of Business</w:t>
            </w:r>
            <w:r w:rsidRPr="0016266D">
              <w:t xml:space="preserve"> Expense cover </w:t>
            </w:r>
            <w:r w:rsidRPr="0016266D">
              <w:rPr>
                <w:color w:val="FF0000"/>
              </w:rPr>
              <w:t>[Product Name]</w:t>
            </w:r>
            <w:r w:rsidRPr="0016266D">
              <w:t xml:space="preserve"> with </w:t>
            </w:r>
            <w:r w:rsidRPr="0016266D">
              <w:rPr>
                <w:color w:val="FF0000"/>
              </w:rPr>
              <w:t>[Provider]</w:t>
            </w:r>
            <w:r w:rsidRPr="0016266D">
              <w:t>.</w:t>
            </w:r>
          </w:p>
          <w:p w14:paraId="45167EA0" w14:textId="77777777" w:rsidR="007B5B10" w:rsidRDefault="007B5B10" w:rsidP="007B5B10">
            <w:pPr>
              <w:spacing w:before="120"/>
            </w:pPr>
            <w:r w:rsidRPr="0016266D">
              <w:t>The insurance will have the following terms:</w:t>
            </w:r>
          </w:p>
          <w:p w14:paraId="0B0499D1" w14:textId="77777777" w:rsidR="007B5B10" w:rsidRPr="001B4ECE" w:rsidRDefault="007B5B10">
            <w:pPr>
              <w:pStyle w:val="InterPracBullet"/>
              <w:numPr>
                <w:ilvl w:val="0"/>
                <w:numId w:val="111"/>
              </w:numPr>
              <w:rPr>
                <w:highlight w:val="yellow"/>
              </w:rPr>
            </w:pPr>
            <w:r w:rsidRPr="001B4ECE">
              <w:rPr>
                <w:highlight w:val="yellow"/>
              </w:rPr>
              <w:t>[Term]</w:t>
            </w:r>
          </w:p>
          <w:p w14:paraId="4A8DAAA9" w14:textId="77777777" w:rsidR="007B5B10" w:rsidRPr="001B4ECE" w:rsidRDefault="007B5B10">
            <w:pPr>
              <w:pStyle w:val="InterPracBullet"/>
              <w:numPr>
                <w:ilvl w:val="0"/>
                <w:numId w:val="111"/>
              </w:numPr>
              <w:rPr>
                <w:highlight w:val="yellow"/>
              </w:rPr>
            </w:pPr>
            <w:r w:rsidRPr="001B4ECE">
              <w:rPr>
                <w:highlight w:val="yellow"/>
              </w:rPr>
              <w:t>[Term]</w:t>
            </w:r>
          </w:p>
          <w:p w14:paraId="3ABBA531" w14:textId="27989613" w:rsidR="00970165" w:rsidRPr="001A22F0" w:rsidRDefault="00970165" w:rsidP="005637FA">
            <w:pPr>
              <w:jc w:val="left"/>
            </w:pPr>
          </w:p>
        </w:tc>
      </w:tr>
      <w:tr w:rsidR="00970165" w:rsidRPr="001A22F0" w14:paraId="564800BB" w14:textId="77777777" w:rsidTr="005637FA">
        <w:tc>
          <w:tcPr>
            <w:tcW w:w="2754" w:type="dxa"/>
          </w:tcPr>
          <w:p w14:paraId="3339EFFE" w14:textId="77777777" w:rsidR="00970165" w:rsidRPr="00EA0A06" w:rsidRDefault="00970165" w:rsidP="00B21CF5">
            <w:pPr>
              <w:pStyle w:val="Instructions"/>
            </w:pPr>
            <w:r w:rsidRPr="00EA0A06">
              <w:t>In your Best Interest</w:t>
            </w:r>
          </w:p>
        </w:tc>
        <w:tc>
          <w:tcPr>
            <w:tcW w:w="6798" w:type="dxa"/>
          </w:tcPr>
          <w:p w14:paraId="50B8A2BD" w14:textId="77777777" w:rsidR="00970165" w:rsidRPr="001A22F0" w:rsidRDefault="00970165" w:rsidP="005637FA">
            <w:pPr>
              <w:jc w:val="left"/>
            </w:pPr>
          </w:p>
        </w:tc>
      </w:tr>
      <w:tr w:rsidR="00970165" w:rsidRPr="001A22F0" w14:paraId="28353C7D" w14:textId="77777777" w:rsidTr="005637FA">
        <w:tc>
          <w:tcPr>
            <w:tcW w:w="2754" w:type="dxa"/>
          </w:tcPr>
          <w:p w14:paraId="2350D822" w14:textId="77777777" w:rsidR="00970165" w:rsidRPr="00EA0A06" w:rsidRDefault="00970165" w:rsidP="00B21CF5">
            <w:pPr>
              <w:pStyle w:val="Instructions"/>
            </w:pPr>
            <w:r w:rsidRPr="00EA0A06">
              <w:t>Further Detail</w:t>
            </w:r>
          </w:p>
        </w:tc>
        <w:tc>
          <w:tcPr>
            <w:tcW w:w="6798" w:type="dxa"/>
          </w:tcPr>
          <w:p w14:paraId="74A2BE22" w14:textId="6B0109B7" w:rsidR="002414B5" w:rsidRPr="005F763D" w:rsidRDefault="002414B5" w:rsidP="002414B5">
            <w:pPr>
              <w:jc w:val="left"/>
            </w:pPr>
            <w:r w:rsidRPr="0016266D">
              <w:t>We believe that implementing the recommended Business Expense Insurance cover typically meets your needs/objectives for the following reasons:</w:t>
            </w:r>
          </w:p>
          <w:p w14:paraId="2265024F" w14:textId="77777777" w:rsidR="002414B5" w:rsidRPr="005F763D" w:rsidRDefault="002414B5">
            <w:pPr>
              <w:pStyle w:val="InterPracBullet"/>
              <w:numPr>
                <w:ilvl w:val="0"/>
                <w:numId w:val="111"/>
              </w:numPr>
            </w:pPr>
            <w:r w:rsidRPr="005F763D">
              <w:t>Should you become ill or disabled and unable to run your business, the business will continue to require cash to meet its expenses.  The purpose of business expense cover is to ensure that the business can pay its bills while your disability is assessed and you determine your position with the business moving forward.</w:t>
            </w:r>
          </w:p>
          <w:p w14:paraId="1816502B" w14:textId="77777777" w:rsidR="002414B5" w:rsidRPr="005F763D" w:rsidRDefault="002414B5">
            <w:pPr>
              <w:pStyle w:val="InterPracBullet"/>
              <w:numPr>
                <w:ilvl w:val="0"/>
                <w:numId w:val="111"/>
              </w:numPr>
            </w:pPr>
            <w:r w:rsidRPr="005F763D">
              <w:t>By covering your expenses for one year you will see your business retain its value should you decide that you will be unable to return to the business and wish to sell it.  Should you decide to retain the business it also allows time to recruit staff that will meet your business requirements.</w:t>
            </w:r>
          </w:p>
          <w:p w14:paraId="7A9C900A" w14:textId="77777777" w:rsidR="00970165" w:rsidRDefault="00970165" w:rsidP="005637FA"/>
          <w:p w14:paraId="26EB9623" w14:textId="77777777" w:rsidR="00372E25" w:rsidRPr="005F763D" w:rsidRDefault="00372E25">
            <w:pPr>
              <w:pStyle w:val="InterPracBullet"/>
            </w:pPr>
            <w:r w:rsidRPr="005F763D">
              <w:rPr>
                <w:b/>
              </w:rPr>
              <w:t xml:space="preserve">Level </w:t>
            </w:r>
            <w:commentRangeStart w:id="128"/>
            <w:r w:rsidRPr="005F763D">
              <w:rPr>
                <w:b/>
              </w:rPr>
              <w:t>Premiums</w:t>
            </w:r>
            <w:commentRangeEnd w:id="128"/>
            <w:r w:rsidR="009D7931">
              <w:rPr>
                <w:rStyle w:val="CommentReference"/>
                <w:rFonts w:eastAsia="MS Mincho"/>
                <w:color w:val="auto"/>
                <w:lang w:val="en-AU" w:eastAsia="ja-JP"/>
              </w:rPr>
              <w:commentReference w:id="128"/>
            </w:r>
            <w:r w:rsidRPr="005F763D">
              <w:rPr>
                <w:b/>
              </w:rPr>
              <w:t>:</w:t>
            </w:r>
            <w:r w:rsidRPr="005F763D">
              <w:t xml:space="preserve"> We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7A4944D9" w14:textId="77777777" w:rsidR="00372E25" w:rsidRDefault="00372E25" w:rsidP="005637FA"/>
          <w:p w14:paraId="5B1CCCD7" w14:textId="77777777" w:rsidR="00372E25" w:rsidRPr="005F763D" w:rsidRDefault="00372E25">
            <w:pPr>
              <w:pStyle w:val="InterPracBullet"/>
            </w:pPr>
            <w:r w:rsidRPr="005F763D">
              <w:rPr>
                <w:b/>
              </w:rPr>
              <w:t>Stepped Premiums:</w:t>
            </w:r>
            <w:r w:rsidRPr="005F763D">
              <w:t xml:space="preserve"> We have recommended stepped premiums because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7AEB4026" w14:textId="77777777" w:rsidR="00372E25" w:rsidRPr="005F763D" w:rsidRDefault="00372E25">
            <w:pPr>
              <w:pStyle w:val="InterPracBullet"/>
            </w:pPr>
            <w:r w:rsidRPr="005F763D">
              <w:rPr>
                <w:b/>
                <w:bCs/>
              </w:rPr>
              <w:t xml:space="preserve">Waiting Period: </w:t>
            </w:r>
            <w:r w:rsidRPr="005F763D">
              <w:t>The waiting period specifies the period of time that the Insured must be totally or partially disabled prior to becoming eligible for the monthly benefit amount.</w:t>
            </w:r>
          </w:p>
          <w:p w14:paraId="2E08FAA0" w14:textId="77777777" w:rsidR="00372E25" w:rsidRPr="005F763D" w:rsidRDefault="00372E25">
            <w:pPr>
              <w:pStyle w:val="InterPracBullet"/>
            </w:pPr>
            <w:r w:rsidRPr="005F763D">
              <w:rPr>
                <w:b/>
                <w:bCs/>
              </w:rPr>
              <w:t xml:space="preserve">Benefit Period: </w:t>
            </w:r>
            <w:r w:rsidRPr="005F763D">
              <w:t>The benefit period specifies the period of time that the Insured may be entitled to receive the monthly benefit for a disability arising from the one cause or a number of related causes.</w:t>
            </w:r>
          </w:p>
          <w:p w14:paraId="217228B4" w14:textId="77777777" w:rsidR="00372E25" w:rsidRDefault="00372E25" w:rsidP="005637FA"/>
          <w:p w14:paraId="35491071" w14:textId="77777777" w:rsidR="00372E25" w:rsidRPr="005F763D" w:rsidRDefault="00372E25">
            <w:pPr>
              <w:pStyle w:val="InterPracBullet"/>
            </w:pPr>
            <w:r w:rsidRPr="005F763D">
              <w:rPr>
                <w:b/>
                <w:bCs/>
              </w:rPr>
              <w:t xml:space="preserve">Basic Cover: </w:t>
            </w:r>
            <w:r w:rsidRPr="005F763D">
              <w:t>Provides you with the most basic cover available.</w:t>
            </w:r>
          </w:p>
          <w:p w14:paraId="39C314C4" w14:textId="77777777" w:rsidR="00372E25" w:rsidRPr="005F763D" w:rsidRDefault="00372E25">
            <w:pPr>
              <w:pStyle w:val="InterPracBullet"/>
            </w:pPr>
            <w:r w:rsidRPr="005F763D">
              <w:rPr>
                <w:b/>
                <w:bCs/>
              </w:rPr>
              <w:t xml:space="preserve">Comprehensive Cover: </w:t>
            </w:r>
            <w:r w:rsidRPr="005F763D">
              <w:t>Provides you with the most comprehensive cover available.</w:t>
            </w:r>
          </w:p>
          <w:p w14:paraId="0DB03E70" w14:textId="77777777" w:rsidR="00372E25" w:rsidRDefault="00372E25" w:rsidP="005637FA"/>
          <w:p w14:paraId="3E525934" w14:textId="77777777" w:rsidR="009B6A9F" w:rsidRPr="005F763D" w:rsidRDefault="009B6A9F">
            <w:pPr>
              <w:pStyle w:val="InterPracBullet"/>
            </w:pPr>
            <w:r w:rsidRPr="005F763D">
              <w:rPr>
                <w:b/>
                <w:bCs/>
              </w:rPr>
              <w:t xml:space="preserve">Agreed Value: </w:t>
            </w:r>
            <w:r w:rsidRPr="005F763D">
              <w:t>With agreed value, you are paid a monthly sum settled at the time you take out insurance. Indemnity cover is about 20 per cent cheaper than agreed value, but it's also probably about 20 per cent riskier, particularly if you are self-employed.</w:t>
            </w:r>
          </w:p>
          <w:p w14:paraId="77634685" w14:textId="77777777" w:rsidR="009B6A9F" w:rsidRDefault="009B6A9F" w:rsidP="005637FA"/>
          <w:p w14:paraId="1582B28B" w14:textId="77777777" w:rsidR="009B6A9F" w:rsidRPr="005F763D" w:rsidRDefault="009B6A9F">
            <w:pPr>
              <w:pStyle w:val="InterPracBullet"/>
            </w:pPr>
            <w:r w:rsidRPr="005F763D">
              <w:rPr>
                <w:b/>
                <w:bCs/>
              </w:rPr>
              <w:t xml:space="preserve">Indemnity: </w:t>
            </w:r>
            <w:r w:rsidRPr="005F763D">
              <w:t>With indemnity cover, the income paid is determined at the time the claim is made. This could work in your favour, but it can equally work against you. If your health has been steadily declining and your customers – and in turn your income – have been declining too, you will only be paid on your reduced income.</w:t>
            </w:r>
          </w:p>
          <w:p w14:paraId="5346E98D" w14:textId="77777777" w:rsidR="009B6A9F" w:rsidRDefault="009B6A9F" w:rsidP="005637FA"/>
          <w:p w14:paraId="739E9FCF" w14:textId="35A6D04F" w:rsidR="009B6A9F" w:rsidRDefault="001C4CF0" w:rsidP="005637FA">
            <w:r w:rsidRPr="005F763D">
              <w:rPr>
                <w:b/>
              </w:rPr>
              <w:t>Increasing</w:t>
            </w:r>
            <w:r w:rsidRPr="005F763D">
              <w:rPr>
                <w:b/>
                <w:bCs/>
              </w:rPr>
              <w:t xml:space="preserve"> Claims Benefit: </w:t>
            </w:r>
            <w:r w:rsidRPr="005F763D">
              <w:t xml:space="preserve">In the event of a </w:t>
            </w:r>
            <w:r w:rsidR="00E50F9C" w:rsidRPr="005F763D">
              <w:t>long-term</w:t>
            </w:r>
            <w:r w:rsidRPr="005F763D">
              <w:t xml:space="preserve"> payment, the payment will be increase according to CPI.</w:t>
            </w:r>
          </w:p>
          <w:p w14:paraId="20B337A9" w14:textId="77777777" w:rsidR="001C4CF0" w:rsidRDefault="001C4CF0" w:rsidP="005637FA"/>
          <w:p w14:paraId="0B7B62BD" w14:textId="77777777" w:rsidR="001C4CF0" w:rsidRPr="005F763D" w:rsidRDefault="001C4CF0" w:rsidP="001C4CF0">
            <w:pPr>
              <w:jc w:val="left"/>
            </w:pPr>
            <w:r w:rsidRPr="005F763D">
              <w:t>Before proceeding, you should consider the following:</w:t>
            </w:r>
          </w:p>
          <w:p w14:paraId="17879FD7" w14:textId="77777777" w:rsidR="001C4CF0" w:rsidRPr="005F763D" w:rsidRDefault="001C4CF0">
            <w:pPr>
              <w:pStyle w:val="InterPracBullet"/>
              <w:numPr>
                <w:ilvl w:val="0"/>
                <w:numId w:val="112"/>
              </w:numPr>
            </w:pPr>
            <w:r w:rsidRPr="005F763D">
              <w:t>Your insurance needs should be reviewed regularly.</w:t>
            </w:r>
          </w:p>
          <w:p w14:paraId="490BC7E6" w14:textId="77777777" w:rsidR="001C4CF0" w:rsidRPr="005F763D" w:rsidRDefault="001C4CF0">
            <w:pPr>
              <w:pStyle w:val="InterPracBullet"/>
              <w:numPr>
                <w:ilvl w:val="0"/>
                <w:numId w:val="112"/>
              </w:numPr>
            </w:pPr>
            <w:r w:rsidRPr="005F763D">
              <w:t>The premiums quoted may vary depending upon your family history and personal situation.</w:t>
            </w:r>
          </w:p>
          <w:p w14:paraId="6400941D" w14:textId="77777777" w:rsidR="001C4CF0" w:rsidRPr="005F763D" w:rsidRDefault="001C4CF0">
            <w:pPr>
              <w:pStyle w:val="InterPracBullet"/>
              <w:numPr>
                <w:ilvl w:val="0"/>
                <w:numId w:val="112"/>
              </w:numPr>
            </w:pPr>
            <w:r w:rsidRPr="005F763D">
              <w:t>The insurer will require you to complete a personal statement.  The insurer may also request additional information once the personal statement has been provided.</w:t>
            </w:r>
          </w:p>
          <w:p w14:paraId="053EFEB2" w14:textId="77777777" w:rsidR="001C4CF0" w:rsidRPr="005F763D" w:rsidRDefault="001C4CF0">
            <w:pPr>
              <w:pStyle w:val="InterPracBullet"/>
              <w:numPr>
                <w:ilvl w:val="0"/>
                <w:numId w:val="112"/>
              </w:numPr>
            </w:pPr>
            <w:r w:rsidRPr="005F763D">
              <w:t>There may be exclusions for specific activities or illnesses depending upon your family history or personal situation.</w:t>
            </w:r>
          </w:p>
          <w:p w14:paraId="5CBDA431" w14:textId="77777777" w:rsidR="001C4CF0" w:rsidRPr="005F763D" w:rsidRDefault="001C4CF0">
            <w:pPr>
              <w:pStyle w:val="InterPracBullet"/>
              <w:numPr>
                <w:ilvl w:val="0"/>
                <w:numId w:val="112"/>
              </w:numPr>
            </w:pPr>
            <w:r w:rsidRPr="005F763D">
              <w:t>Your insurance does not commence until the insurer has completed their assessment and issued the insurance policy.</w:t>
            </w:r>
          </w:p>
          <w:p w14:paraId="6F804DCA" w14:textId="2C46518C" w:rsidR="001C4CF0" w:rsidRPr="001A22F0" w:rsidRDefault="001C4CF0" w:rsidP="005637FA"/>
        </w:tc>
      </w:tr>
    </w:tbl>
    <w:p w14:paraId="0B2C3D71" w14:textId="77777777" w:rsidR="00970165" w:rsidRPr="005F763D" w:rsidRDefault="00970165" w:rsidP="008C7CE9">
      <w:pPr>
        <w:jc w:val="left"/>
      </w:pPr>
    </w:p>
    <w:p w14:paraId="4FB5F16F" w14:textId="76130902" w:rsidR="007F606A" w:rsidRPr="005F763D" w:rsidRDefault="007F606A">
      <w:pPr>
        <w:pStyle w:val="InterPracBullet"/>
      </w:pPr>
    </w:p>
    <w:p w14:paraId="11FC008D" w14:textId="77777777" w:rsidR="007F606A" w:rsidRPr="005F763D" w:rsidRDefault="007F606A" w:rsidP="008C7CE9">
      <w:pPr>
        <w:jc w:val="left"/>
      </w:pPr>
    </w:p>
    <w:p w14:paraId="316635D8" w14:textId="77777777" w:rsidR="00224D18" w:rsidRPr="005F763D" w:rsidRDefault="00224D18" w:rsidP="008C7CE9">
      <w:pPr>
        <w:jc w:val="left"/>
        <w:rPr>
          <w:rFonts w:cs="Calibri"/>
        </w:rPr>
      </w:pPr>
    </w:p>
    <w:p w14:paraId="392C7CD5" w14:textId="77777777" w:rsidR="00484E0C" w:rsidRPr="005F763D" w:rsidRDefault="009E778F" w:rsidP="008C7CE9">
      <w:pPr>
        <w:jc w:val="left"/>
        <w:rPr>
          <w:rFonts w:cs="Calibri"/>
        </w:rPr>
      </w:pPr>
      <w:r w:rsidRPr="005F763D">
        <w:rPr>
          <w:rFonts w:cs="Calibri"/>
        </w:rPr>
        <w:br w:type="page"/>
      </w:r>
    </w:p>
    <w:p w14:paraId="3BCE446F" w14:textId="77777777" w:rsidR="00042756" w:rsidRDefault="00042756" w:rsidP="00F348D9">
      <w:pPr>
        <w:pStyle w:val="Heading1"/>
        <w:sectPr w:rsidR="00042756" w:rsidSect="00010E11">
          <w:type w:val="continuous"/>
          <w:pgSz w:w="11906" w:h="16838" w:code="9"/>
          <w:pgMar w:top="1134" w:right="566" w:bottom="426" w:left="709" w:header="567" w:footer="95" w:gutter="0"/>
          <w:cols w:space="708"/>
          <w:docGrid w:linePitch="360"/>
        </w:sectPr>
      </w:pPr>
      <w:bookmarkStart w:id="129" w:name="_Toc240953409"/>
      <w:bookmarkStart w:id="130" w:name="_Toc243122910"/>
      <w:bookmarkStart w:id="131" w:name="_Toc260306642"/>
      <w:bookmarkStart w:id="132" w:name="_Toc377642880"/>
    </w:p>
    <w:p w14:paraId="7ABDB74A" w14:textId="38A20CB5" w:rsidR="00B920BB" w:rsidRPr="00F273E8" w:rsidRDefault="00B920BB" w:rsidP="0008751D">
      <w:pPr>
        <w:pStyle w:val="Heading2"/>
      </w:pPr>
      <w:bookmarkStart w:id="133" w:name="_Toc46236039"/>
      <w:r w:rsidRPr="00F273E8">
        <w:lastRenderedPageBreak/>
        <w:t>Investment Recommendations</w:t>
      </w:r>
      <w:bookmarkEnd w:id="129"/>
      <w:bookmarkEnd w:id="130"/>
      <w:bookmarkEnd w:id="131"/>
      <w:bookmarkEnd w:id="132"/>
      <w:bookmarkEnd w:id="133"/>
    </w:p>
    <w:p w14:paraId="0B754E95" w14:textId="38E3AFE5" w:rsidR="008D1B24" w:rsidRDefault="008D1B24" w:rsidP="008D1B24">
      <w:bookmarkStart w:id="134" w:name="_Toc377642881"/>
    </w:p>
    <w:p w14:paraId="0D827B1E" w14:textId="68101B6D" w:rsidR="00106E56" w:rsidRPr="00E56EC2" w:rsidRDefault="00106E56" w:rsidP="00106E56">
      <w:pPr>
        <w:jc w:val="left"/>
        <w:rPr>
          <w:color w:val="002060"/>
          <w:sz w:val="24"/>
        </w:rPr>
      </w:pPr>
      <w:r w:rsidRPr="0016266D">
        <w:rPr>
          <w:color w:val="002060"/>
          <w:sz w:val="24"/>
        </w:rPr>
        <w:t>Consolidate Existing Investment Accounts</w:t>
      </w:r>
    </w:p>
    <w:p w14:paraId="61B9F83A" w14:textId="77777777" w:rsidR="00106E56" w:rsidRDefault="00106E56" w:rsidP="00106E56">
      <w:pPr>
        <w:jc w:val="left"/>
      </w:pPr>
    </w:p>
    <w:tbl>
      <w:tblPr>
        <w:tblW w:w="0" w:type="auto"/>
        <w:tblInd w:w="76" w:type="dxa"/>
        <w:tblLook w:val="04A0" w:firstRow="1" w:lastRow="0" w:firstColumn="1" w:lastColumn="0" w:noHBand="0" w:noVBand="1"/>
      </w:tblPr>
      <w:tblGrid>
        <w:gridCol w:w="2754"/>
        <w:gridCol w:w="6798"/>
      </w:tblGrid>
      <w:tr w:rsidR="00106E56" w:rsidRPr="00E51BEA" w14:paraId="26ED3052" w14:textId="77777777" w:rsidTr="00106E56">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674AA1A" w14:textId="77777777" w:rsidR="00106E56" w:rsidRPr="00AA2CC6" w:rsidRDefault="00106E56" w:rsidP="00106E56">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4AE89E7" w14:textId="77777777" w:rsidR="00106E56" w:rsidRPr="00E51BEA" w:rsidRDefault="00106E56" w:rsidP="00106E56">
            <w:pPr>
              <w:pStyle w:val="TableHeader2"/>
              <w:rPr>
                <w:rFonts w:ascii="Calibri Light" w:hAnsi="Calibri Light"/>
              </w:rPr>
            </w:pPr>
          </w:p>
        </w:tc>
      </w:tr>
      <w:tr w:rsidR="00106E56" w:rsidRPr="0088114A" w14:paraId="78B0F9CD"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463859D" w14:textId="77777777" w:rsidR="00106E56" w:rsidRPr="00E87AAA" w:rsidRDefault="00106E56" w:rsidP="00B21CF5">
            <w:pPr>
              <w:pStyle w:val="Instructions"/>
            </w:pPr>
            <w:r w:rsidRPr="00E87AAA">
              <w:t>Title</w:t>
            </w:r>
          </w:p>
        </w:tc>
        <w:tc>
          <w:tcPr>
            <w:tcW w:w="6798" w:type="dxa"/>
            <w:shd w:val="clear" w:color="auto" w:fill="auto"/>
          </w:tcPr>
          <w:p w14:paraId="2909D159" w14:textId="3684CE99" w:rsidR="00106E56" w:rsidRPr="0088114A" w:rsidRDefault="00106E56" w:rsidP="00106E56">
            <w:pPr>
              <w:spacing w:before="120"/>
            </w:pPr>
            <w:r>
              <w:t>Consolidate your existing Investments</w:t>
            </w:r>
          </w:p>
        </w:tc>
      </w:tr>
      <w:tr w:rsidR="00106E56" w:rsidRPr="0088114A" w14:paraId="28E001CE"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6C2FB3" w14:textId="77777777" w:rsidR="00106E56" w:rsidRPr="00E87AAA" w:rsidRDefault="00106E56" w:rsidP="00B21CF5">
            <w:pPr>
              <w:pStyle w:val="Instructions"/>
            </w:pPr>
            <w:r w:rsidRPr="00E87AAA">
              <w:t>Explanation</w:t>
            </w:r>
          </w:p>
        </w:tc>
        <w:tc>
          <w:tcPr>
            <w:tcW w:w="6798" w:type="dxa"/>
            <w:shd w:val="clear" w:color="auto" w:fill="auto"/>
          </w:tcPr>
          <w:p w14:paraId="296EB42E" w14:textId="3F2B98DE" w:rsidR="00106E56" w:rsidRDefault="00106E56" w:rsidP="00106E56">
            <w:pPr>
              <w:spacing w:before="120"/>
              <w:rPr>
                <w:color w:val="7030A0"/>
                <w:highlight w:val="yellow"/>
              </w:rPr>
            </w:pPr>
            <w:r>
              <w:t>We recommend you transfer</w:t>
            </w:r>
            <w:r w:rsidRPr="00BB3CB4">
              <w:t xml:space="preserve"> </w:t>
            </w:r>
            <w:r>
              <w:t xml:space="preserve">these investments into the </w:t>
            </w:r>
            <w:r w:rsidRPr="004C1CC1">
              <w:rPr>
                <w:color w:val="7030A0"/>
                <w:highlight w:val="yellow"/>
              </w:rPr>
              <w:t>[</w:t>
            </w:r>
            <w:r>
              <w:rPr>
                <w:color w:val="7030A0"/>
                <w:highlight w:val="yellow"/>
              </w:rPr>
              <w:t>Investment Product</w:t>
            </w:r>
            <w:r w:rsidRPr="004C1CC1">
              <w:rPr>
                <w:color w:val="7030A0"/>
                <w:highlight w:val="yellow"/>
              </w:rPr>
              <w:t>]</w:t>
            </w:r>
            <w:r>
              <w:rPr>
                <w:color w:val="7030A0"/>
                <w:highlight w:val="yellow"/>
              </w:rPr>
              <w:t>:</w:t>
            </w:r>
          </w:p>
          <w:p w14:paraId="17030D7F" w14:textId="77777777" w:rsidR="00106E56" w:rsidRPr="005F763D" w:rsidRDefault="00106E56" w:rsidP="00106E56">
            <w:pPr>
              <w:pStyle w:val="Normal5ptAfter"/>
            </w:pPr>
          </w:p>
          <w:tbl>
            <w:tblPr>
              <w:tblW w:w="4353" w:type="pct"/>
              <w:tblBorders>
                <w:insideV w:val="single" w:sz="4" w:space="0" w:color="808080"/>
              </w:tblBorders>
              <w:tblLook w:val="04A0" w:firstRow="1" w:lastRow="0" w:firstColumn="1" w:lastColumn="0" w:noHBand="0" w:noVBand="1"/>
            </w:tblPr>
            <w:tblGrid>
              <w:gridCol w:w="4287"/>
              <w:gridCol w:w="1417"/>
            </w:tblGrid>
            <w:tr w:rsidR="00106E56" w:rsidRPr="005F763D" w14:paraId="33AE0761" w14:textId="77777777" w:rsidTr="00106E56">
              <w:tc>
                <w:tcPr>
                  <w:tcW w:w="3758" w:type="pct"/>
                  <w:tcBorders>
                    <w:top w:val="single" w:sz="4" w:space="0" w:color="808080"/>
                    <w:bottom w:val="single" w:sz="4" w:space="0" w:color="808080"/>
                    <w:right w:val="single" w:sz="24" w:space="0" w:color="FFFFFF"/>
                  </w:tcBorders>
                  <w:shd w:val="clear" w:color="auto" w:fill="BFBFBF"/>
                </w:tcPr>
                <w:p w14:paraId="6B29913C" w14:textId="77777777" w:rsidR="00106E56" w:rsidRPr="005F763D" w:rsidRDefault="00106E56" w:rsidP="00106E56">
                  <w:pPr>
                    <w:pStyle w:val="TableHeader2"/>
                    <w:rPr>
                      <w:rFonts w:ascii="Calibri" w:hAnsi="Calibri"/>
                    </w:rPr>
                  </w:pPr>
                  <w:r w:rsidRPr="005F763D">
                    <w:rPr>
                      <w:rFonts w:ascii="Calibri" w:hAnsi="Calibri"/>
                    </w:rPr>
                    <w:t>Redeemed Fund</w:t>
                  </w:r>
                </w:p>
              </w:tc>
              <w:tc>
                <w:tcPr>
                  <w:tcW w:w="1242" w:type="pct"/>
                  <w:tcBorders>
                    <w:top w:val="single" w:sz="4" w:space="0" w:color="808080"/>
                    <w:left w:val="single" w:sz="24" w:space="0" w:color="FFFFFF"/>
                    <w:bottom w:val="single" w:sz="4" w:space="0" w:color="808080"/>
                    <w:right w:val="single" w:sz="24" w:space="0" w:color="FFFFFF"/>
                  </w:tcBorders>
                  <w:shd w:val="clear" w:color="auto" w:fill="BFBFBF"/>
                </w:tcPr>
                <w:p w14:paraId="34B58B4E" w14:textId="77777777" w:rsidR="00106E56" w:rsidRPr="005F763D" w:rsidRDefault="00106E56" w:rsidP="00106E56">
                  <w:pPr>
                    <w:pStyle w:val="TableHeader2-Centre"/>
                    <w:rPr>
                      <w:rFonts w:ascii="Calibri" w:hAnsi="Calibri"/>
                    </w:rPr>
                  </w:pPr>
                  <w:r w:rsidRPr="005F763D">
                    <w:rPr>
                      <w:rFonts w:ascii="Calibri" w:hAnsi="Calibri"/>
                    </w:rPr>
                    <w:t>Value</w:t>
                  </w:r>
                </w:p>
              </w:tc>
            </w:tr>
            <w:tr w:rsidR="00106E56" w:rsidRPr="005F763D" w14:paraId="2CAE0C9D" w14:textId="77777777" w:rsidTr="00106E56">
              <w:tc>
                <w:tcPr>
                  <w:tcW w:w="3758" w:type="pct"/>
                  <w:tcBorders>
                    <w:top w:val="single" w:sz="4" w:space="0" w:color="808080"/>
                    <w:bottom w:val="single" w:sz="4" w:space="0" w:color="808080"/>
                    <w:right w:val="single" w:sz="24" w:space="0" w:color="FFFFFF"/>
                  </w:tcBorders>
                </w:tcPr>
                <w:p w14:paraId="365DD820"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49390CD4" w14:textId="77777777" w:rsidR="00106E56" w:rsidRPr="005F763D" w:rsidRDefault="00106E56" w:rsidP="000D6E4F">
                  <w:pPr>
                    <w:pStyle w:val="TableText-Right"/>
                    <w:rPr>
                      <w:rFonts w:ascii="Calibri" w:hAnsi="Calibri"/>
                    </w:rPr>
                  </w:pPr>
                  <w:r w:rsidRPr="005F763D">
                    <w:t>$___,___</w:t>
                  </w:r>
                </w:p>
              </w:tc>
            </w:tr>
            <w:tr w:rsidR="00106E56" w:rsidRPr="005F763D" w14:paraId="35B579EF" w14:textId="77777777" w:rsidTr="00106E56">
              <w:tc>
                <w:tcPr>
                  <w:tcW w:w="3758" w:type="pct"/>
                  <w:tcBorders>
                    <w:top w:val="single" w:sz="4" w:space="0" w:color="808080"/>
                    <w:bottom w:val="single" w:sz="4" w:space="0" w:color="808080"/>
                    <w:right w:val="single" w:sz="24" w:space="0" w:color="FFFFFF"/>
                  </w:tcBorders>
                </w:tcPr>
                <w:p w14:paraId="2C26B695"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643739E9" w14:textId="77777777" w:rsidR="00106E56" w:rsidRPr="005F763D" w:rsidRDefault="00106E56" w:rsidP="000D6E4F">
                  <w:pPr>
                    <w:pStyle w:val="TableText-Right"/>
                    <w:rPr>
                      <w:rFonts w:ascii="Calibri" w:hAnsi="Calibri"/>
                    </w:rPr>
                  </w:pPr>
                  <w:r w:rsidRPr="005F763D">
                    <w:t>$___,___</w:t>
                  </w:r>
                </w:p>
              </w:tc>
            </w:tr>
            <w:tr w:rsidR="00106E56" w:rsidRPr="005F763D" w14:paraId="2E9F5C3D" w14:textId="77777777" w:rsidTr="00106E56">
              <w:tc>
                <w:tcPr>
                  <w:tcW w:w="3758" w:type="pct"/>
                  <w:tcBorders>
                    <w:top w:val="single" w:sz="4" w:space="0" w:color="808080"/>
                    <w:bottom w:val="single" w:sz="4" w:space="0" w:color="808080"/>
                    <w:right w:val="single" w:sz="24" w:space="0" w:color="FFFFFF"/>
                  </w:tcBorders>
                </w:tcPr>
                <w:p w14:paraId="0E139AF2"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212BF694" w14:textId="77777777" w:rsidR="00106E56" w:rsidRPr="005F763D" w:rsidRDefault="00106E56" w:rsidP="000D6E4F">
                  <w:pPr>
                    <w:pStyle w:val="TableText-Right"/>
                    <w:rPr>
                      <w:rFonts w:ascii="Calibri" w:hAnsi="Calibri"/>
                    </w:rPr>
                  </w:pPr>
                  <w:r w:rsidRPr="005F763D">
                    <w:t>$___,___</w:t>
                  </w:r>
                </w:p>
              </w:tc>
            </w:tr>
            <w:tr w:rsidR="00106E56" w:rsidRPr="005F763D" w14:paraId="2D292648" w14:textId="77777777" w:rsidTr="00106E56">
              <w:tc>
                <w:tcPr>
                  <w:tcW w:w="3758" w:type="pct"/>
                  <w:tcBorders>
                    <w:top w:val="single" w:sz="4" w:space="0" w:color="808080"/>
                    <w:bottom w:val="single" w:sz="4" w:space="0" w:color="808080"/>
                    <w:right w:val="single" w:sz="24" w:space="0" w:color="FFFFFF"/>
                  </w:tcBorders>
                </w:tcPr>
                <w:p w14:paraId="32A26D26"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1C420E3E" w14:textId="77777777" w:rsidR="00106E56" w:rsidRPr="005F763D" w:rsidRDefault="00106E56" w:rsidP="000D6E4F">
                  <w:pPr>
                    <w:pStyle w:val="TableText-Right"/>
                    <w:rPr>
                      <w:rFonts w:ascii="Calibri" w:hAnsi="Calibri"/>
                    </w:rPr>
                  </w:pPr>
                  <w:r w:rsidRPr="005F763D">
                    <w:t>$___,___</w:t>
                  </w:r>
                </w:p>
              </w:tc>
            </w:tr>
            <w:tr w:rsidR="00106E56" w:rsidRPr="005F763D" w14:paraId="70571113" w14:textId="77777777" w:rsidTr="00106E56">
              <w:tc>
                <w:tcPr>
                  <w:tcW w:w="3758" w:type="pct"/>
                  <w:tcBorders>
                    <w:top w:val="single" w:sz="4" w:space="0" w:color="808080"/>
                    <w:right w:val="single" w:sz="24" w:space="0" w:color="FFFFFF"/>
                  </w:tcBorders>
                  <w:shd w:val="clear" w:color="auto" w:fill="auto"/>
                </w:tcPr>
                <w:p w14:paraId="1EAE761E" w14:textId="77777777" w:rsidR="00106E56" w:rsidRPr="005F763D" w:rsidRDefault="00106E56" w:rsidP="000D6E4F">
                  <w:pPr>
                    <w:pStyle w:val="TableText-RightBold"/>
                  </w:pPr>
                  <w:r w:rsidRPr="005F763D">
                    <w:t>Total</w:t>
                  </w:r>
                </w:p>
              </w:tc>
              <w:tc>
                <w:tcPr>
                  <w:tcW w:w="1242" w:type="pct"/>
                  <w:tcBorders>
                    <w:top w:val="single" w:sz="4" w:space="0" w:color="808080"/>
                    <w:left w:val="single" w:sz="24" w:space="0" w:color="FFFFFF"/>
                    <w:bottom w:val="single" w:sz="4" w:space="0" w:color="808080"/>
                    <w:right w:val="single" w:sz="24" w:space="0" w:color="FFFFFF"/>
                  </w:tcBorders>
                  <w:shd w:val="clear" w:color="auto" w:fill="D9D9D9"/>
                </w:tcPr>
                <w:p w14:paraId="25F62E33" w14:textId="77777777" w:rsidR="00106E56" w:rsidRPr="005F763D" w:rsidRDefault="00106E56" w:rsidP="000D6E4F">
                  <w:pPr>
                    <w:pStyle w:val="TableText-RightBold"/>
                  </w:pPr>
                  <w:r w:rsidRPr="005F763D">
                    <w:t>$___,___</w:t>
                  </w:r>
                </w:p>
              </w:tc>
            </w:tr>
          </w:tbl>
          <w:p w14:paraId="5736E8BB" w14:textId="77777777" w:rsidR="00106E56" w:rsidRPr="005F763D" w:rsidRDefault="00106E56" w:rsidP="00106E56"/>
          <w:p w14:paraId="708B3E40" w14:textId="77777777" w:rsidR="00106E56" w:rsidRPr="00BB3CB4" w:rsidRDefault="00106E56" w:rsidP="00106E56">
            <w:pPr>
              <w:spacing w:before="120"/>
            </w:pPr>
          </w:p>
        </w:tc>
      </w:tr>
      <w:tr w:rsidR="00106E56" w:rsidRPr="00E87AAA" w14:paraId="0BB9A7D4"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4B20CAF" w14:textId="77777777" w:rsidR="00106E56" w:rsidRPr="00E87AAA" w:rsidRDefault="00106E56" w:rsidP="00B21CF5">
            <w:pPr>
              <w:pStyle w:val="Instructions"/>
            </w:pPr>
            <w:r w:rsidRPr="00E87AAA">
              <w:t>In your Best Interest</w:t>
            </w:r>
          </w:p>
        </w:tc>
        <w:tc>
          <w:tcPr>
            <w:tcW w:w="6798" w:type="dxa"/>
            <w:shd w:val="clear" w:color="auto" w:fill="auto"/>
          </w:tcPr>
          <w:p w14:paraId="2D9D6F0A" w14:textId="77777777" w:rsidR="00106E56" w:rsidRPr="00BB3CB4" w:rsidRDefault="00106E56" w:rsidP="00106E56">
            <w:pPr>
              <w:spacing w:before="120"/>
            </w:pPr>
          </w:p>
        </w:tc>
      </w:tr>
      <w:tr w:rsidR="00106E56" w:rsidRPr="00E87AAA" w14:paraId="546A9171"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6837A5" w14:textId="77777777" w:rsidR="00106E56" w:rsidRPr="00E87AAA" w:rsidRDefault="00106E56" w:rsidP="00B21CF5">
            <w:pPr>
              <w:pStyle w:val="Instructions"/>
            </w:pPr>
            <w:r>
              <w:t>Further Detail</w:t>
            </w:r>
          </w:p>
        </w:tc>
        <w:tc>
          <w:tcPr>
            <w:tcW w:w="6798" w:type="dxa"/>
            <w:shd w:val="clear" w:color="auto" w:fill="auto"/>
          </w:tcPr>
          <w:p w14:paraId="752BA7A7" w14:textId="17575B0F" w:rsidR="00106E56" w:rsidRPr="005F763D" w:rsidRDefault="00106E56" w:rsidP="00106E56">
            <w:pPr>
              <w:jc w:val="left"/>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E50F9C">
              <w:rPr>
                <w:color w:val="FF0000"/>
              </w:rPr>
              <w:t>]</w:t>
            </w:r>
            <w:r w:rsidR="00E50F9C" w:rsidRPr="005F763D">
              <w:t>, consolidating</w:t>
            </w:r>
            <w:r w:rsidR="00E50F9C">
              <w:t xml:space="preserve"> </w:t>
            </w:r>
            <w:r w:rsidR="00E50F9C" w:rsidRPr="00D8052E">
              <w:t>funds</w:t>
            </w:r>
            <w:r w:rsidRPr="00D8052E">
              <w:t xml:space="preserve"> into the</w:t>
            </w:r>
            <w:r>
              <w:t xml:space="preserve"> </w:t>
            </w:r>
            <w:r w:rsidR="00E50F9C">
              <w:t>one</w:t>
            </w:r>
            <w:r w:rsidR="00E50F9C" w:rsidRPr="00D8052E">
              <w:t xml:space="preserve"> platform</w:t>
            </w:r>
            <w:r w:rsidRPr="00D8052E">
              <w:t>, can typically have the following benefits:</w:t>
            </w:r>
          </w:p>
          <w:p w14:paraId="26CBB578" w14:textId="77777777" w:rsidR="00106E56" w:rsidRPr="005F763D" w:rsidRDefault="00106E56">
            <w:pPr>
              <w:pStyle w:val="InterPracBullet"/>
              <w:numPr>
                <w:ilvl w:val="0"/>
                <w:numId w:val="98"/>
              </w:numPr>
            </w:pPr>
            <w:r w:rsidRPr="005F763D">
              <w:t>The recommended fund offers a much wider range of managed investment options and access to direct shares.</w:t>
            </w:r>
          </w:p>
          <w:p w14:paraId="6FFD838C" w14:textId="77777777" w:rsidR="00106E56" w:rsidRPr="005F763D" w:rsidRDefault="00106E56">
            <w:pPr>
              <w:pStyle w:val="InterPracBullet"/>
              <w:numPr>
                <w:ilvl w:val="0"/>
                <w:numId w:val="98"/>
              </w:numPr>
            </w:pPr>
            <w:r w:rsidRPr="005F763D">
              <w:t>The recommended fund offers lower ongoing fees than your existing fund.</w:t>
            </w:r>
          </w:p>
          <w:p w14:paraId="6BAC9295" w14:textId="5EBCEDDB" w:rsidR="00106E56" w:rsidRPr="005F763D" w:rsidRDefault="00C36752">
            <w:pPr>
              <w:pStyle w:val="InterPracBullet"/>
              <w:numPr>
                <w:ilvl w:val="0"/>
                <w:numId w:val="98"/>
              </w:numPr>
            </w:pPr>
            <w:r>
              <w:rPr>
                <w:lang w:val="en-AU"/>
              </w:rPr>
              <w:t>R</w:t>
            </w:r>
            <w:proofErr w:type="spellStart"/>
            <w:r w:rsidR="00106E56" w:rsidRPr="005F763D">
              <w:t>educe</w:t>
            </w:r>
            <w:proofErr w:type="spellEnd"/>
            <w:r w:rsidR="00106E56" w:rsidRPr="005F763D">
              <w:t xml:space="preserve"> the total ongoing management fees charged on your </w:t>
            </w:r>
            <w:r w:rsidR="00E50F9C" w:rsidRPr="005F763D">
              <w:t>total benefits</w:t>
            </w:r>
            <w:r w:rsidR="00106E56" w:rsidRPr="005F763D">
              <w:t>.</w:t>
            </w:r>
          </w:p>
          <w:p w14:paraId="568060BA" w14:textId="77777777" w:rsidR="00106E56" w:rsidRPr="005F763D" w:rsidRDefault="00106E56">
            <w:pPr>
              <w:pStyle w:val="InterPracBullet"/>
              <w:numPr>
                <w:ilvl w:val="0"/>
                <w:numId w:val="98"/>
              </w:numPr>
            </w:pPr>
            <w:r w:rsidRPr="005F763D">
              <w:t>You consolidate your superannuation benefits for ease of administration.</w:t>
            </w:r>
          </w:p>
          <w:p w14:paraId="160BB07D" w14:textId="1EA9824C" w:rsidR="00106E56" w:rsidRPr="005F763D" w:rsidRDefault="00106E56">
            <w:pPr>
              <w:pStyle w:val="InterPracBullet"/>
              <w:numPr>
                <w:ilvl w:val="0"/>
                <w:numId w:val="98"/>
              </w:numPr>
            </w:pPr>
            <w:r w:rsidRPr="005F763D">
              <w:t xml:space="preserve">Your </w:t>
            </w:r>
            <w:r w:rsidR="00C36752">
              <w:rPr>
                <w:lang w:val="en-AU"/>
              </w:rPr>
              <w:t xml:space="preserve">aggregate </w:t>
            </w:r>
            <w:r w:rsidRPr="005F763D">
              <w:t>benefits will be invested in accordance with your risk profile to achieve your financial goals.</w:t>
            </w:r>
          </w:p>
          <w:p w14:paraId="597E7AFC" w14:textId="77777777" w:rsidR="00106E56" w:rsidRDefault="00106E56" w:rsidP="00106E56">
            <w:pPr>
              <w:jc w:val="left"/>
            </w:pPr>
          </w:p>
          <w:p w14:paraId="6440EBA3" w14:textId="77777777" w:rsidR="00106E56" w:rsidRDefault="00106E56" w:rsidP="00106E56">
            <w:pPr>
              <w:jc w:val="left"/>
              <w:rPr>
                <w:b/>
                <w:i/>
              </w:rPr>
            </w:pPr>
            <w:r w:rsidRPr="005F763D">
              <w:t>Before proceeding you should note the following:</w:t>
            </w:r>
          </w:p>
          <w:p w14:paraId="7DA8EA11" w14:textId="77777777" w:rsidR="00106E56" w:rsidRPr="005F763D" w:rsidRDefault="00106E56">
            <w:pPr>
              <w:pStyle w:val="InterPracBullet"/>
              <w:numPr>
                <w:ilvl w:val="0"/>
                <w:numId w:val="98"/>
              </w:numPr>
            </w:pPr>
            <w:r w:rsidRPr="005F763D">
              <w:t>Upfront, ongoing and exit fees;</w:t>
            </w:r>
          </w:p>
          <w:p w14:paraId="54289665" w14:textId="77777777" w:rsidR="00106E56" w:rsidRPr="005F763D" w:rsidRDefault="00106E56">
            <w:pPr>
              <w:pStyle w:val="InterPracBullet"/>
              <w:numPr>
                <w:ilvl w:val="0"/>
                <w:numId w:val="98"/>
              </w:numPr>
            </w:pPr>
            <w:r w:rsidRPr="005F763D">
              <w:t>Buy/Sell costs;</w:t>
            </w:r>
          </w:p>
          <w:p w14:paraId="341E8339" w14:textId="77777777" w:rsidR="00106E56" w:rsidRPr="005F763D" w:rsidRDefault="00106E56">
            <w:pPr>
              <w:pStyle w:val="InterPracBullet"/>
              <w:numPr>
                <w:ilvl w:val="0"/>
                <w:numId w:val="98"/>
              </w:numPr>
            </w:pPr>
            <w:r w:rsidRPr="005F763D">
              <w:t>Time out of the market; and</w:t>
            </w:r>
          </w:p>
          <w:p w14:paraId="07122E22" w14:textId="77777777" w:rsidR="00EF1047" w:rsidRDefault="00EF1047" w:rsidP="00106E56">
            <w:pPr>
              <w:jc w:val="left"/>
              <w:rPr>
                <w:b/>
                <w:i/>
              </w:rPr>
            </w:pPr>
          </w:p>
          <w:p w14:paraId="4664A688" w14:textId="52B1B8FA" w:rsidR="00106E56" w:rsidRPr="005F763D" w:rsidRDefault="00106E56" w:rsidP="00106E56">
            <w:pPr>
              <w:jc w:val="left"/>
              <w:rPr>
                <w:b/>
                <w:i/>
              </w:rPr>
            </w:pPr>
            <w:r w:rsidRPr="005F763D">
              <w:rPr>
                <w:b/>
                <w:i/>
              </w:rPr>
              <w:t>Please refer to the Replacement of Product Information section of this advice, for further information.</w:t>
            </w:r>
          </w:p>
          <w:p w14:paraId="1E55960F" w14:textId="77777777" w:rsidR="00106E56" w:rsidRPr="00BB3CB4" w:rsidRDefault="00106E56" w:rsidP="00106E56">
            <w:pPr>
              <w:spacing w:before="120"/>
            </w:pPr>
          </w:p>
        </w:tc>
      </w:tr>
    </w:tbl>
    <w:p w14:paraId="11DFACE0" w14:textId="06F923D2" w:rsidR="008D1B24" w:rsidRDefault="008D1B24" w:rsidP="008D1B24"/>
    <w:p w14:paraId="1EDFF367" w14:textId="10896E2B" w:rsidR="00E251B2" w:rsidRDefault="00E251B2" w:rsidP="008D1B24"/>
    <w:p w14:paraId="0354207F" w14:textId="47DEAEA4" w:rsidR="00E251B2" w:rsidRPr="00E251B2" w:rsidRDefault="00E251B2" w:rsidP="00E251B2">
      <w:pPr>
        <w:jc w:val="left"/>
        <w:rPr>
          <w:color w:val="002060"/>
          <w:sz w:val="24"/>
        </w:rPr>
      </w:pPr>
      <w:r w:rsidRPr="00E251B2">
        <w:rPr>
          <w:color w:val="002060"/>
          <w:sz w:val="24"/>
        </w:rPr>
        <w:t>Investment Bond</w:t>
      </w:r>
    </w:p>
    <w:tbl>
      <w:tblPr>
        <w:tblW w:w="0" w:type="auto"/>
        <w:tblInd w:w="76" w:type="dxa"/>
        <w:tblLook w:val="04A0" w:firstRow="1" w:lastRow="0" w:firstColumn="1" w:lastColumn="0" w:noHBand="0" w:noVBand="1"/>
      </w:tblPr>
      <w:tblGrid>
        <w:gridCol w:w="2754"/>
        <w:gridCol w:w="6798"/>
      </w:tblGrid>
      <w:tr w:rsidR="00E251B2" w:rsidRPr="00E51BEA" w14:paraId="2D393A29" w14:textId="77777777" w:rsidTr="004C1975">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D78B5FA" w14:textId="77777777" w:rsidR="00E251B2" w:rsidRPr="00AA2CC6" w:rsidRDefault="00E251B2" w:rsidP="004C1975">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AE9FA6E" w14:textId="395ADD61" w:rsidR="00E251B2" w:rsidRPr="00E51BEA" w:rsidRDefault="00E251B2" w:rsidP="004C1975">
            <w:pPr>
              <w:pStyle w:val="TableHeader2"/>
              <w:rPr>
                <w:rFonts w:ascii="Calibri Light" w:hAnsi="Calibri Light"/>
              </w:rPr>
            </w:pPr>
          </w:p>
        </w:tc>
      </w:tr>
      <w:tr w:rsidR="00E251B2" w:rsidRPr="0088114A" w14:paraId="7162EC47"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778F577" w14:textId="77777777" w:rsidR="00E251B2" w:rsidRPr="00E87AAA" w:rsidRDefault="00E251B2" w:rsidP="00B21CF5">
            <w:pPr>
              <w:pStyle w:val="Instructions"/>
            </w:pPr>
            <w:r w:rsidRPr="00E87AAA">
              <w:t>Title</w:t>
            </w:r>
          </w:p>
        </w:tc>
        <w:tc>
          <w:tcPr>
            <w:tcW w:w="6798" w:type="dxa"/>
            <w:shd w:val="clear" w:color="auto" w:fill="auto"/>
          </w:tcPr>
          <w:p w14:paraId="466D7D0B" w14:textId="291D5389" w:rsidR="00E251B2" w:rsidRPr="0088114A" w:rsidRDefault="000450F4" w:rsidP="000450F4">
            <w:pPr>
              <w:pStyle w:val="TableHeader2"/>
            </w:pPr>
            <w:r w:rsidRPr="00E251B2">
              <w:rPr>
                <w:rFonts w:ascii="Calibri" w:eastAsia="MS Mincho" w:hAnsi="Calibri"/>
                <w:b w:val="0"/>
                <w:color w:val="000000"/>
                <w:szCs w:val="24"/>
                <w:lang w:eastAsia="ar-SA"/>
              </w:rPr>
              <w:t>Purchase an investment bond</w:t>
            </w:r>
            <w:r>
              <w:rPr>
                <w:rFonts w:cs="Calibri"/>
              </w:rPr>
              <w:t xml:space="preserve"> </w:t>
            </w:r>
          </w:p>
        </w:tc>
      </w:tr>
      <w:tr w:rsidR="00E251B2" w:rsidRPr="0088114A" w14:paraId="5B1B612E"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B0F6576" w14:textId="77777777" w:rsidR="00E251B2" w:rsidRPr="00E87AAA" w:rsidRDefault="00E251B2" w:rsidP="00B21CF5">
            <w:pPr>
              <w:pStyle w:val="Instructions"/>
            </w:pPr>
            <w:r w:rsidRPr="00E87AAA">
              <w:t>Explanation</w:t>
            </w:r>
          </w:p>
        </w:tc>
        <w:tc>
          <w:tcPr>
            <w:tcW w:w="6798" w:type="dxa"/>
            <w:shd w:val="clear" w:color="auto" w:fill="auto"/>
          </w:tcPr>
          <w:p w14:paraId="3B42B348" w14:textId="7654B7EE" w:rsidR="000450F4" w:rsidRDefault="000450F4" w:rsidP="000450F4">
            <w:pPr>
              <w:pStyle w:val="Bullet10"/>
              <w:tabs>
                <w:tab w:val="left" w:pos="720"/>
              </w:tabs>
              <w:ind w:left="284" w:hanging="284"/>
              <w:rPr>
                <w:rFonts w:eastAsiaTheme="minorHAnsi" w:cs="Calibri"/>
                <w:color w:val="auto"/>
                <w:lang w:eastAsia="en-US"/>
              </w:rPr>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E50F9C">
              <w:rPr>
                <w:color w:val="FF0000"/>
              </w:rPr>
              <w:t>]</w:t>
            </w:r>
            <w:r w:rsidR="00E50F9C" w:rsidRPr="005F763D">
              <w:t>, we</w:t>
            </w:r>
            <w:r>
              <w:rPr>
                <w:rFonts w:cs="Calibri"/>
              </w:rPr>
              <w:t xml:space="preserve"> recommend you:</w:t>
            </w:r>
          </w:p>
          <w:p w14:paraId="08E4A561" w14:textId="0B0D2ED6"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invest an amount of </w:t>
            </w:r>
            <w:r w:rsidRPr="0016266D">
              <w:t>$</w:t>
            </w:r>
            <w:r w:rsidRPr="0016266D">
              <w:rPr>
                <w:color w:val="FF0000"/>
              </w:rPr>
              <w:t>[_</w:t>
            </w:r>
            <w:proofErr w:type="gramStart"/>
            <w:r w:rsidRPr="0016266D">
              <w:rPr>
                <w:color w:val="FF0000"/>
              </w:rPr>
              <w:t>_,_</w:t>
            </w:r>
            <w:proofErr w:type="gramEnd"/>
            <w:r w:rsidR="00E50F9C" w:rsidRPr="0016266D">
              <w:rPr>
                <w:color w:val="FF0000"/>
              </w:rPr>
              <w:t>_]</w:t>
            </w:r>
            <w:r w:rsidR="00E50F9C" w:rsidRPr="0016266D">
              <w:t xml:space="preserve"> </w:t>
            </w:r>
            <w:r w:rsidR="00E50F9C">
              <w:rPr>
                <w:rFonts w:cs="Calibri"/>
              </w:rPr>
              <w:t>in</w:t>
            </w:r>
            <w:r>
              <w:rPr>
                <w:rFonts w:cs="Calibri"/>
              </w:rPr>
              <w:t xml:space="preserve"> an investment bond with </w:t>
            </w:r>
            <w:r w:rsidRPr="0016266D">
              <w:rPr>
                <w:color w:val="FF0000"/>
              </w:rPr>
              <w:t>[Provider]</w:t>
            </w:r>
            <w:r w:rsidRPr="0016266D">
              <w:t>.</w:t>
            </w:r>
          </w:p>
          <w:p w14:paraId="46A93402"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maintain your investment bond for a minimum of</w:t>
            </w:r>
            <w:r w:rsidRPr="002956D4">
              <w:rPr>
                <w:color w:val="FF0000"/>
              </w:rPr>
              <w:t xml:space="preserve"> [XX] </w:t>
            </w:r>
            <w:r>
              <w:rPr>
                <w:rFonts w:cs="Calibri"/>
              </w:rPr>
              <w:t>years</w:t>
            </w:r>
          </w:p>
          <w:p w14:paraId="643D0C49"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make additional investments of </w:t>
            </w:r>
            <w:r w:rsidRPr="0016266D">
              <w:t>$</w:t>
            </w:r>
            <w:r w:rsidRPr="0016266D">
              <w:rPr>
                <w:color w:val="FF0000"/>
              </w:rPr>
              <w:t>[_</w:t>
            </w:r>
            <w:proofErr w:type="gramStart"/>
            <w:r w:rsidRPr="0016266D">
              <w:rPr>
                <w:color w:val="FF0000"/>
              </w:rPr>
              <w:t>_,_</w:t>
            </w:r>
            <w:proofErr w:type="gramEnd"/>
            <w:r w:rsidRPr="0016266D">
              <w:rPr>
                <w:color w:val="FF0000"/>
              </w:rPr>
              <w:t>_]</w:t>
            </w:r>
            <w:r>
              <w:rPr>
                <w:color w:val="FF0000"/>
              </w:rPr>
              <w:t xml:space="preserve"> </w:t>
            </w:r>
            <w:r w:rsidRPr="000450F4">
              <w:rPr>
                <w:rFonts w:cs="Calibri"/>
                <w:highlight w:val="yellow"/>
              </w:rPr>
              <w:t>&lt;&lt;no more than 125% of the amount invested in the prior year&gt;&gt;</w:t>
            </w:r>
          </w:p>
          <w:p w14:paraId="150D4B60"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lastRenderedPageBreak/>
              <w:t>invest the capital held in this bond in the underlying investments outlined later in this document</w:t>
            </w:r>
          </w:p>
          <w:p w14:paraId="3B22A5E2" w14:textId="3A116935"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review your situation on a regular basis to confirm the suitability of further investment in this bond and to confirm the underlying investments remain appropriate</w:t>
            </w:r>
          </w:p>
          <w:p w14:paraId="18B461DF" w14:textId="19B1F1CE" w:rsidR="00E251B2" w:rsidRPr="0088114A" w:rsidRDefault="00E251B2" w:rsidP="000450F4">
            <w:pPr>
              <w:pStyle w:val="Bullet10"/>
              <w:tabs>
                <w:tab w:val="left" w:pos="720"/>
              </w:tabs>
              <w:ind w:left="284" w:hanging="284"/>
              <w:rPr>
                <w:sz w:val="18"/>
                <w:szCs w:val="18"/>
                <w:highlight w:val="yellow"/>
              </w:rPr>
            </w:pPr>
          </w:p>
        </w:tc>
      </w:tr>
      <w:tr w:rsidR="00E251B2" w:rsidRPr="00E87AAA" w14:paraId="3BDE7C74"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6C1241" w14:textId="77777777" w:rsidR="00E251B2" w:rsidRPr="00E87AAA" w:rsidRDefault="00E251B2" w:rsidP="00B21CF5">
            <w:pPr>
              <w:pStyle w:val="Instructions"/>
            </w:pPr>
            <w:r w:rsidRPr="00E87AAA">
              <w:lastRenderedPageBreak/>
              <w:t>In your Best Interest</w:t>
            </w:r>
          </w:p>
        </w:tc>
        <w:tc>
          <w:tcPr>
            <w:tcW w:w="6798" w:type="dxa"/>
            <w:shd w:val="clear" w:color="auto" w:fill="auto"/>
          </w:tcPr>
          <w:p w14:paraId="01051AB7" w14:textId="0F6B0639" w:rsidR="00E251B2" w:rsidRPr="00E87AAA" w:rsidRDefault="00E251B2" w:rsidP="000450F4">
            <w:pPr>
              <w:spacing w:before="120"/>
              <w:jc w:val="left"/>
              <w:rPr>
                <w:sz w:val="18"/>
                <w:szCs w:val="18"/>
                <w:highlight w:val="yellow"/>
              </w:rPr>
            </w:pPr>
          </w:p>
        </w:tc>
      </w:tr>
      <w:tr w:rsidR="00E251B2" w:rsidRPr="00E87AAA" w14:paraId="7BA65F67"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1593ACB" w14:textId="77777777" w:rsidR="00E251B2" w:rsidRPr="00E87AAA" w:rsidRDefault="00E251B2" w:rsidP="00B21CF5">
            <w:pPr>
              <w:pStyle w:val="Instructions"/>
            </w:pPr>
            <w:r>
              <w:t>Further Detail</w:t>
            </w:r>
          </w:p>
        </w:tc>
        <w:tc>
          <w:tcPr>
            <w:tcW w:w="6798" w:type="dxa"/>
            <w:shd w:val="clear" w:color="auto" w:fill="auto"/>
          </w:tcPr>
          <w:p w14:paraId="17DA7780" w14:textId="200C964B" w:rsidR="000450F4" w:rsidRDefault="000450F4" w:rsidP="000450F4">
            <w:pPr>
              <w:pStyle w:val="Bullet10"/>
              <w:tabs>
                <w:tab w:val="left" w:pos="720"/>
              </w:tabs>
              <w:ind w:left="284" w:hanging="284"/>
              <w:rPr>
                <w:rFonts w:eastAsiaTheme="minorHAnsi" w:cs="Calibri"/>
                <w:color w:val="auto"/>
                <w:lang w:eastAsia="en-US"/>
              </w:rPr>
            </w:pPr>
            <w:r>
              <w:rPr>
                <w:rFonts w:cs="Calibri"/>
              </w:rPr>
              <w:t xml:space="preserve">Our recommendations provide the following benefits: </w:t>
            </w:r>
            <w:r w:rsidRPr="000450F4">
              <w:rPr>
                <w:rFonts w:cs="Calibri"/>
                <w:highlight w:val="yellow"/>
              </w:rPr>
              <w:t>&lt;&lt; be specific&gt;&gt;</w:t>
            </w:r>
          </w:p>
          <w:p w14:paraId="33272538" w14:textId="46806245"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We estimate the recommended initial </w:t>
            </w:r>
            <w:r w:rsidR="00E50F9C">
              <w:rPr>
                <w:rFonts w:cs="Calibri"/>
              </w:rPr>
              <w:t>investment AND</w:t>
            </w:r>
            <w:r w:rsidRPr="000450F4">
              <w:rPr>
                <w:rFonts w:cs="Calibri"/>
                <w:highlight w:val="yellow"/>
              </w:rPr>
              <w:t>/OR</w:t>
            </w:r>
            <w:r>
              <w:rPr>
                <w:rFonts w:cs="Calibri"/>
              </w:rPr>
              <w:t xml:space="preserve"> and the recommended regular investments will be worth approximately </w:t>
            </w:r>
            <w:r w:rsidRPr="0016266D">
              <w:t>$</w:t>
            </w:r>
            <w:r w:rsidRPr="0016266D">
              <w:rPr>
                <w:color w:val="FF0000"/>
              </w:rPr>
              <w:t>[_</w:t>
            </w:r>
            <w:proofErr w:type="gramStart"/>
            <w:r w:rsidRPr="0016266D">
              <w:rPr>
                <w:color w:val="FF0000"/>
              </w:rPr>
              <w:t>_,_</w:t>
            </w:r>
            <w:proofErr w:type="gramEnd"/>
            <w:r w:rsidR="007C3495" w:rsidRPr="0016266D">
              <w:rPr>
                <w:color w:val="FF0000"/>
              </w:rPr>
              <w:t>_]</w:t>
            </w:r>
            <w:r w:rsidR="007C3495" w:rsidRPr="0016266D">
              <w:t xml:space="preserve"> </w:t>
            </w:r>
            <w:r w:rsidR="007C3495">
              <w:rPr>
                <w:rFonts w:cs="Calibri"/>
              </w:rPr>
              <w:t>at</w:t>
            </w:r>
            <w:r>
              <w:rPr>
                <w:rFonts w:cs="Calibri"/>
              </w:rPr>
              <w:t xml:space="preserve"> maturity in 10 years. This capital can then be used to fund </w:t>
            </w:r>
            <w:r w:rsidRPr="000450F4">
              <w:rPr>
                <w:color w:val="FF0000"/>
              </w:rPr>
              <w:t>[purpose or planned expense]</w:t>
            </w:r>
            <w:r w:rsidRPr="000450F4">
              <w:rPr>
                <w:color w:val="auto"/>
              </w:rPr>
              <w:t>.</w:t>
            </w:r>
          </w:p>
          <w:p w14:paraId="7FCBA643" w14:textId="23D1E43E"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Tax effective </w:t>
            </w:r>
            <w:r w:rsidR="007C3495">
              <w:rPr>
                <w:rFonts w:cs="Calibri"/>
              </w:rPr>
              <w:t>long-term</w:t>
            </w:r>
            <w:r>
              <w:rPr>
                <w:rFonts w:cs="Calibri"/>
              </w:rPr>
              <w:t xml:space="preserve"> investment provided that rules for making contributions and withdrawals are followed (see below).  </w:t>
            </w:r>
          </w:p>
          <w:p w14:paraId="42B65F23"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Tax is paid within the structure so does not need to be included in the assessable income of the investment owner.  In addition, investment bonds are not normally subject to capital gains tax.</w:t>
            </w:r>
          </w:p>
          <w:p w14:paraId="696C92DC"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Flexibility to select underlying investments aligned to your preferred investment strategy and risk profile. </w:t>
            </w:r>
          </w:p>
          <w:p w14:paraId="054AF743"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Accessibility to withdraw funds at any stage although potential tax consequences if your investment is withdrawn before the </w:t>
            </w:r>
            <w:proofErr w:type="gramStart"/>
            <w:r>
              <w:rPr>
                <w:rFonts w:cs="Calibri"/>
              </w:rPr>
              <w:t>10 year</w:t>
            </w:r>
            <w:proofErr w:type="gramEnd"/>
            <w:r>
              <w:rPr>
                <w:rFonts w:cs="Calibri"/>
              </w:rPr>
              <w:t xml:space="preserve"> anniversary.</w:t>
            </w:r>
          </w:p>
          <w:p w14:paraId="27FC8A0D" w14:textId="0307DF1F" w:rsidR="000450F4" w:rsidRPr="006C4528"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An alternative to superannuation</w:t>
            </w:r>
            <w:r w:rsidR="00E51E8B">
              <w:rPr>
                <w:rFonts w:cs="Calibri"/>
              </w:rPr>
              <w:t>;</w:t>
            </w:r>
            <w:r>
              <w:rPr>
                <w:rFonts w:cs="Calibri"/>
              </w:rPr>
              <w:t xml:space="preserve"> whe</w:t>
            </w:r>
            <w:r w:rsidR="007C3495">
              <w:rPr>
                <w:rFonts w:cs="Calibri"/>
              </w:rPr>
              <w:t>n</w:t>
            </w:r>
            <w:r>
              <w:rPr>
                <w:rFonts w:cs="Calibri"/>
              </w:rPr>
              <w:t xml:space="preserve"> you </w:t>
            </w:r>
            <w:r w:rsidR="007C3495">
              <w:rPr>
                <w:rFonts w:cs="Calibri"/>
              </w:rPr>
              <w:t>are</w:t>
            </w:r>
            <w:r>
              <w:rPr>
                <w:rFonts w:cs="Calibri"/>
              </w:rPr>
              <w:t xml:space="preserve"> unable make further </w:t>
            </w:r>
            <w:r w:rsidRPr="006C4528">
              <w:rPr>
                <w:rFonts w:cs="Calibri"/>
              </w:rPr>
              <w:t>contributions due to your age</w:t>
            </w:r>
            <w:r w:rsidR="00E51E8B">
              <w:rPr>
                <w:rFonts w:cs="Calibri"/>
              </w:rPr>
              <w:t>,</w:t>
            </w:r>
            <w:r w:rsidRPr="006C4528">
              <w:rPr>
                <w:rFonts w:cs="Calibri"/>
              </w:rPr>
              <w:t xml:space="preserve"> or whe</w:t>
            </w:r>
            <w:r w:rsidR="00E51E8B">
              <w:rPr>
                <w:rFonts w:cs="Calibri"/>
              </w:rPr>
              <w:t>n</w:t>
            </w:r>
            <w:r w:rsidRPr="006C4528">
              <w:rPr>
                <w:rFonts w:cs="Calibri"/>
              </w:rPr>
              <w:t xml:space="preserve"> you have reached your contribution limits.</w:t>
            </w:r>
          </w:p>
          <w:p w14:paraId="1882BD2D" w14:textId="0814718C" w:rsidR="00E251B2" w:rsidRPr="006C4528" w:rsidRDefault="000450F4" w:rsidP="00B62E26">
            <w:pPr>
              <w:pStyle w:val="Bullet10"/>
              <w:numPr>
                <w:ilvl w:val="0"/>
                <w:numId w:val="127"/>
              </w:numPr>
              <w:suppressAutoHyphens w:val="0"/>
              <w:snapToGrid/>
              <w:spacing w:before="160" w:after="160" w:line="280" w:lineRule="atLeast"/>
              <w:jc w:val="left"/>
              <w:rPr>
                <w:sz w:val="18"/>
                <w:szCs w:val="18"/>
              </w:rPr>
            </w:pPr>
            <w:r w:rsidRPr="006C4528">
              <w:rPr>
                <w:rFonts w:cs="Calibri"/>
              </w:rPr>
              <w:t xml:space="preserve">Support for your estate planning goals as a beneficiary can be nominated to receive the proceeds of the bond in the event of death. In some </w:t>
            </w:r>
            <w:r w:rsidR="000212BD" w:rsidRPr="006C4528">
              <w:rPr>
                <w:rFonts w:cs="Calibri"/>
              </w:rPr>
              <w:t>cases,</w:t>
            </w:r>
            <w:r w:rsidRPr="006C4528">
              <w:rPr>
                <w:rFonts w:cs="Calibri"/>
              </w:rPr>
              <w:t xml:space="preserve"> it may be possible for a death benefit payment to be made without incurring tax liabilities in the hands of the recipient.</w:t>
            </w:r>
          </w:p>
          <w:p w14:paraId="63106EF0" w14:textId="77777777" w:rsidR="000450F4" w:rsidRDefault="000450F4" w:rsidP="000450F4">
            <w:pPr>
              <w:pStyle w:val="TblTxt"/>
              <w:rPr>
                <w:rFonts w:asciiTheme="minorHAnsi" w:hAnsiTheme="minorHAnsi" w:cstheme="minorHAnsi"/>
              </w:rPr>
            </w:pPr>
          </w:p>
          <w:p w14:paraId="7A7CCEAD" w14:textId="21257D61" w:rsidR="000450F4" w:rsidRPr="000450F4" w:rsidRDefault="000450F4" w:rsidP="000450F4">
            <w:pPr>
              <w:pStyle w:val="TblTxt"/>
              <w:rPr>
                <w:rFonts w:asciiTheme="minorHAnsi" w:eastAsiaTheme="minorHAnsi" w:hAnsiTheme="minorHAnsi" w:cstheme="minorHAnsi"/>
                <w:lang w:eastAsia="en-US"/>
              </w:rPr>
            </w:pPr>
            <w:r>
              <w:rPr>
                <w:rFonts w:asciiTheme="minorHAnsi" w:hAnsiTheme="minorHAnsi" w:cstheme="minorHAnsi"/>
              </w:rPr>
              <w:t xml:space="preserve">Our recommendations present the following </w:t>
            </w:r>
            <w:commentRangeStart w:id="135"/>
            <w:r>
              <w:rPr>
                <w:rFonts w:asciiTheme="minorHAnsi" w:hAnsiTheme="minorHAnsi" w:cstheme="minorHAnsi"/>
              </w:rPr>
              <w:t>risks</w:t>
            </w:r>
            <w:commentRangeEnd w:id="135"/>
            <w:r w:rsidR="0030108D">
              <w:rPr>
                <w:rStyle w:val="CommentReference"/>
                <w:rFonts w:eastAsia="MS Mincho" w:cs="Times New Roman"/>
                <w:spacing w:val="0"/>
                <w:lang w:eastAsia="ja-JP"/>
              </w:rPr>
              <w:commentReference w:id="135"/>
            </w:r>
            <w:r>
              <w:rPr>
                <w:rFonts w:asciiTheme="minorHAnsi" w:hAnsiTheme="minorHAnsi" w:cstheme="minorHAnsi"/>
              </w:rPr>
              <w:t xml:space="preserve">: </w:t>
            </w:r>
            <w:commentRangeStart w:id="136"/>
            <w:commentRangeEnd w:id="136"/>
            <w:r w:rsidR="0030108D">
              <w:rPr>
                <w:rStyle w:val="CommentReference"/>
                <w:rFonts w:eastAsia="MS Mincho" w:cs="Times New Roman"/>
                <w:spacing w:val="0"/>
                <w:lang w:eastAsia="ja-JP"/>
              </w:rPr>
              <w:commentReference w:id="136"/>
            </w:r>
          </w:p>
          <w:p w14:paraId="2111B27F"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Lack of control over investment decisions as underlying investments may be professionally managed</w:t>
            </w:r>
          </w:p>
          <w:p w14:paraId="3EF9665D"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There may be a minimum balance that must be maintained (check with the recommended provider)</w:t>
            </w:r>
          </w:p>
          <w:p w14:paraId="37315C15" w14:textId="37C19520" w:rsidR="000450F4" w:rsidRPr="00E87AAA" w:rsidRDefault="000450F4" w:rsidP="004C1975">
            <w:pPr>
              <w:spacing w:before="120"/>
              <w:jc w:val="left"/>
              <w:rPr>
                <w:sz w:val="18"/>
                <w:szCs w:val="18"/>
                <w:highlight w:val="yellow"/>
              </w:rPr>
            </w:pPr>
          </w:p>
        </w:tc>
      </w:tr>
    </w:tbl>
    <w:p w14:paraId="435410A2" w14:textId="0C1F87F3" w:rsidR="00E251B2" w:rsidRDefault="00E251B2" w:rsidP="008D1B24"/>
    <w:p w14:paraId="0317B397" w14:textId="77777777" w:rsidR="00DC1E7E" w:rsidRDefault="00DC1E7E" w:rsidP="00DC1E7E">
      <w:pPr>
        <w:suppressAutoHyphens w:val="0"/>
        <w:spacing w:before="160" w:after="160" w:line="280" w:lineRule="atLeast"/>
        <w:jc w:val="left"/>
        <w:rPr>
          <w:rFonts w:eastAsiaTheme="minorHAnsi" w:cs="Calibri"/>
          <w:color w:val="auto"/>
          <w:szCs w:val="20"/>
          <w:lang w:eastAsia="zh-CN"/>
        </w:rPr>
      </w:pPr>
      <w:r>
        <w:rPr>
          <w:rFonts w:eastAsiaTheme="minorHAnsi" w:cs="Calibri"/>
          <w:color w:val="auto"/>
          <w:szCs w:val="20"/>
          <w:lang w:eastAsia="zh-CN"/>
        </w:rPr>
        <w:t>Investment bonds (also known as insurance bonds) are a type of managed investment offered by life insurance companies and friendly societies. They are used for a wide range of strategies including tax management, wealth accumulation, education funding, early retirement and estate planning.</w:t>
      </w:r>
    </w:p>
    <w:p w14:paraId="3F51477A" w14:textId="77777777" w:rsidR="00DC1E7E" w:rsidRDefault="00DC1E7E" w:rsidP="00DC1E7E">
      <w:pPr>
        <w:suppressAutoHyphens w:val="0"/>
        <w:spacing w:before="160" w:after="160" w:line="280" w:lineRule="atLeast"/>
        <w:jc w:val="left"/>
        <w:rPr>
          <w:rFonts w:eastAsiaTheme="minorHAnsi" w:cs="Calibri"/>
          <w:b/>
          <w:color w:val="456F85"/>
          <w:szCs w:val="20"/>
          <w:lang w:eastAsia="zh-CN"/>
        </w:rPr>
      </w:pPr>
      <w:r>
        <w:rPr>
          <w:rFonts w:eastAsiaTheme="minorHAnsi" w:cs="Calibri"/>
          <w:color w:val="auto"/>
          <w:szCs w:val="20"/>
          <w:lang w:eastAsia="zh-CN"/>
        </w:rPr>
        <w:t xml:space="preserve">They are subject to a number of rules, including the </w:t>
      </w:r>
      <w:proofErr w:type="gramStart"/>
      <w:r>
        <w:rPr>
          <w:rFonts w:eastAsiaTheme="minorHAnsi" w:cs="Calibri"/>
          <w:color w:val="auto"/>
          <w:szCs w:val="20"/>
          <w:lang w:eastAsia="zh-CN"/>
        </w:rPr>
        <w:t>10 year</w:t>
      </w:r>
      <w:proofErr w:type="gramEnd"/>
      <w:r>
        <w:rPr>
          <w:rFonts w:eastAsiaTheme="minorHAnsi" w:cs="Calibri"/>
          <w:color w:val="auto"/>
          <w:szCs w:val="20"/>
          <w:lang w:eastAsia="zh-CN"/>
        </w:rPr>
        <w:t xml:space="preserve"> rule and 125% rule which are covered in more detail below.</w:t>
      </w:r>
    </w:p>
    <w:p w14:paraId="2C2FDFD3" w14:textId="77777777" w:rsidR="00DC1E7E" w:rsidRPr="00C36627" w:rsidRDefault="00DC1E7E" w:rsidP="00DC1E7E">
      <w:pPr>
        <w:keepNext/>
        <w:keepLines/>
        <w:suppressAutoHyphens w:val="0"/>
        <w:spacing w:before="160" w:after="160" w:line="280" w:lineRule="atLeast"/>
        <w:jc w:val="left"/>
        <w:outlineLvl w:val="3"/>
        <w:rPr>
          <w:rFonts w:eastAsia="Calibri" w:cs="Calibri"/>
          <w:b/>
          <w:bCs/>
          <w:iCs/>
          <w:color w:val="auto"/>
          <w:szCs w:val="20"/>
          <w:lang w:eastAsia="zh-CN"/>
        </w:rPr>
      </w:pPr>
      <w:proofErr w:type="gramStart"/>
      <w:r w:rsidRPr="00C36627">
        <w:rPr>
          <w:rFonts w:eastAsia="Calibri" w:cs="Calibri"/>
          <w:b/>
          <w:bCs/>
          <w:iCs/>
          <w:color w:val="auto"/>
          <w:szCs w:val="20"/>
          <w:lang w:eastAsia="zh-CN"/>
        </w:rPr>
        <w:lastRenderedPageBreak/>
        <w:t>10 year</w:t>
      </w:r>
      <w:proofErr w:type="gramEnd"/>
      <w:r w:rsidRPr="00C36627">
        <w:rPr>
          <w:rFonts w:eastAsia="Calibri" w:cs="Calibri"/>
          <w:b/>
          <w:bCs/>
          <w:iCs/>
          <w:color w:val="auto"/>
          <w:szCs w:val="20"/>
          <w:lang w:eastAsia="zh-CN"/>
        </w:rPr>
        <w:t xml:space="preserve"> rule</w:t>
      </w:r>
    </w:p>
    <w:p w14:paraId="43AA7D97" w14:textId="77777777" w:rsidR="00DC1E7E" w:rsidRDefault="00DC1E7E" w:rsidP="00DC1E7E">
      <w:pPr>
        <w:suppressAutoHyphens w:val="0"/>
        <w:spacing w:before="160" w:after="160" w:line="280" w:lineRule="atLeast"/>
        <w:jc w:val="left"/>
        <w:rPr>
          <w:rFonts w:eastAsiaTheme="minorHAnsi" w:cs="Calibri"/>
          <w:color w:val="auto"/>
          <w:szCs w:val="20"/>
          <w:lang w:eastAsia="zh-CN"/>
        </w:rPr>
      </w:pPr>
      <w:r>
        <w:rPr>
          <w:rFonts w:eastAsiaTheme="minorHAnsi" w:cs="Calibri"/>
          <w:color w:val="auto"/>
          <w:szCs w:val="20"/>
          <w:lang w:eastAsia="zh-CN"/>
        </w:rPr>
        <w:t xml:space="preserve">If the bond is held for 10 years without any withdrawals being made, earnings on the bond are tax free to the bond holder. This is because tax is paid on earnings at 30% within the bond before being re-invested into the bond. Withdrawals can be made at any time, but may be subject to tax if made before the </w:t>
      </w:r>
      <w:proofErr w:type="gramStart"/>
      <w:r>
        <w:rPr>
          <w:rFonts w:eastAsiaTheme="minorHAnsi" w:cs="Calibri"/>
          <w:color w:val="auto"/>
          <w:szCs w:val="20"/>
          <w:lang w:eastAsia="zh-CN"/>
        </w:rPr>
        <w:t>10 year</w:t>
      </w:r>
      <w:proofErr w:type="gramEnd"/>
      <w:r>
        <w:rPr>
          <w:rFonts w:eastAsiaTheme="minorHAnsi" w:cs="Calibri"/>
          <w:color w:val="auto"/>
          <w:szCs w:val="20"/>
          <w:lang w:eastAsia="zh-CN"/>
        </w:rPr>
        <w:t xml:space="preserve"> period is up.</w:t>
      </w:r>
    </w:p>
    <w:p w14:paraId="7EA0DED2" w14:textId="77777777" w:rsidR="00DC1E7E" w:rsidRDefault="00DC1E7E" w:rsidP="00DC1E7E">
      <w:pPr>
        <w:suppressAutoHyphens w:val="0"/>
        <w:spacing w:before="160" w:after="160" w:line="280" w:lineRule="atLeast"/>
        <w:jc w:val="left"/>
        <w:rPr>
          <w:rFonts w:eastAsiaTheme="minorHAnsi" w:cs="Calibri"/>
          <w:b/>
          <w:color w:val="FFFFFF"/>
          <w:szCs w:val="20"/>
          <w:lang w:eastAsia="zh-CN"/>
        </w:rPr>
      </w:pPr>
      <w:r>
        <w:rPr>
          <w:rFonts w:eastAsiaTheme="minorHAnsi" w:cs="Calibri"/>
          <w:color w:val="auto"/>
          <w:szCs w:val="20"/>
          <w:lang w:eastAsia="zh-CN"/>
        </w:rPr>
        <w:t>If you make a withdrawal within the first 10 years, the tax rate will depend on when the withdrawal was made:</w:t>
      </w:r>
    </w:p>
    <w:tbl>
      <w:tblPr>
        <w:tblW w:w="5000" w:type="pct"/>
        <w:tblBorders>
          <w:bottom w:val="single" w:sz="6" w:space="0" w:color="426F85"/>
          <w:insideH w:val="single" w:sz="6" w:space="0" w:color="426F85"/>
          <w:insideV w:val="single" w:sz="6" w:space="0" w:color="426F85"/>
        </w:tblBorders>
        <w:tblLook w:val="04A0" w:firstRow="1" w:lastRow="0" w:firstColumn="1" w:lastColumn="0" w:noHBand="0" w:noVBand="1"/>
      </w:tblPr>
      <w:tblGrid>
        <w:gridCol w:w="5315"/>
        <w:gridCol w:w="5316"/>
      </w:tblGrid>
      <w:tr w:rsidR="00DC1E7E" w14:paraId="2E8D40D8" w14:textId="77777777" w:rsidTr="00DC1E7E">
        <w:trPr>
          <w:tblHeader/>
        </w:trPr>
        <w:tc>
          <w:tcPr>
            <w:tcW w:w="2500" w:type="pct"/>
            <w:tcBorders>
              <w:top w:val="nil"/>
              <w:left w:val="nil"/>
              <w:bottom w:val="single" w:sz="6" w:space="0" w:color="426F85"/>
              <w:right w:val="single" w:sz="6" w:space="0" w:color="426F85"/>
            </w:tcBorders>
            <w:shd w:val="clear" w:color="auto" w:fill="426F85"/>
            <w:hideMark/>
          </w:tcPr>
          <w:p w14:paraId="7C911DBD" w14:textId="77777777" w:rsidR="00DC1E7E" w:rsidRPr="005D6A74" w:rsidRDefault="00DC1E7E" w:rsidP="005D6A74">
            <w:pPr>
              <w:pStyle w:val="TableHeader2"/>
              <w:rPr>
                <w:rFonts w:ascii="Calibri" w:hAnsi="Calibri"/>
                <w:iCs/>
                <w:color w:val="FFFFFF" w:themeColor="background1"/>
              </w:rPr>
            </w:pPr>
            <w:r w:rsidRPr="005D6A74">
              <w:rPr>
                <w:rFonts w:ascii="Calibri" w:hAnsi="Calibri"/>
                <w:iCs/>
                <w:color w:val="FFFFFF" w:themeColor="background1"/>
              </w:rPr>
              <w:t>YEAR WITHDRAWAL MADE</w:t>
            </w:r>
          </w:p>
        </w:tc>
        <w:tc>
          <w:tcPr>
            <w:tcW w:w="2500" w:type="pct"/>
            <w:tcBorders>
              <w:top w:val="nil"/>
              <w:left w:val="single" w:sz="6" w:space="0" w:color="426F85"/>
              <w:bottom w:val="single" w:sz="6" w:space="0" w:color="426F85"/>
              <w:right w:val="nil"/>
            </w:tcBorders>
            <w:shd w:val="clear" w:color="auto" w:fill="426F85"/>
            <w:hideMark/>
          </w:tcPr>
          <w:p w14:paraId="662EDAD0" w14:textId="77777777" w:rsidR="00DC1E7E" w:rsidRPr="005D6A74" w:rsidRDefault="00DC1E7E" w:rsidP="005D6A74">
            <w:pPr>
              <w:pStyle w:val="TableHeader2"/>
              <w:rPr>
                <w:rFonts w:ascii="Calibri" w:hAnsi="Calibri"/>
                <w:iCs/>
                <w:color w:val="FFFFFF" w:themeColor="background1"/>
              </w:rPr>
            </w:pPr>
            <w:r w:rsidRPr="005D6A74">
              <w:rPr>
                <w:rFonts w:ascii="Calibri" w:hAnsi="Calibri"/>
                <w:iCs/>
                <w:color w:val="FFFFFF" w:themeColor="background1"/>
              </w:rPr>
              <w:t xml:space="preserve">TAX TREATMENT                     </w:t>
            </w:r>
          </w:p>
        </w:tc>
      </w:tr>
      <w:tr w:rsidR="00DC1E7E" w14:paraId="2FAC423D" w14:textId="77777777" w:rsidTr="00DC1E7E">
        <w:tc>
          <w:tcPr>
            <w:tcW w:w="2500" w:type="pct"/>
            <w:tcBorders>
              <w:top w:val="single" w:sz="6" w:space="0" w:color="426F85"/>
              <w:left w:val="nil"/>
              <w:bottom w:val="single" w:sz="6" w:space="0" w:color="426F85"/>
              <w:right w:val="single" w:sz="6" w:space="0" w:color="426F85"/>
            </w:tcBorders>
            <w:hideMark/>
          </w:tcPr>
          <w:p w14:paraId="7BFD6BCB"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within 8 years</w:t>
            </w:r>
          </w:p>
        </w:tc>
        <w:tc>
          <w:tcPr>
            <w:tcW w:w="2500" w:type="pct"/>
            <w:tcBorders>
              <w:top w:val="single" w:sz="6" w:space="0" w:color="426F85"/>
              <w:left w:val="single" w:sz="6" w:space="0" w:color="426F85"/>
              <w:bottom w:val="single" w:sz="6" w:space="0" w:color="426F85"/>
              <w:right w:val="nil"/>
            </w:tcBorders>
            <w:hideMark/>
          </w:tcPr>
          <w:p w14:paraId="441D35F8"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100% of the earnings on the investment bond included in assessable income and 30% tax offset applies</w:t>
            </w:r>
          </w:p>
        </w:tc>
      </w:tr>
      <w:tr w:rsidR="00DC1E7E" w14:paraId="68A7050B" w14:textId="77777777" w:rsidTr="00DC1E7E">
        <w:tc>
          <w:tcPr>
            <w:tcW w:w="2500" w:type="pct"/>
            <w:tcBorders>
              <w:top w:val="single" w:sz="6" w:space="0" w:color="426F85"/>
              <w:left w:val="nil"/>
              <w:bottom w:val="single" w:sz="6" w:space="0" w:color="426F85"/>
              <w:right w:val="single" w:sz="6" w:space="0" w:color="426F85"/>
            </w:tcBorders>
            <w:hideMark/>
          </w:tcPr>
          <w:p w14:paraId="7E75DB26"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in the 9</w:t>
            </w:r>
            <w:r>
              <w:rPr>
                <w:rFonts w:eastAsiaTheme="minorHAnsi" w:cs="Calibri"/>
                <w:color w:val="auto"/>
                <w:spacing w:val="-2"/>
                <w:szCs w:val="20"/>
                <w:vertAlign w:val="superscript"/>
                <w:lang w:eastAsia="zh-CN"/>
              </w:rPr>
              <w:t>th</w:t>
            </w:r>
            <w:r>
              <w:rPr>
                <w:rFonts w:eastAsiaTheme="minorHAnsi" w:cs="Calibri"/>
                <w:color w:val="auto"/>
                <w:spacing w:val="-2"/>
                <w:szCs w:val="20"/>
                <w:lang w:eastAsia="zh-CN"/>
              </w:rPr>
              <w:t xml:space="preserve"> year</w:t>
            </w:r>
          </w:p>
        </w:tc>
        <w:tc>
          <w:tcPr>
            <w:tcW w:w="2500" w:type="pct"/>
            <w:tcBorders>
              <w:top w:val="single" w:sz="6" w:space="0" w:color="426F85"/>
              <w:left w:val="single" w:sz="6" w:space="0" w:color="426F85"/>
              <w:bottom w:val="single" w:sz="6" w:space="0" w:color="426F85"/>
              <w:right w:val="nil"/>
            </w:tcBorders>
            <w:hideMark/>
          </w:tcPr>
          <w:p w14:paraId="0A653B77"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2/3 of earnings on investment included in assessable income and 30% tax offset applies</w:t>
            </w:r>
          </w:p>
        </w:tc>
      </w:tr>
      <w:tr w:rsidR="00DC1E7E" w14:paraId="44343E3A" w14:textId="77777777" w:rsidTr="00DC1E7E">
        <w:tc>
          <w:tcPr>
            <w:tcW w:w="2500" w:type="pct"/>
            <w:tcBorders>
              <w:top w:val="single" w:sz="6" w:space="0" w:color="426F85"/>
              <w:left w:val="nil"/>
              <w:bottom w:val="single" w:sz="6" w:space="0" w:color="426F85"/>
              <w:right w:val="single" w:sz="6" w:space="0" w:color="426F85"/>
            </w:tcBorders>
            <w:hideMark/>
          </w:tcPr>
          <w:p w14:paraId="6A795567"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in the 10</w:t>
            </w:r>
            <w:r>
              <w:rPr>
                <w:rFonts w:eastAsiaTheme="minorHAnsi" w:cs="Calibri"/>
                <w:color w:val="auto"/>
                <w:spacing w:val="-2"/>
                <w:szCs w:val="20"/>
                <w:vertAlign w:val="superscript"/>
                <w:lang w:eastAsia="zh-CN"/>
              </w:rPr>
              <w:t>th</w:t>
            </w:r>
            <w:r>
              <w:rPr>
                <w:rFonts w:eastAsiaTheme="minorHAnsi" w:cs="Calibri"/>
                <w:color w:val="auto"/>
                <w:spacing w:val="-2"/>
                <w:szCs w:val="20"/>
                <w:lang w:eastAsia="zh-CN"/>
              </w:rPr>
              <w:t xml:space="preserve"> year</w:t>
            </w:r>
          </w:p>
        </w:tc>
        <w:tc>
          <w:tcPr>
            <w:tcW w:w="2500" w:type="pct"/>
            <w:tcBorders>
              <w:top w:val="single" w:sz="6" w:space="0" w:color="426F85"/>
              <w:left w:val="single" w:sz="6" w:space="0" w:color="426F85"/>
              <w:bottom w:val="single" w:sz="6" w:space="0" w:color="426F85"/>
              <w:right w:val="nil"/>
            </w:tcBorders>
            <w:hideMark/>
          </w:tcPr>
          <w:p w14:paraId="4BCE4B86"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1/3 of earnings on investment included in assessable income and 30% tax offset applies</w:t>
            </w:r>
          </w:p>
        </w:tc>
      </w:tr>
      <w:tr w:rsidR="00DC1E7E" w14:paraId="0EDAE46B" w14:textId="77777777" w:rsidTr="00DC1E7E">
        <w:tc>
          <w:tcPr>
            <w:tcW w:w="2500" w:type="pct"/>
            <w:tcBorders>
              <w:top w:val="single" w:sz="6" w:space="0" w:color="426F85"/>
              <w:left w:val="nil"/>
              <w:bottom w:val="single" w:sz="6" w:space="0" w:color="426F85"/>
              <w:right w:val="single" w:sz="6" w:space="0" w:color="426F85"/>
            </w:tcBorders>
            <w:hideMark/>
          </w:tcPr>
          <w:p w14:paraId="23441C27"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after the 10</w:t>
            </w:r>
            <w:r>
              <w:rPr>
                <w:rFonts w:eastAsiaTheme="minorHAnsi" w:cs="Calibri"/>
                <w:color w:val="auto"/>
                <w:spacing w:val="-2"/>
                <w:szCs w:val="20"/>
                <w:vertAlign w:val="superscript"/>
                <w:lang w:eastAsia="zh-CN"/>
              </w:rPr>
              <w:t>th</w:t>
            </w:r>
            <w:r>
              <w:rPr>
                <w:rFonts w:eastAsiaTheme="minorHAnsi" w:cs="Calibri"/>
                <w:color w:val="auto"/>
                <w:spacing w:val="-2"/>
                <w:szCs w:val="20"/>
                <w:lang w:eastAsia="zh-CN"/>
              </w:rPr>
              <w:t xml:space="preserve"> year</w:t>
            </w:r>
          </w:p>
        </w:tc>
        <w:tc>
          <w:tcPr>
            <w:tcW w:w="2500" w:type="pct"/>
            <w:tcBorders>
              <w:top w:val="single" w:sz="6" w:space="0" w:color="426F85"/>
              <w:left w:val="single" w:sz="6" w:space="0" w:color="426F85"/>
              <w:bottom w:val="single" w:sz="6" w:space="0" w:color="426F85"/>
              <w:right w:val="nil"/>
            </w:tcBorders>
            <w:hideMark/>
          </w:tcPr>
          <w:p w14:paraId="06F8B8EC" w14:textId="77777777" w:rsidR="00DC1E7E" w:rsidRDefault="00DC1E7E">
            <w:pPr>
              <w:suppressAutoHyphens w:val="0"/>
              <w:spacing w:before="60" w:after="60" w:line="256" w:lineRule="auto"/>
              <w:jc w:val="left"/>
              <w:rPr>
                <w:rFonts w:eastAsiaTheme="minorHAnsi" w:cs="Calibri"/>
                <w:b/>
                <w:color w:val="456F85"/>
                <w:spacing w:val="-2"/>
                <w:szCs w:val="20"/>
                <w:lang w:eastAsia="zh-CN"/>
              </w:rPr>
            </w:pPr>
            <w:r>
              <w:rPr>
                <w:rFonts w:eastAsiaTheme="minorHAnsi" w:cs="Calibri"/>
                <w:color w:val="auto"/>
                <w:spacing w:val="-2"/>
                <w:szCs w:val="20"/>
                <w:lang w:eastAsia="zh-CN"/>
              </w:rPr>
              <w:t>All earnings tax free and do not need to be included in assessable income</w:t>
            </w:r>
          </w:p>
        </w:tc>
      </w:tr>
    </w:tbl>
    <w:p w14:paraId="7E799690" w14:textId="77777777" w:rsidR="00DC1E7E" w:rsidRPr="00C36627" w:rsidRDefault="00DC1E7E" w:rsidP="00DC1E7E">
      <w:pPr>
        <w:keepNext/>
        <w:keepLines/>
        <w:suppressAutoHyphens w:val="0"/>
        <w:spacing w:before="160" w:after="160" w:line="280" w:lineRule="atLeast"/>
        <w:jc w:val="left"/>
        <w:outlineLvl w:val="3"/>
        <w:rPr>
          <w:rFonts w:eastAsia="Calibri" w:cs="Calibri"/>
          <w:b/>
          <w:bCs/>
          <w:iCs/>
          <w:color w:val="auto"/>
          <w:szCs w:val="20"/>
          <w:lang w:eastAsia="zh-CN"/>
        </w:rPr>
      </w:pPr>
      <w:r w:rsidRPr="00C36627">
        <w:rPr>
          <w:rFonts w:eastAsia="Calibri" w:cs="Calibri"/>
          <w:b/>
          <w:bCs/>
          <w:iCs/>
          <w:color w:val="auto"/>
          <w:szCs w:val="20"/>
          <w:lang w:eastAsia="zh-CN"/>
        </w:rPr>
        <w:t>125% rule</w:t>
      </w:r>
    </w:p>
    <w:p w14:paraId="19920D46" w14:textId="49D395C5" w:rsidR="00DC1E7E" w:rsidRDefault="00DC1E7E" w:rsidP="00DC1E7E">
      <w:pPr>
        <w:jc w:val="left"/>
        <w:rPr>
          <w:rFonts w:cs="Calibri"/>
          <w:szCs w:val="20"/>
        </w:rPr>
      </w:pPr>
      <w:r>
        <w:rPr>
          <w:rFonts w:eastAsiaTheme="minorHAnsi" w:cs="Calibri"/>
          <w:color w:val="auto"/>
          <w:szCs w:val="20"/>
          <w:lang w:eastAsia="zh-CN"/>
        </w:rPr>
        <w:t xml:space="preserve">After the first year, the maximum an investor can invest in any one anniversary year is 125% of their investment in the previous year. As long as the contribution does not exceed 125% of the investment in the previous year it is considered part of the initial investment and does not need to be invested for the full 10 years to benefit from the full tax benefits applicable to the initial investment amount. If the investor does not make an investment in any one </w:t>
      </w:r>
      <w:r w:rsidR="000212BD">
        <w:rPr>
          <w:rFonts w:eastAsiaTheme="minorHAnsi" w:cs="Calibri"/>
          <w:color w:val="auto"/>
          <w:szCs w:val="20"/>
          <w:lang w:eastAsia="zh-CN"/>
        </w:rPr>
        <w:t>year,</w:t>
      </w:r>
      <w:r>
        <w:rPr>
          <w:rFonts w:eastAsiaTheme="minorHAnsi" w:cs="Calibri"/>
          <w:color w:val="auto"/>
          <w:szCs w:val="20"/>
          <w:lang w:eastAsia="zh-CN"/>
        </w:rPr>
        <w:t xml:space="preserve"> they can no longer add to their investment without triggering a restart of their </w:t>
      </w:r>
      <w:proofErr w:type="gramStart"/>
      <w:r>
        <w:rPr>
          <w:rFonts w:eastAsiaTheme="minorHAnsi" w:cs="Calibri"/>
          <w:color w:val="auto"/>
          <w:szCs w:val="20"/>
          <w:lang w:eastAsia="zh-CN"/>
        </w:rPr>
        <w:t>10 year</w:t>
      </w:r>
      <w:proofErr w:type="gramEnd"/>
      <w:r>
        <w:rPr>
          <w:rFonts w:eastAsiaTheme="minorHAnsi" w:cs="Calibri"/>
          <w:color w:val="auto"/>
          <w:szCs w:val="20"/>
          <w:lang w:eastAsia="zh-CN"/>
        </w:rPr>
        <w:t xml:space="preserve"> tax period. If a contribution exceeds 125% of the previous years’ investment, the start date of the </w:t>
      </w:r>
      <w:proofErr w:type="gramStart"/>
      <w:r>
        <w:rPr>
          <w:rFonts w:eastAsiaTheme="minorHAnsi" w:cs="Calibri"/>
          <w:color w:val="auto"/>
          <w:szCs w:val="20"/>
          <w:lang w:eastAsia="zh-CN"/>
        </w:rPr>
        <w:t>10 year</w:t>
      </w:r>
      <w:proofErr w:type="gramEnd"/>
      <w:r>
        <w:rPr>
          <w:rFonts w:eastAsiaTheme="minorHAnsi" w:cs="Calibri"/>
          <w:color w:val="auto"/>
          <w:szCs w:val="20"/>
          <w:lang w:eastAsia="zh-CN"/>
        </w:rPr>
        <w:t xml:space="preserve"> period is re-set.</w:t>
      </w:r>
    </w:p>
    <w:p w14:paraId="1313ECC1" w14:textId="77777777" w:rsidR="00DC1E7E" w:rsidRDefault="00DC1E7E" w:rsidP="00DC1E7E">
      <w:pPr>
        <w:suppressAutoHyphens w:val="0"/>
        <w:jc w:val="left"/>
        <w:rPr>
          <w:rFonts w:cs="Calibri"/>
          <w:szCs w:val="20"/>
        </w:rPr>
        <w:sectPr w:rsidR="00DC1E7E" w:rsidSect="00DC1E7E">
          <w:type w:val="continuous"/>
          <w:pgSz w:w="11906" w:h="16838"/>
          <w:pgMar w:top="1134" w:right="566" w:bottom="426" w:left="709" w:header="567" w:footer="95" w:gutter="0"/>
          <w:cols w:space="720"/>
        </w:sectPr>
      </w:pPr>
    </w:p>
    <w:p w14:paraId="4A96B350" w14:textId="1269E46C" w:rsidR="00FF2BEB" w:rsidRDefault="00FF2BEB" w:rsidP="008D1B24"/>
    <w:p w14:paraId="78444DF8" w14:textId="557D8AA9" w:rsidR="003E5424" w:rsidRPr="005F763D" w:rsidRDefault="003E5424" w:rsidP="003E5424">
      <w:pPr>
        <w:jc w:val="left"/>
        <w:rPr>
          <w:color w:val="002060"/>
          <w:sz w:val="24"/>
        </w:rPr>
      </w:pPr>
      <w:r w:rsidRPr="003C548A">
        <w:rPr>
          <w:color w:val="002060"/>
          <w:sz w:val="24"/>
        </w:rPr>
        <w:t xml:space="preserve">Retain Your Existing </w:t>
      </w:r>
      <w:r w:rsidR="0071116B" w:rsidRPr="003C548A">
        <w:rPr>
          <w:color w:val="002060"/>
          <w:sz w:val="24"/>
        </w:rPr>
        <w:t>Investment</w:t>
      </w:r>
      <w:r w:rsidR="001A2E00">
        <w:rPr>
          <w:color w:val="002060"/>
          <w:sz w:val="24"/>
        </w:rPr>
        <w:t xml:space="preserve"> &amp;</w:t>
      </w:r>
      <w:r w:rsidRPr="003C548A">
        <w:rPr>
          <w:color w:val="002060"/>
          <w:sz w:val="24"/>
        </w:rPr>
        <w:t xml:space="preserve"> Fund</w:t>
      </w:r>
      <w:r w:rsidR="001A2E00">
        <w:rPr>
          <w:color w:val="002060"/>
          <w:sz w:val="24"/>
        </w:rPr>
        <w:t xml:space="preserve"> </w:t>
      </w:r>
      <w:commentRangeStart w:id="137"/>
      <w:r w:rsidR="001A2E00">
        <w:rPr>
          <w:color w:val="002060"/>
          <w:sz w:val="24"/>
        </w:rPr>
        <w:t>Provider</w:t>
      </w:r>
      <w:commentRangeEnd w:id="137"/>
      <w:r w:rsidR="001A2E00">
        <w:rPr>
          <w:rStyle w:val="CommentReference"/>
          <w:color w:val="auto"/>
          <w:lang w:eastAsia="ja-JP"/>
        </w:rPr>
        <w:commentReference w:id="137"/>
      </w:r>
    </w:p>
    <w:p w14:paraId="6F700D7D" w14:textId="77777777" w:rsidR="003E5424" w:rsidRDefault="003E5424" w:rsidP="003E5424">
      <w:pPr>
        <w:jc w:val="left"/>
      </w:pPr>
    </w:p>
    <w:tbl>
      <w:tblPr>
        <w:tblW w:w="0" w:type="auto"/>
        <w:tblInd w:w="76" w:type="dxa"/>
        <w:tblLook w:val="04A0" w:firstRow="1" w:lastRow="0" w:firstColumn="1" w:lastColumn="0" w:noHBand="0" w:noVBand="1"/>
      </w:tblPr>
      <w:tblGrid>
        <w:gridCol w:w="2754"/>
        <w:gridCol w:w="6798"/>
      </w:tblGrid>
      <w:tr w:rsidR="003E5424" w:rsidRPr="00E51BEA" w14:paraId="06D900F4" w14:textId="77777777" w:rsidTr="00106E56">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8C271EA" w14:textId="77777777" w:rsidR="003E5424" w:rsidRPr="00AA2CC6" w:rsidRDefault="003E5424" w:rsidP="00106E56">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6990171" w14:textId="77777777" w:rsidR="003E5424" w:rsidRPr="00E51BEA" w:rsidRDefault="003E5424" w:rsidP="00106E56">
            <w:pPr>
              <w:pStyle w:val="TableHeader2"/>
              <w:rPr>
                <w:rFonts w:ascii="Calibri Light" w:hAnsi="Calibri Light"/>
              </w:rPr>
            </w:pPr>
          </w:p>
        </w:tc>
      </w:tr>
      <w:tr w:rsidR="003E5424" w:rsidRPr="0088114A" w14:paraId="2EFAA517"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E064D42" w14:textId="77777777" w:rsidR="003E5424" w:rsidRPr="00E87AAA" w:rsidRDefault="003E5424" w:rsidP="00B21CF5">
            <w:pPr>
              <w:pStyle w:val="Instructions"/>
            </w:pPr>
            <w:r w:rsidRPr="00E87AAA">
              <w:t>Title</w:t>
            </w:r>
          </w:p>
        </w:tc>
        <w:tc>
          <w:tcPr>
            <w:tcW w:w="6798" w:type="dxa"/>
            <w:shd w:val="clear" w:color="auto" w:fill="auto"/>
          </w:tcPr>
          <w:p w14:paraId="62CEB4CA" w14:textId="5D5DB56C" w:rsidR="003E5424" w:rsidRPr="0088114A" w:rsidRDefault="003E5424" w:rsidP="00106E56">
            <w:pPr>
              <w:spacing w:before="120"/>
            </w:pPr>
            <w:r>
              <w:t xml:space="preserve">Existing </w:t>
            </w:r>
            <w:r w:rsidR="0055441C">
              <w:t>Investment Fund</w:t>
            </w:r>
            <w:r>
              <w:t xml:space="preserve"> - Retain</w:t>
            </w:r>
          </w:p>
        </w:tc>
      </w:tr>
      <w:tr w:rsidR="003E5424" w:rsidRPr="0088114A" w14:paraId="5541A205"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09C38EC" w14:textId="77777777" w:rsidR="003E5424" w:rsidRPr="00E87AAA" w:rsidRDefault="003E5424" w:rsidP="00B21CF5">
            <w:pPr>
              <w:pStyle w:val="Instructions"/>
            </w:pPr>
            <w:r w:rsidRPr="00E87AAA">
              <w:t>Explanation</w:t>
            </w:r>
          </w:p>
        </w:tc>
        <w:tc>
          <w:tcPr>
            <w:tcW w:w="6798" w:type="dxa"/>
            <w:shd w:val="clear" w:color="auto" w:fill="auto"/>
          </w:tcPr>
          <w:p w14:paraId="6440A035" w14:textId="7961C479" w:rsidR="003E5424" w:rsidRPr="005F763D" w:rsidRDefault="003E5424" w:rsidP="00106E56">
            <w:pPr>
              <w:jc w:val="left"/>
            </w:pPr>
            <w:r w:rsidRPr="005F763D">
              <w:t xml:space="preserve">As your current </w:t>
            </w:r>
            <w:r w:rsidR="00745CC5" w:rsidRPr="00734D99">
              <w:rPr>
                <w:color w:val="7030A0"/>
                <w:highlight w:val="yellow"/>
              </w:rPr>
              <w:t>[</w:t>
            </w:r>
            <w:r w:rsidRPr="00734D99">
              <w:rPr>
                <w:color w:val="7030A0"/>
                <w:highlight w:val="yellow"/>
              </w:rPr>
              <w:t>asset allocation is in line with your risk profile</w:t>
            </w:r>
            <w:r w:rsidR="00745CC5" w:rsidRPr="00734D99">
              <w:rPr>
                <w:color w:val="7030A0"/>
                <w:highlight w:val="yellow"/>
              </w:rPr>
              <w:t xml:space="preserve">] or </w:t>
            </w:r>
            <w:r w:rsidR="00745CC5" w:rsidRPr="00C12486">
              <w:rPr>
                <w:color w:val="7030A0"/>
                <w:highlight w:val="yellow"/>
              </w:rPr>
              <w:t xml:space="preserve">[your </w:t>
            </w:r>
            <w:r w:rsidR="00745CC5" w:rsidRPr="001A2E00">
              <w:rPr>
                <w:color w:val="7030A0"/>
                <w:highlight w:val="yellow"/>
              </w:rPr>
              <w:t xml:space="preserve">objectives can be met </w:t>
            </w:r>
            <w:r w:rsidR="00745CC5" w:rsidRPr="0071622B">
              <w:rPr>
                <w:color w:val="7030A0"/>
                <w:highlight w:val="yellow"/>
              </w:rPr>
              <w:t>with your existing products]</w:t>
            </w:r>
            <w:r w:rsidRPr="0071622B">
              <w:rPr>
                <w:color w:val="7030A0"/>
                <w:highlight w:val="yellow"/>
              </w:rPr>
              <w:t>,</w:t>
            </w:r>
            <w:r w:rsidRPr="0071622B">
              <w:rPr>
                <w:color w:val="7030A0"/>
              </w:rPr>
              <w:t xml:space="preserve"> </w:t>
            </w:r>
            <w:r w:rsidRPr="005F763D">
              <w:t xml:space="preserve">our recommendation is to maintain your current </w:t>
            </w:r>
            <w:proofErr w:type="gramStart"/>
            <w:r w:rsidRPr="005F763D">
              <w:t xml:space="preserve">investment  </w:t>
            </w:r>
            <w:r w:rsidRPr="000D0191">
              <w:rPr>
                <w:color w:val="7030A0"/>
                <w:highlight w:val="yellow"/>
                <w:shd w:val="clear" w:color="auto" w:fill="7030A0"/>
              </w:rPr>
              <w:t>[</w:t>
            </w:r>
            <w:proofErr w:type="gramEnd"/>
            <w:r w:rsidRPr="000D0191">
              <w:rPr>
                <w:color w:val="7030A0"/>
                <w:highlight w:val="yellow"/>
                <w:shd w:val="clear" w:color="auto" w:fill="7030A0"/>
              </w:rPr>
              <w:t>investment option</w:t>
            </w:r>
            <w:r w:rsidRPr="000D0191">
              <w:rPr>
                <w:color w:val="7030A0"/>
                <w:highlight w:val="yellow"/>
              </w:rPr>
              <w:t>]</w:t>
            </w:r>
            <w:r w:rsidRPr="005F763D">
              <w:t xml:space="preserve"> within your </w:t>
            </w:r>
            <w:r w:rsidRPr="005F763D">
              <w:rPr>
                <w:color w:val="FF0000"/>
              </w:rPr>
              <w:t>[</w:t>
            </w:r>
            <w:r w:rsidR="00745CC5">
              <w:rPr>
                <w:color w:val="FF0000"/>
              </w:rPr>
              <w:t>Provider</w:t>
            </w:r>
            <w:r w:rsidRPr="005F763D">
              <w:rPr>
                <w:color w:val="FF0000"/>
              </w:rPr>
              <w:t>]</w:t>
            </w:r>
            <w:r w:rsidRPr="005F763D">
              <w:t xml:space="preserve"> </w:t>
            </w:r>
            <w:commentRangeStart w:id="138"/>
            <w:r w:rsidRPr="005F763D">
              <w:t>fund</w:t>
            </w:r>
            <w:commentRangeEnd w:id="138"/>
            <w:r w:rsidR="00745CC5">
              <w:rPr>
                <w:rStyle w:val="CommentReference"/>
                <w:color w:val="auto"/>
                <w:lang w:eastAsia="ja-JP"/>
              </w:rPr>
              <w:commentReference w:id="138"/>
            </w:r>
            <w:r w:rsidRPr="005F763D">
              <w:t>.</w:t>
            </w:r>
          </w:p>
          <w:p w14:paraId="1E4EEF5E" w14:textId="77777777" w:rsidR="003E5424" w:rsidRPr="0088114A" w:rsidRDefault="003E5424" w:rsidP="00106E56">
            <w:pPr>
              <w:spacing w:before="120"/>
              <w:rPr>
                <w:sz w:val="18"/>
                <w:szCs w:val="18"/>
                <w:highlight w:val="yellow"/>
              </w:rPr>
            </w:pPr>
          </w:p>
        </w:tc>
      </w:tr>
      <w:tr w:rsidR="003E5424" w:rsidRPr="00E87AAA" w14:paraId="4828D953"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1F16E7C" w14:textId="77777777" w:rsidR="003E5424" w:rsidRPr="00E87AAA" w:rsidRDefault="003E5424" w:rsidP="00B21CF5">
            <w:pPr>
              <w:pStyle w:val="Instructions"/>
            </w:pPr>
            <w:r w:rsidRPr="00E87AAA">
              <w:t>In your Best Interest</w:t>
            </w:r>
          </w:p>
        </w:tc>
        <w:tc>
          <w:tcPr>
            <w:tcW w:w="6798" w:type="dxa"/>
            <w:shd w:val="clear" w:color="auto" w:fill="auto"/>
          </w:tcPr>
          <w:p w14:paraId="36286EA1" w14:textId="77777777" w:rsidR="003E5424" w:rsidRPr="00E87AAA" w:rsidRDefault="003E5424" w:rsidP="00106E56">
            <w:pPr>
              <w:spacing w:before="120"/>
              <w:jc w:val="left"/>
              <w:rPr>
                <w:sz w:val="18"/>
                <w:szCs w:val="18"/>
                <w:highlight w:val="yellow"/>
              </w:rPr>
            </w:pPr>
          </w:p>
        </w:tc>
      </w:tr>
      <w:tr w:rsidR="003E5424" w:rsidRPr="00E87AAA" w14:paraId="05A46176"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2261FE4" w14:textId="77777777" w:rsidR="003E5424" w:rsidRPr="00E87AAA" w:rsidRDefault="003E5424" w:rsidP="00B21CF5">
            <w:pPr>
              <w:pStyle w:val="Instructions"/>
            </w:pPr>
            <w:r>
              <w:t>Further Detail</w:t>
            </w:r>
          </w:p>
        </w:tc>
        <w:tc>
          <w:tcPr>
            <w:tcW w:w="6798" w:type="dxa"/>
            <w:shd w:val="clear" w:color="auto" w:fill="auto"/>
          </w:tcPr>
          <w:p w14:paraId="4B735EFE" w14:textId="0B86D709" w:rsidR="003E5424" w:rsidRPr="005F763D" w:rsidRDefault="003E5424" w:rsidP="00106E56">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you currently have $</w:t>
            </w:r>
            <w:r w:rsidRPr="005F763D">
              <w:rPr>
                <w:color w:val="FF0000"/>
              </w:rPr>
              <w:t>[__</w:t>
            </w:r>
            <w:proofErr w:type="gramStart"/>
            <w:r w:rsidRPr="005F763D">
              <w:rPr>
                <w:color w:val="FF0000"/>
              </w:rPr>
              <w:t>_,_</w:t>
            </w:r>
            <w:proofErr w:type="gramEnd"/>
            <w:r w:rsidRPr="005F763D">
              <w:rPr>
                <w:color w:val="FF0000"/>
              </w:rPr>
              <w:t>__]</w:t>
            </w:r>
            <w:r w:rsidRPr="005F763D">
              <w:t xml:space="preserve"> invested in your </w:t>
            </w:r>
            <w:r w:rsidRPr="005F763D">
              <w:rPr>
                <w:color w:val="FF0000"/>
              </w:rPr>
              <w:t>[product]</w:t>
            </w:r>
            <w:r w:rsidRPr="005F763D">
              <w:t xml:space="preserve"> fund.</w:t>
            </w:r>
          </w:p>
          <w:p w14:paraId="24100912" w14:textId="77777777" w:rsidR="003E5424" w:rsidRPr="005F763D" w:rsidRDefault="003E5424" w:rsidP="00106E56">
            <w:pPr>
              <w:jc w:val="left"/>
            </w:pPr>
          </w:p>
          <w:p w14:paraId="1638C65E" w14:textId="39775BFD" w:rsidR="003E5424" w:rsidRPr="005F763D" w:rsidRDefault="003E5424" w:rsidP="00106E56">
            <w:pPr>
              <w:pStyle w:val="Normal5ptAfter"/>
            </w:pPr>
            <w:r w:rsidRPr="005F763D">
              <w:t>Your investment option</w:t>
            </w:r>
            <w:r w:rsidR="00C507E4">
              <w:t>s</w:t>
            </w:r>
            <w:r w:rsidRPr="005F763D">
              <w:t xml:space="preserve"> within your current </w:t>
            </w:r>
            <w:r w:rsidRPr="005F763D">
              <w:rPr>
                <w:color w:val="FF0000"/>
              </w:rPr>
              <w:t>[product]</w:t>
            </w:r>
            <w:r w:rsidRPr="005F763D">
              <w:t xml:space="preserve"> fund is invested as follows:</w:t>
            </w:r>
          </w:p>
          <w:tbl>
            <w:tblPr>
              <w:tblW w:w="5000" w:type="pct"/>
              <w:tblBorders>
                <w:insideV w:val="single" w:sz="4" w:space="0" w:color="808080"/>
              </w:tblBorders>
              <w:tblLook w:val="04A0" w:firstRow="1" w:lastRow="0" w:firstColumn="1" w:lastColumn="0" w:noHBand="0" w:noVBand="1"/>
            </w:tblPr>
            <w:tblGrid>
              <w:gridCol w:w="5493"/>
              <w:gridCol w:w="1059"/>
            </w:tblGrid>
            <w:tr w:rsidR="003E5424" w:rsidRPr="005F763D" w14:paraId="62FE0CB0" w14:textId="77777777" w:rsidTr="00106E56">
              <w:tc>
                <w:tcPr>
                  <w:tcW w:w="4250" w:type="pct"/>
                  <w:tcBorders>
                    <w:top w:val="single" w:sz="4" w:space="0" w:color="808080"/>
                    <w:bottom w:val="single" w:sz="4" w:space="0" w:color="808080"/>
                    <w:right w:val="single" w:sz="24" w:space="0" w:color="FFFFFF"/>
                  </w:tcBorders>
                  <w:shd w:val="clear" w:color="auto" w:fill="BFBFBF"/>
                </w:tcPr>
                <w:p w14:paraId="1B1EBAEC" w14:textId="77777777" w:rsidR="003E5424" w:rsidRPr="005F763D" w:rsidRDefault="003E5424" w:rsidP="00106E56">
                  <w:pPr>
                    <w:pStyle w:val="TableHeader2"/>
                    <w:rPr>
                      <w:rFonts w:ascii="Calibri" w:hAnsi="Calibri"/>
                    </w:rPr>
                  </w:pPr>
                  <w:r w:rsidRPr="005F763D">
                    <w:rPr>
                      <w:rFonts w:ascii="Calibri" w:hAnsi="Calibri"/>
                    </w:rPr>
                    <w:t>Investment Option</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04F5C11C" w14:textId="77777777" w:rsidR="003E5424" w:rsidRPr="005F763D" w:rsidRDefault="003E5424" w:rsidP="00106E56">
                  <w:pPr>
                    <w:pStyle w:val="TableHeader2-Centre"/>
                    <w:rPr>
                      <w:rFonts w:ascii="Calibri" w:hAnsi="Calibri"/>
                    </w:rPr>
                  </w:pPr>
                  <w:r w:rsidRPr="005F763D">
                    <w:rPr>
                      <w:rFonts w:ascii="Calibri" w:hAnsi="Calibri"/>
                    </w:rPr>
                    <w:t>Allocation</w:t>
                  </w:r>
                </w:p>
              </w:tc>
            </w:tr>
            <w:tr w:rsidR="003E5424" w:rsidRPr="005F763D" w14:paraId="67F8F403" w14:textId="77777777" w:rsidTr="00106E56">
              <w:tc>
                <w:tcPr>
                  <w:tcW w:w="4250" w:type="pct"/>
                  <w:tcBorders>
                    <w:top w:val="single" w:sz="4" w:space="0" w:color="808080"/>
                    <w:bottom w:val="single" w:sz="4" w:space="0" w:color="808080"/>
                    <w:right w:val="single" w:sz="24" w:space="0" w:color="FFFFFF"/>
                  </w:tcBorders>
                  <w:vAlign w:val="center"/>
                </w:tcPr>
                <w:p w14:paraId="47399AA6"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07EE9C90" w14:textId="77777777" w:rsidR="003E5424" w:rsidRPr="000D0191" w:rsidRDefault="003E5424" w:rsidP="000D6E4F">
                  <w:pPr>
                    <w:pStyle w:val="TableText-Right"/>
                  </w:pPr>
                  <w:r w:rsidRPr="000D0191">
                    <w:t>X.XX%</w:t>
                  </w:r>
                </w:p>
              </w:tc>
            </w:tr>
            <w:tr w:rsidR="003E5424" w:rsidRPr="005F763D" w14:paraId="4DE2BF27" w14:textId="77777777" w:rsidTr="00106E56">
              <w:tc>
                <w:tcPr>
                  <w:tcW w:w="4250" w:type="pct"/>
                  <w:tcBorders>
                    <w:top w:val="single" w:sz="4" w:space="0" w:color="808080"/>
                    <w:bottom w:val="single" w:sz="4" w:space="0" w:color="808080"/>
                    <w:right w:val="single" w:sz="24" w:space="0" w:color="FFFFFF"/>
                  </w:tcBorders>
                  <w:vAlign w:val="center"/>
                </w:tcPr>
                <w:p w14:paraId="54B5FDAA"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64D15625" w14:textId="77777777" w:rsidR="003E5424" w:rsidRPr="000D0191" w:rsidRDefault="003E5424" w:rsidP="000D6E4F">
                  <w:pPr>
                    <w:pStyle w:val="TableText-Right"/>
                  </w:pPr>
                  <w:r w:rsidRPr="000D0191">
                    <w:t>X.XX%</w:t>
                  </w:r>
                </w:p>
              </w:tc>
            </w:tr>
            <w:tr w:rsidR="003E5424" w:rsidRPr="005F763D" w14:paraId="2A673770" w14:textId="77777777" w:rsidTr="00106E56">
              <w:tc>
                <w:tcPr>
                  <w:tcW w:w="4250" w:type="pct"/>
                  <w:tcBorders>
                    <w:top w:val="single" w:sz="4" w:space="0" w:color="808080"/>
                    <w:bottom w:val="single" w:sz="4" w:space="0" w:color="808080"/>
                    <w:right w:val="single" w:sz="24" w:space="0" w:color="FFFFFF"/>
                  </w:tcBorders>
                  <w:vAlign w:val="center"/>
                </w:tcPr>
                <w:p w14:paraId="0ECC22B9"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485CC7BB" w14:textId="77777777" w:rsidR="003E5424" w:rsidRPr="000D0191" w:rsidRDefault="003E5424" w:rsidP="000D6E4F">
                  <w:pPr>
                    <w:pStyle w:val="TableText-Right"/>
                  </w:pPr>
                  <w:r w:rsidRPr="000D0191">
                    <w:t>X.XX%</w:t>
                  </w:r>
                </w:p>
              </w:tc>
            </w:tr>
            <w:tr w:rsidR="003E5424" w:rsidRPr="005F763D" w14:paraId="7A2EB3BB" w14:textId="77777777" w:rsidTr="00106E56">
              <w:tc>
                <w:tcPr>
                  <w:tcW w:w="4250" w:type="pct"/>
                  <w:tcBorders>
                    <w:top w:val="single" w:sz="4" w:space="0" w:color="808080"/>
                    <w:bottom w:val="single" w:sz="4" w:space="0" w:color="808080"/>
                    <w:right w:val="single" w:sz="24" w:space="0" w:color="FFFFFF"/>
                  </w:tcBorders>
                  <w:vAlign w:val="center"/>
                </w:tcPr>
                <w:p w14:paraId="54C689BF"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5F9F37DB" w14:textId="77777777" w:rsidR="003E5424" w:rsidRPr="000D0191" w:rsidRDefault="003E5424" w:rsidP="000D6E4F">
                  <w:pPr>
                    <w:pStyle w:val="TableText-Right"/>
                  </w:pPr>
                  <w:r w:rsidRPr="000D0191">
                    <w:t>X.XX%</w:t>
                  </w:r>
                </w:p>
              </w:tc>
            </w:tr>
            <w:tr w:rsidR="003E5424" w:rsidRPr="005F763D" w14:paraId="6437EFC2" w14:textId="77777777" w:rsidTr="00106E56">
              <w:trPr>
                <w:trHeight w:val="387"/>
              </w:trPr>
              <w:tc>
                <w:tcPr>
                  <w:tcW w:w="4250" w:type="pct"/>
                  <w:tcBorders>
                    <w:top w:val="single" w:sz="4" w:space="0" w:color="808080"/>
                    <w:right w:val="single" w:sz="24" w:space="0" w:color="FFFFFF"/>
                  </w:tcBorders>
                  <w:shd w:val="clear" w:color="auto" w:fill="auto"/>
                </w:tcPr>
                <w:p w14:paraId="6CB211B4" w14:textId="77777777" w:rsidR="003E5424" w:rsidRPr="005F763D" w:rsidRDefault="003E5424"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065E2180" w14:textId="77777777" w:rsidR="003E5424" w:rsidRPr="005F763D" w:rsidRDefault="003E5424" w:rsidP="000D6E4F">
                  <w:pPr>
                    <w:pStyle w:val="TableText-RightBold"/>
                  </w:pPr>
                  <w:r>
                    <w:t>100%</w:t>
                  </w:r>
                </w:p>
              </w:tc>
            </w:tr>
          </w:tbl>
          <w:p w14:paraId="50F5D186" w14:textId="77777777" w:rsidR="003E5424" w:rsidRDefault="003E5424" w:rsidP="00106E56">
            <w:pPr>
              <w:jc w:val="left"/>
            </w:pPr>
          </w:p>
          <w:p w14:paraId="58FE46C5" w14:textId="77777777" w:rsidR="00136976" w:rsidRPr="00B020C3" w:rsidRDefault="003E5424" w:rsidP="00106E56">
            <w:pPr>
              <w:jc w:val="left"/>
            </w:pPr>
            <w:r w:rsidRPr="00B020C3">
              <w:t xml:space="preserve">The typical benefit of this recommendation </w:t>
            </w:r>
            <w:r w:rsidR="00136976" w:rsidRPr="00B020C3">
              <w:t>can be:</w:t>
            </w:r>
          </w:p>
          <w:p w14:paraId="0173D8AD" w14:textId="56DA175D" w:rsidR="003E5424" w:rsidRPr="00B020C3" w:rsidRDefault="003E5424" w:rsidP="003812CB">
            <w:pPr>
              <w:pStyle w:val="ListParagraph"/>
              <w:numPr>
                <w:ilvl w:val="0"/>
                <w:numId w:val="113"/>
              </w:numPr>
              <w:jc w:val="left"/>
            </w:pPr>
            <w:r w:rsidRPr="00B020C3">
              <w:t xml:space="preserve">all your assets </w:t>
            </w:r>
            <w:r w:rsidR="000212BD" w:rsidRPr="00B020C3">
              <w:t>remain invested</w:t>
            </w:r>
            <w:r w:rsidRPr="00B020C3">
              <w:t xml:space="preserve"> in accordance with your investment risk profile to achieve your financial goals.</w:t>
            </w:r>
          </w:p>
          <w:p w14:paraId="4D34BCD4" w14:textId="2A874C1C" w:rsidR="00136976" w:rsidRPr="00B020C3" w:rsidRDefault="00136976" w:rsidP="003812CB">
            <w:pPr>
              <w:pStyle w:val="ListParagraph"/>
              <w:numPr>
                <w:ilvl w:val="0"/>
                <w:numId w:val="113"/>
              </w:numPr>
              <w:jc w:val="left"/>
            </w:pPr>
            <w:r w:rsidRPr="00B020C3">
              <w:t>avoid tax</w:t>
            </w:r>
            <w:r w:rsidR="000823A4">
              <w:t>ation</w:t>
            </w:r>
            <w:r w:rsidRPr="00B020C3">
              <w:t xml:space="preserve"> o</w:t>
            </w:r>
            <w:r w:rsidR="000823A4">
              <w:t>f</w:t>
            </w:r>
            <w:r w:rsidRPr="00B020C3">
              <w:t xml:space="preserve"> cashing investments</w:t>
            </w:r>
          </w:p>
          <w:p w14:paraId="79092955" w14:textId="2A4E729B" w:rsidR="00136976" w:rsidRPr="00B020C3" w:rsidRDefault="00136976" w:rsidP="003812CB">
            <w:pPr>
              <w:pStyle w:val="ListParagraph"/>
              <w:numPr>
                <w:ilvl w:val="0"/>
                <w:numId w:val="113"/>
              </w:numPr>
              <w:jc w:val="left"/>
            </w:pPr>
            <w:r w:rsidRPr="00B020C3">
              <w:t>retain your existing low product fees</w:t>
            </w:r>
          </w:p>
          <w:p w14:paraId="544C13E7" w14:textId="77777777" w:rsidR="003E5424" w:rsidRPr="00E87AAA" w:rsidRDefault="003E5424" w:rsidP="00106E56">
            <w:pPr>
              <w:spacing w:before="120"/>
              <w:jc w:val="left"/>
              <w:rPr>
                <w:sz w:val="18"/>
                <w:szCs w:val="18"/>
                <w:highlight w:val="yellow"/>
              </w:rPr>
            </w:pPr>
          </w:p>
        </w:tc>
      </w:tr>
    </w:tbl>
    <w:p w14:paraId="221B7E3E" w14:textId="78EF7FF6" w:rsidR="008D1B24" w:rsidRDefault="008D1B24" w:rsidP="00F67D2E"/>
    <w:p w14:paraId="1F094E48" w14:textId="77777777" w:rsidR="00E44C89" w:rsidRDefault="00E44C89" w:rsidP="00FF51EF">
      <w:pPr>
        <w:jc w:val="left"/>
        <w:rPr>
          <w:color w:val="002060"/>
          <w:sz w:val="24"/>
        </w:rPr>
      </w:pPr>
    </w:p>
    <w:p w14:paraId="4B2BEEE5" w14:textId="0AA2B513" w:rsidR="00FF51EF" w:rsidRPr="005F763D" w:rsidRDefault="00FF51EF" w:rsidP="00FF51EF">
      <w:pPr>
        <w:jc w:val="left"/>
        <w:rPr>
          <w:color w:val="002060"/>
          <w:sz w:val="24"/>
        </w:rPr>
      </w:pPr>
      <w:r w:rsidRPr="003C548A">
        <w:rPr>
          <w:color w:val="002060"/>
          <w:sz w:val="24"/>
        </w:rPr>
        <w:t>Underlying Investment Switch within Your Existing Investment Platform</w:t>
      </w:r>
    </w:p>
    <w:p w14:paraId="6F78B735" w14:textId="77777777" w:rsidR="00FF51EF" w:rsidRDefault="00FF51EF" w:rsidP="00FF51EF">
      <w:pPr>
        <w:jc w:val="left"/>
      </w:pPr>
    </w:p>
    <w:tbl>
      <w:tblPr>
        <w:tblW w:w="0" w:type="auto"/>
        <w:tblInd w:w="76" w:type="dxa"/>
        <w:tblLook w:val="04A0" w:firstRow="1" w:lastRow="0" w:firstColumn="1" w:lastColumn="0" w:noHBand="0" w:noVBand="1"/>
      </w:tblPr>
      <w:tblGrid>
        <w:gridCol w:w="2754"/>
        <w:gridCol w:w="6798"/>
      </w:tblGrid>
      <w:tr w:rsidR="00FF51EF" w:rsidRPr="00E51BEA" w14:paraId="2B311C85" w14:textId="77777777" w:rsidTr="00BB0D8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5195B4D" w14:textId="77777777" w:rsidR="00FF51EF" w:rsidRPr="00AA2CC6" w:rsidRDefault="00FF51EF" w:rsidP="00BB0D8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8D053F1" w14:textId="77777777" w:rsidR="00FF51EF" w:rsidRPr="00E51BEA" w:rsidRDefault="00FF51EF" w:rsidP="00BB0D88">
            <w:pPr>
              <w:pStyle w:val="TableHeader2"/>
              <w:rPr>
                <w:rFonts w:ascii="Calibri Light" w:hAnsi="Calibri Light"/>
              </w:rPr>
            </w:pPr>
          </w:p>
        </w:tc>
      </w:tr>
      <w:tr w:rsidR="00FF51EF" w:rsidRPr="0088114A" w14:paraId="77D91E7B"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61FD73C" w14:textId="77777777" w:rsidR="00FF51EF" w:rsidRPr="00E87AAA" w:rsidRDefault="00FF51EF" w:rsidP="00B21CF5">
            <w:pPr>
              <w:pStyle w:val="Instructions"/>
            </w:pPr>
            <w:r w:rsidRPr="00E87AAA">
              <w:t>Title</w:t>
            </w:r>
          </w:p>
        </w:tc>
        <w:tc>
          <w:tcPr>
            <w:tcW w:w="6798" w:type="dxa"/>
            <w:shd w:val="clear" w:color="auto" w:fill="auto"/>
          </w:tcPr>
          <w:p w14:paraId="5E90E61F" w14:textId="0DAB1D66" w:rsidR="00FF51EF" w:rsidRPr="0088114A" w:rsidRDefault="00FF51EF" w:rsidP="00BB0D88">
            <w:pPr>
              <w:spacing w:before="120"/>
            </w:pPr>
            <w:r>
              <w:t>Existing</w:t>
            </w:r>
            <w:r w:rsidR="0067134E">
              <w:t xml:space="preserve"> Investment </w:t>
            </w:r>
            <w:r>
              <w:t>Fund _ Investment Switch</w:t>
            </w:r>
          </w:p>
        </w:tc>
      </w:tr>
      <w:tr w:rsidR="00FF51EF" w:rsidRPr="0088114A" w14:paraId="2FDCBF55"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73521D" w14:textId="77777777" w:rsidR="00FF51EF" w:rsidRPr="00E87AAA" w:rsidRDefault="00FF51EF" w:rsidP="00B21CF5">
            <w:pPr>
              <w:pStyle w:val="Instructions"/>
            </w:pPr>
            <w:r w:rsidRPr="00E87AAA">
              <w:t>Explanation</w:t>
            </w:r>
          </w:p>
        </w:tc>
        <w:tc>
          <w:tcPr>
            <w:tcW w:w="6798" w:type="dxa"/>
            <w:shd w:val="clear" w:color="auto" w:fill="auto"/>
          </w:tcPr>
          <w:p w14:paraId="6621FF12" w14:textId="36BB447A" w:rsidR="00FF51EF" w:rsidRDefault="00FF51EF" w:rsidP="00BB0D88">
            <w:pPr>
              <w:pStyle w:val="Normal5ptAfter"/>
            </w:pPr>
            <w:r w:rsidRPr="005F763D">
              <w:t>We recommend you switch your</w:t>
            </w:r>
            <w:r w:rsidR="0067134E">
              <w:t xml:space="preserve"> investments</w:t>
            </w:r>
            <w:r w:rsidRPr="005F763D">
              <w:t xml:space="preserve"> to the following investment options within your </w:t>
            </w:r>
            <w:r w:rsidRPr="0071622B">
              <w:rPr>
                <w:color w:val="7030A0"/>
                <w:highlight w:val="yellow"/>
              </w:rPr>
              <w:t>[</w:t>
            </w:r>
            <w:commentRangeStart w:id="139"/>
            <w:r w:rsidR="0071622B" w:rsidRPr="0071622B">
              <w:rPr>
                <w:color w:val="7030A0"/>
                <w:highlight w:val="yellow"/>
              </w:rPr>
              <w:t>Provider</w:t>
            </w:r>
            <w:commentRangeEnd w:id="139"/>
            <w:r w:rsidR="0071622B">
              <w:rPr>
                <w:rStyle w:val="CommentReference"/>
                <w:rFonts w:cs="Times New Roman"/>
                <w:color w:val="auto"/>
                <w:lang w:eastAsia="ja-JP"/>
              </w:rPr>
              <w:commentReference w:id="139"/>
            </w:r>
            <w:r w:rsidRPr="0071622B">
              <w:rPr>
                <w:color w:val="7030A0"/>
                <w:highlight w:val="yellow"/>
              </w:rPr>
              <w:t>]</w:t>
            </w:r>
            <w:r w:rsidRPr="005F763D">
              <w:t xml:space="preserve"> fund:</w:t>
            </w:r>
          </w:p>
          <w:p w14:paraId="41433BE4" w14:textId="77777777" w:rsidR="00FF51EF" w:rsidRPr="005F763D" w:rsidRDefault="00FF51EF" w:rsidP="00BB0D88">
            <w:pPr>
              <w:pStyle w:val="Normal5ptAfter"/>
            </w:pPr>
          </w:p>
          <w:tbl>
            <w:tblPr>
              <w:tblW w:w="5000" w:type="pct"/>
              <w:tblBorders>
                <w:insideV w:val="single" w:sz="4" w:space="0" w:color="808080"/>
              </w:tblBorders>
              <w:tblLook w:val="04A0" w:firstRow="1" w:lastRow="0" w:firstColumn="1" w:lastColumn="0" w:noHBand="0" w:noVBand="1"/>
            </w:tblPr>
            <w:tblGrid>
              <w:gridCol w:w="2304"/>
              <w:gridCol w:w="987"/>
              <w:gridCol w:w="2304"/>
              <w:gridCol w:w="987"/>
            </w:tblGrid>
            <w:tr w:rsidR="00FF51EF" w:rsidRPr="005F763D" w14:paraId="2EFDB32F" w14:textId="77777777" w:rsidTr="00BB0D88">
              <w:tc>
                <w:tcPr>
                  <w:tcW w:w="1750" w:type="pct"/>
                  <w:tcBorders>
                    <w:top w:val="single" w:sz="4" w:space="0" w:color="808080"/>
                    <w:bottom w:val="single" w:sz="4" w:space="0" w:color="808080"/>
                    <w:right w:val="single" w:sz="24" w:space="0" w:color="FFFFFF"/>
                  </w:tcBorders>
                  <w:shd w:val="clear" w:color="auto" w:fill="BFBFBF"/>
                </w:tcPr>
                <w:p w14:paraId="4B5D7850" w14:textId="77777777" w:rsidR="00FF51EF" w:rsidRPr="005F763D" w:rsidRDefault="00FF51EF" w:rsidP="00BB0D88">
                  <w:pPr>
                    <w:pStyle w:val="TableHeader2"/>
                    <w:rPr>
                      <w:rFonts w:ascii="Calibri" w:hAnsi="Calibri"/>
                    </w:rPr>
                  </w:pPr>
                  <w:r w:rsidRPr="005F763D">
                    <w:rPr>
                      <w:rFonts w:ascii="Calibri" w:hAnsi="Calibri"/>
                    </w:rPr>
                    <w:t>Redeemed Fund</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5BDD70C6" w14:textId="77777777" w:rsidR="00FF51EF" w:rsidRPr="005F763D" w:rsidRDefault="00FF51EF" w:rsidP="00BB0D88">
                  <w:pPr>
                    <w:pStyle w:val="TableHeader2-Centre"/>
                    <w:rPr>
                      <w:rFonts w:ascii="Calibri" w:hAnsi="Calibri"/>
                    </w:rPr>
                  </w:pPr>
                  <w:r w:rsidRPr="005F763D">
                    <w:rPr>
                      <w:rFonts w:ascii="Calibri" w:hAnsi="Calibri"/>
                    </w:rPr>
                    <w:t>Value</w:t>
                  </w:r>
                </w:p>
              </w:tc>
              <w:tc>
                <w:tcPr>
                  <w:tcW w:w="1750" w:type="pct"/>
                  <w:tcBorders>
                    <w:top w:val="single" w:sz="4" w:space="0" w:color="808080"/>
                    <w:left w:val="single" w:sz="24" w:space="0" w:color="FFFFFF"/>
                    <w:bottom w:val="single" w:sz="4" w:space="0" w:color="808080"/>
                    <w:right w:val="single" w:sz="24" w:space="0" w:color="FFFFFF"/>
                  </w:tcBorders>
                  <w:shd w:val="clear" w:color="auto" w:fill="BFBFBF"/>
                </w:tcPr>
                <w:p w14:paraId="593C425B" w14:textId="77777777" w:rsidR="00FF51EF" w:rsidRPr="005F763D" w:rsidRDefault="00FF51EF" w:rsidP="00BB0D88">
                  <w:pPr>
                    <w:pStyle w:val="TableHeader2"/>
                    <w:rPr>
                      <w:rFonts w:ascii="Calibri" w:hAnsi="Calibri"/>
                    </w:rPr>
                  </w:pPr>
                  <w:r w:rsidRPr="005F763D">
                    <w:rPr>
                      <w:rFonts w:ascii="Calibri" w:hAnsi="Calibri"/>
                    </w:rPr>
                    <w:t>Recommended Fund</w:t>
                  </w:r>
                </w:p>
              </w:tc>
              <w:tc>
                <w:tcPr>
                  <w:tcW w:w="750" w:type="pct"/>
                  <w:tcBorders>
                    <w:top w:val="single" w:sz="4" w:space="0" w:color="808080"/>
                    <w:left w:val="single" w:sz="24" w:space="0" w:color="FFFFFF"/>
                    <w:bottom w:val="single" w:sz="4" w:space="0" w:color="808080"/>
                  </w:tcBorders>
                  <w:shd w:val="clear" w:color="auto" w:fill="BFBFBF"/>
                </w:tcPr>
                <w:p w14:paraId="77CA8282" w14:textId="77777777" w:rsidR="00FF51EF" w:rsidRPr="005F763D" w:rsidRDefault="00FF51EF" w:rsidP="00BB0D88">
                  <w:pPr>
                    <w:pStyle w:val="TableHeader2-Centre"/>
                    <w:rPr>
                      <w:rFonts w:ascii="Calibri" w:hAnsi="Calibri"/>
                    </w:rPr>
                  </w:pPr>
                  <w:r w:rsidRPr="005F763D">
                    <w:rPr>
                      <w:rFonts w:ascii="Calibri" w:hAnsi="Calibri"/>
                    </w:rPr>
                    <w:t>Value</w:t>
                  </w:r>
                </w:p>
              </w:tc>
            </w:tr>
            <w:tr w:rsidR="00FF51EF" w:rsidRPr="005F763D" w14:paraId="78E2B403" w14:textId="77777777" w:rsidTr="00BB0D88">
              <w:tc>
                <w:tcPr>
                  <w:tcW w:w="1750" w:type="pct"/>
                  <w:tcBorders>
                    <w:top w:val="single" w:sz="4" w:space="0" w:color="808080"/>
                    <w:bottom w:val="single" w:sz="4" w:space="0" w:color="808080"/>
                    <w:right w:val="single" w:sz="24" w:space="0" w:color="FFFFFF"/>
                  </w:tcBorders>
                </w:tcPr>
                <w:p w14:paraId="55CFD296"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20CEAD65"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33DEBA8F"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02A7C2A4" w14:textId="77777777" w:rsidR="00FF51EF" w:rsidRPr="005F763D" w:rsidRDefault="00FF51EF" w:rsidP="000D6E4F">
                  <w:pPr>
                    <w:pStyle w:val="TableText-Right"/>
                    <w:rPr>
                      <w:rFonts w:ascii="Calibri" w:hAnsi="Calibri"/>
                    </w:rPr>
                  </w:pPr>
                  <w:r w:rsidRPr="005F763D">
                    <w:t>$___,___</w:t>
                  </w:r>
                </w:p>
              </w:tc>
            </w:tr>
            <w:tr w:rsidR="00FF51EF" w:rsidRPr="005F763D" w14:paraId="54E1FBB2" w14:textId="77777777" w:rsidTr="00BB0D88">
              <w:tc>
                <w:tcPr>
                  <w:tcW w:w="1750" w:type="pct"/>
                  <w:tcBorders>
                    <w:top w:val="single" w:sz="4" w:space="0" w:color="808080"/>
                    <w:bottom w:val="single" w:sz="4" w:space="0" w:color="808080"/>
                    <w:right w:val="single" w:sz="24" w:space="0" w:color="FFFFFF"/>
                  </w:tcBorders>
                </w:tcPr>
                <w:p w14:paraId="2C20DE44"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03FB94F9"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658EC5C2"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3145913F" w14:textId="77777777" w:rsidR="00FF51EF" w:rsidRPr="005F763D" w:rsidRDefault="00FF51EF" w:rsidP="000D6E4F">
                  <w:pPr>
                    <w:pStyle w:val="TableText-Right"/>
                    <w:rPr>
                      <w:rFonts w:ascii="Calibri" w:hAnsi="Calibri"/>
                    </w:rPr>
                  </w:pPr>
                  <w:r w:rsidRPr="005F763D">
                    <w:t>$___,___</w:t>
                  </w:r>
                </w:p>
              </w:tc>
            </w:tr>
            <w:tr w:rsidR="00FF51EF" w:rsidRPr="005F763D" w14:paraId="589F9205" w14:textId="77777777" w:rsidTr="00BB0D88">
              <w:tc>
                <w:tcPr>
                  <w:tcW w:w="1750" w:type="pct"/>
                  <w:tcBorders>
                    <w:top w:val="single" w:sz="4" w:space="0" w:color="808080"/>
                    <w:bottom w:val="single" w:sz="4" w:space="0" w:color="808080"/>
                    <w:right w:val="single" w:sz="24" w:space="0" w:color="FFFFFF"/>
                  </w:tcBorders>
                </w:tcPr>
                <w:p w14:paraId="7C81C562"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197E4C1F"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1D3AFD22"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7B0DB9D8" w14:textId="77777777" w:rsidR="00FF51EF" w:rsidRPr="005F763D" w:rsidRDefault="00FF51EF" w:rsidP="000D6E4F">
                  <w:pPr>
                    <w:pStyle w:val="TableText-Right"/>
                    <w:rPr>
                      <w:rFonts w:ascii="Calibri" w:hAnsi="Calibri"/>
                    </w:rPr>
                  </w:pPr>
                  <w:r w:rsidRPr="005F763D">
                    <w:t>$___,___</w:t>
                  </w:r>
                </w:p>
              </w:tc>
            </w:tr>
            <w:tr w:rsidR="00FF51EF" w:rsidRPr="005F763D" w14:paraId="724912AA" w14:textId="77777777" w:rsidTr="00BB0D88">
              <w:tc>
                <w:tcPr>
                  <w:tcW w:w="1750" w:type="pct"/>
                  <w:tcBorders>
                    <w:top w:val="single" w:sz="4" w:space="0" w:color="808080"/>
                    <w:bottom w:val="single" w:sz="4" w:space="0" w:color="808080"/>
                    <w:right w:val="single" w:sz="24" w:space="0" w:color="FFFFFF"/>
                  </w:tcBorders>
                </w:tcPr>
                <w:p w14:paraId="7CB1C213"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4A6F4132"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29250364"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0BFFE035" w14:textId="77777777" w:rsidR="00FF51EF" w:rsidRPr="005F763D" w:rsidRDefault="00FF51EF" w:rsidP="000D6E4F">
                  <w:pPr>
                    <w:pStyle w:val="TableText-Right"/>
                    <w:rPr>
                      <w:rFonts w:ascii="Calibri" w:hAnsi="Calibri"/>
                    </w:rPr>
                  </w:pPr>
                  <w:r w:rsidRPr="005F763D">
                    <w:t>$___,___</w:t>
                  </w:r>
                </w:p>
              </w:tc>
            </w:tr>
            <w:tr w:rsidR="00FF51EF" w:rsidRPr="005F763D" w14:paraId="051BB09E" w14:textId="77777777" w:rsidTr="00BB0D88">
              <w:tc>
                <w:tcPr>
                  <w:tcW w:w="1750" w:type="pct"/>
                  <w:tcBorders>
                    <w:top w:val="single" w:sz="4" w:space="0" w:color="808080"/>
                    <w:right w:val="single" w:sz="24" w:space="0" w:color="FFFFFF"/>
                  </w:tcBorders>
                  <w:shd w:val="clear" w:color="auto" w:fill="auto"/>
                </w:tcPr>
                <w:p w14:paraId="785DF38C" w14:textId="77777777" w:rsidR="00FF51EF" w:rsidRPr="003C548A" w:rsidRDefault="00FF51EF" w:rsidP="000D6E4F">
                  <w:pPr>
                    <w:pStyle w:val="TableText-RightBold"/>
                  </w:pPr>
                  <w:r w:rsidRPr="003C548A">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4755425C" w14:textId="77777777" w:rsidR="00FF51EF" w:rsidRPr="003C548A" w:rsidRDefault="00FF51EF" w:rsidP="000D6E4F">
                  <w:pPr>
                    <w:pStyle w:val="TableText-RightBold"/>
                  </w:pPr>
                  <w:r w:rsidRPr="003C548A">
                    <w:t>$___,___</w:t>
                  </w:r>
                </w:p>
              </w:tc>
              <w:tc>
                <w:tcPr>
                  <w:tcW w:w="1750" w:type="pct"/>
                  <w:tcBorders>
                    <w:top w:val="single" w:sz="4" w:space="0" w:color="808080"/>
                    <w:left w:val="single" w:sz="24" w:space="0" w:color="FFFFFF"/>
                    <w:right w:val="single" w:sz="24" w:space="0" w:color="FFFFFF"/>
                  </w:tcBorders>
                  <w:shd w:val="clear" w:color="auto" w:fill="auto"/>
                </w:tcPr>
                <w:p w14:paraId="2CDFB10B" w14:textId="77777777" w:rsidR="00FF51EF" w:rsidRPr="003C548A" w:rsidRDefault="00FF51EF" w:rsidP="000D6E4F">
                  <w:pPr>
                    <w:pStyle w:val="TableText-RightBold"/>
                  </w:pPr>
                </w:p>
              </w:tc>
              <w:tc>
                <w:tcPr>
                  <w:tcW w:w="750" w:type="pct"/>
                  <w:tcBorders>
                    <w:top w:val="single" w:sz="4" w:space="0" w:color="808080"/>
                    <w:left w:val="single" w:sz="24" w:space="0" w:color="FFFFFF"/>
                    <w:bottom w:val="single" w:sz="4" w:space="0" w:color="808080"/>
                  </w:tcBorders>
                  <w:shd w:val="clear" w:color="auto" w:fill="D9D9D9"/>
                </w:tcPr>
                <w:p w14:paraId="1C97C2DF" w14:textId="77777777" w:rsidR="00FF51EF" w:rsidRPr="005F763D" w:rsidRDefault="00FF51EF" w:rsidP="000D6E4F">
                  <w:pPr>
                    <w:pStyle w:val="TableText-RightBold"/>
                  </w:pPr>
                  <w:r w:rsidRPr="005F763D">
                    <w:t>$___,___</w:t>
                  </w:r>
                </w:p>
              </w:tc>
            </w:tr>
          </w:tbl>
          <w:p w14:paraId="12535B71" w14:textId="77777777" w:rsidR="00FF51EF" w:rsidRPr="005F763D" w:rsidRDefault="00FF51EF" w:rsidP="00BB0D88"/>
          <w:p w14:paraId="22E7C0D0" w14:textId="77777777" w:rsidR="00FF51EF" w:rsidRPr="0088114A" w:rsidRDefault="00FF51EF" w:rsidP="00BB0D88">
            <w:pPr>
              <w:spacing w:before="120"/>
              <w:rPr>
                <w:sz w:val="18"/>
                <w:szCs w:val="18"/>
                <w:highlight w:val="yellow"/>
              </w:rPr>
            </w:pPr>
          </w:p>
        </w:tc>
      </w:tr>
      <w:tr w:rsidR="00FF51EF" w:rsidRPr="00E87AAA" w14:paraId="7679C3E5"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2A4FC91" w14:textId="77777777" w:rsidR="00FF51EF" w:rsidRPr="00E87AAA" w:rsidRDefault="00FF51EF" w:rsidP="00B21CF5">
            <w:pPr>
              <w:pStyle w:val="Instructions"/>
            </w:pPr>
            <w:r w:rsidRPr="00E87AAA">
              <w:t>In your Best Interest</w:t>
            </w:r>
          </w:p>
        </w:tc>
        <w:tc>
          <w:tcPr>
            <w:tcW w:w="6798" w:type="dxa"/>
            <w:shd w:val="clear" w:color="auto" w:fill="auto"/>
          </w:tcPr>
          <w:p w14:paraId="3C752E30" w14:textId="77777777" w:rsidR="00FF51EF" w:rsidRPr="00E87AAA" w:rsidRDefault="00FF51EF" w:rsidP="00E11BDB">
            <w:pPr>
              <w:jc w:val="left"/>
              <w:rPr>
                <w:sz w:val="18"/>
                <w:szCs w:val="18"/>
                <w:highlight w:val="yellow"/>
              </w:rPr>
            </w:pPr>
          </w:p>
        </w:tc>
      </w:tr>
      <w:tr w:rsidR="00FF51EF" w:rsidRPr="00E87AAA" w14:paraId="16BD94E9"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5D2DF0" w14:textId="77777777" w:rsidR="00FF51EF" w:rsidRPr="00E87AAA" w:rsidRDefault="00FF51EF" w:rsidP="00B21CF5">
            <w:pPr>
              <w:pStyle w:val="Instructions"/>
            </w:pPr>
            <w:r>
              <w:t>Further Detail</w:t>
            </w:r>
          </w:p>
        </w:tc>
        <w:tc>
          <w:tcPr>
            <w:tcW w:w="6798" w:type="dxa"/>
            <w:shd w:val="clear" w:color="auto" w:fill="auto"/>
          </w:tcPr>
          <w:p w14:paraId="69B832DE" w14:textId="77777777" w:rsidR="00FF51EF" w:rsidRPr="005F763D" w:rsidRDefault="00FF51EF" w:rsidP="00BB0D88">
            <w:pPr>
              <w:jc w:val="left"/>
            </w:pPr>
            <w:r w:rsidRPr="005F763D">
              <w:t>Your current asset allocation is not in line with your personal investment risk profile.</w:t>
            </w:r>
          </w:p>
          <w:p w14:paraId="5A8450F4" w14:textId="77777777" w:rsidR="00FF51EF" w:rsidRPr="005F763D" w:rsidRDefault="00FF51EF" w:rsidP="00BB0D88">
            <w:pPr>
              <w:jc w:val="left"/>
            </w:pPr>
          </w:p>
          <w:p w14:paraId="21228678" w14:textId="77777777" w:rsidR="00FF51EF" w:rsidRDefault="00FF51EF" w:rsidP="00BB0D88">
            <w:pPr>
              <w:jc w:val="left"/>
            </w:pPr>
            <w:r w:rsidRPr="003C548A">
              <w:t xml:space="preserve">We have determined that your entire investment portfolio, including your current and future superannuation benefits should be in line with your </w:t>
            </w:r>
            <w:r w:rsidRPr="00690582">
              <w:rPr>
                <w:color w:val="7030A0"/>
                <w:highlight w:val="yellow"/>
              </w:rPr>
              <w:t>[assessed risk profile]</w:t>
            </w:r>
            <w:r w:rsidRPr="003C548A">
              <w:t xml:space="preserve"> risk profile.</w:t>
            </w:r>
          </w:p>
          <w:p w14:paraId="448D7DAA" w14:textId="77777777" w:rsidR="00FF51EF" w:rsidRPr="005F763D" w:rsidRDefault="00FF51EF" w:rsidP="00BB0D88">
            <w:pPr>
              <w:jc w:val="left"/>
            </w:pPr>
          </w:p>
          <w:p w14:paraId="031AB4F5" w14:textId="77777777" w:rsidR="00FF51EF" w:rsidRPr="005F763D" w:rsidRDefault="00FF51EF" w:rsidP="00BB0D88">
            <w:pPr>
              <w:jc w:val="left"/>
            </w:pPr>
            <w:r w:rsidRPr="005F763D">
              <w:t>Upon switching from your current investment options within your superannuation fund a switching fee of $</w:t>
            </w:r>
            <w:r w:rsidRPr="005F763D">
              <w:rPr>
                <w:color w:val="FF0000"/>
              </w:rPr>
              <w:t>[__</w:t>
            </w:r>
            <w:proofErr w:type="gramStart"/>
            <w:r w:rsidRPr="005F763D">
              <w:rPr>
                <w:color w:val="FF0000"/>
              </w:rPr>
              <w:t>_,_</w:t>
            </w:r>
            <w:proofErr w:type="gramEnd"/>
            <w:r w:rsidRPr="005F763D">
              <w:rPr>
                <w:color w:val="FF0000"/>
              </w:rPr>
              <w:t>__]</w:t>
            </w:r>
            <w:r w:rsidRPr="005F763D">
              <w:t xml:space="preserve"> will be incurred.  The switching fee will be deducted from your superannuation benefits.</w:t>
            </w:r>
          </w:p>
          <w:p w14:paraId="329CD872" w14:textId="77777777" w:rsidR="00FF51EF" w:rsidRPr="005F763D" w:rsidRDefault="00FF51EF" w:rsidP="00BB0D88">
            <w:pPr>
              <w:jc w:val="left"/>
            </w:pPr>
          </w:p>
          <w:p w14:paraId="46286528" w14:textId="77777777" w:rsidR="00FF51EF" w:rsidRPr="00E87AAA" w:rsidRDefault="00FF51EF" w:rsidP="00BB0D88">
            <w:pPr>
              <w:jc w:val="left"/>
              <w:rPr>
                <w:sz w:val="18"/>
                <w:szCs w:val="18"/>
                <w:highlight w:val="yellow"/>
              </w:rPr>
            </w:pPr>
          </w:p>
        </w:tc>
      </w:tr>
    </w:tbl>
    <w:p w14:paraId="79BA5DA0" w14:textId="77777777" w:rsidR="00751467" w:rsidRDefault="00751467" w:rsidP="00751467">
      <w:pPr>
        <w:jc w:val="left"/>
        <w:rPr>
          <w:color w:val="002060"/>
          <w:sz w:val="24"/>
        </w:rPr>
      </w:pPr>
    </w:p>
    <w:p w14:paraId="170CEE71" w14:textId="6F11FE6C" w:rsidR="00751467" w:rsidRDefault="00DF3E29" w:rsidP="00F67D2E">
      <w:commentRangeStart w:id="140"/>
      <w:commentRangeEnd w:id="140"/>
      <w:r>
        <w:rPr>
          <w:rStyle w:val="CommentReference"/>
          <w:color w:val="auto"/>
          <w:lang w:eastAsia="ja-JP"/>
        </w:rPr>
        <w:commentReference w:id="140"/>
      </w:r>
    </w:p>
    <w:p w14:paraId="3B0C7FC7" w14:textId="484A7C68" w:rsidR="00F67D2E" w:rsidRDefault="00F67D2E" w:rsidP="00F67D2E"/>
    <w:p w14:paraId="066F1471" w14:textId="77777777" w:rsidR="000C368C" w:rsidRPr="002F74F5" w:rsidRDefault="000C368C" w:rsidP="0008751D">
      <w:pPr>
        <w:pStyle w:val="Heading2"/>
      </w:pPr>
      <w:bookmarkStart w:id="141" w:name="_Toc46236040"/>
      <w:r w:rsidRPr="000A6E96">
        <w:t>Salary Packaging</w:t>
      </w:r>
      <w:bookmarkEnd w:id="141"/>
    </w:p>
    <w:p w14:paraId="6E6FF609" w14:textId="77777777" w:rsidR="000C368C" w:rsidRDefault="000C368C" w:rsidP="000C368C">
      <w:pPr>
        <w:jc w:val="left"/>
      </w:pPr>
    </w:p>
    <w:tbl>
      <w:tblPr>
        <w:tblStyle w:val="TableGrid"/>
        <w:tblW w:w="0" w:type="auto"/>
        <w:tblInd w:w="76" w:type="dxa"/>
        <w:tblLook w:val="04A0" w:firstRow="1" w:lastRow="0" w:firstColumn="1" w:lastColumn="0" w:noHBand="0" w:noVBand="1"/>
      </w:tblPr>
      <w:tblGrid>
        <w:gridCol w:w="2754"/>
        <w:gridCol w:w="6798"/>
      </w:tblGrid>
      <w:tr w:rsidR="000C368C" w:rsidRPr="000D0191" w14:paraId="6A72EE14" w14:textId="77777777" w:rsidTr="00106E56">
        <w:tc>
          <w:tcPr>
            <w:tcW w:w="2754" w:type="dxa"/>
          </w:tcPr>
          <w:p w14:paraId="583E9FF1" w14:textId="77777777" w:rsidR="000C368C" w:rsidRPr="00EA0A06" w:rsidRDefault="000C368C" w:rsidP="00106E56">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58AD74F" w14:textId="77777777" w:rsidR="000C368C" w:rsidRPr="000D0191" w:rsidRDefault="000C368C" w:rsidP="00106E56">
            <w:pPr>
              <w:pStyle w:val="TableHeader2"/>
              <w:rPr>
                <w:rFonts w:ascii="Calibri Light" w:hAnsi="Calibri Light"/>
                <w:highlight w:val="yellow"/>
              </w:rPr>
            </w:pPr>
          </w:p>
        </w:tc>
      </w:tr>
      <w:tr w:rsidR="000C368C" w:rsidRPr="000D0191" w14:paraId="449972C5" w14:textId="77777777" w:rsidTr="00106E56">
        <w:tc>
          <w:tcPr>
            <w:tcW w:w="2754" w:type="dxa"/>
          </w:tcPr>
          <w:p w14:paraId="5624632F" w14:textId="77777777" w:rsidR="000C368C" w:rsidRPr="00EA0A06" w:rsidRDefault="000C368C" w:rsidP="00B21CF5">
            <w:pPr>
              <w:pStyle w:val="Instructions"/>
            </w:pPr>
            <w:r w:rsidRPr="00EA0A06">
              <w:t>Title</w:t>
            </w:r>
          </w:p>
        </w:tc>
        <w:tc>
          <w:tcPr>
            <w:tcW w:w="6798" w:type="dxa"/>
          </w:tcPr>
          <w:p w14:paraId="4CFDEDD2" w14:textId="77777777" w:rsidR="000C368C" w:rsidRPr="00D50E47" w:rsidRDefault="000C368C" w:rsidP="00106E56">
            <w:pPr>
              <w:spacing w:after="120"/>
            </w:pPr>
            <w:r w:rsidRPr="006334D8">
              <w:rPr>
                <w:rFonts w:cs="Calibri"/>
              </w:rPr>
              <w:t>Salary Pac</w:t>
            </w:r>
            <w:r w:rsidRPr="00E15243">
              <w:rPr>
                <w:rFonts w:cs="Calibri"/>
              </w:rPr>
              <w:t>kaging</w:t>
            </w:r>
          </w:p>
        </w:tc>
      </w:tr>
      <w:tr w:rsidR="000C368C" w:rsidRPr="000D0191" w14:paraId="31790FEE" w14:textId="77777777" w:rsidTr="00106E56">
        <w:tc>
          <w:tcPr>
            <w:tcW w:w="2754" w:type="dxa"/>
          </w:tcPr>
          <w:p w14:paraId="4DD4D578" w14:textId="77777777" w:rsidR="000C368C" w:rsidRPr="00EA0A06" w:rsidRDefault="000C368C" w:rsidP="00B21CF5">
            <w:pPr>
              <w:pStyle w:val="Instructions"/>
            </w:pPr>
            <w:r w:rsidRPr="00EA0A06">
              <w:t>Explanation</w:t>
            </w:r>
          </w:p>
        </w:tc>
        <w:tc>
          <w:tcPr>
            <w:tcW w:w="6798" w:type="dxa"/>
          </w:tcPr>
          <w:p w14:paraId="790E37A1" w14:textId="77777777" w:rsidR="000C368C" w:rsidRPr="000D0191" w:rsidRDefault="000C368C" w:rsidP="00106E56">
            <w:pPr>
              <w:jc w:val="left"/>
              <w:rPr>
                <w:highlight w:val="yellow"/>
              </w:rPr>
            </w:pPr>
            <w:r w:rsidRPr="009B53E1">
              <w:rPr>
                <w:color w:val="FF0000"/>
                <w:szCs w:val="20"/>
              </w:rPr>
              <w:t>[Client]</w:t>
            </w:r>
            <w:r w:rsidRPr="009B53E1">
              <w:rPr>
                <w:szCs w:val="20"/>
              </w:rPr>
              <w:t xml:space="preserve"> </w:t>
            </w:r>
            <w:r w:rsidRPr="009B53E1">
              <w:rPr>
                <w:color w:val="FF0000"/>
                <w:szCs w:val="20"/>
              </w:rPr>
              <w:t>[</w:t>
            </w:r>
            <w:r w:rsidRPr="009B53E1">
              <w:rPr>
                <w:szCs w:val="20"/>
              </w:rPr>
              <w:t xml:space="preserve">and </w:t>
            </w:r>
            <w:r w:rsidRPr="009B53E1">
              <w:rPr>
                <w:color w:val="FF0000"/>
                <w:szCs w:val="20"/>
              </w:rPr>
              <w:t>[Partner]]</w:t>
            </w:r>
            <w:r w:rsidRPr="009B53E1">
              <w:rPr>
                <w:szCs w:val="20"/>
              </w:rPr>
              <w:t>,</w:t>
            </w:r>
            <w:r>
              <w:rPr>
                <w:szCs w:val="20"/>
              </w:rPr>
              <w:t xml:space="preserve"> </w:t>
            </w:r>
            <w:r w:rsidRPr="000A6E96">
              <w:t xml:space="preserve">we recommend that you salary package up to the maximum limit of </w:t>
            </w:r>
            <w:r>
              <w:t>$</w:t>
            </w:r>
            <w:r w:rsidRPr="000A6E96">
              <w:rPr>
                <w:color w:val="FF0000"/>
              </w:rPr>
              <w:t>[__</w:t>
            </w:r>
            <w:proofErr w:type="gramStart"/>
            <w:r w:rsidRPr="000A6E96">
              <w:rPr>
                <w:color w:val="FF0000"/>
              </w:rPr>
              <w:t>_,_</w:t>
            </w:r>
            <w:proofErr w:type="gramEnd"/>
            <w:r w:rsidRPr="000A6E96">
              <w:rPr>
                <w:color w:val="FF0000"/>
              </w:rPr>
              <w:t>__]</w:t>
            </w:r>
            <w:r w:rsidRPr="000A6E96">
              <w:t xml:space="preserve"> per annum</w:t>
            </w:r>
            <w:r>
              <w:t xml:space="preserve"> </w:t>
            </w:r>
            <w:r w:rsidRPr="005F39F4">
              <w:rPr>
                <w:color w:val="FF0000"/>
              </w:rPr>
              <w:t>[each]</w:t>
            </w:r>
            <w:r w:rsidRPr="000A6E96">
              <w:t xml:space="preserve">.  </w:t>
            </w:r>
          </w:p>
        </w:tc>
      </w:tr>
      <w:tr w:rsidR="000C368C" w:rsidRPr="000D0191" w14:paraId="1AECACAD" w14:textId="77777777" w:rsidTr="00106E56">
        <w:tc>
          <w:tcPr>
            <w:tcW w:w="2754" w:type="dxa"/>
          </w:tcPr>
          <w:p w14:paraId="0C64DB6E" w14:textId="77777777" w:rsidR="000C368C" w:rsidRPr="00EA0A06" w:rsidRDefault="000C368C" w:rsidP="00B21CF5">
            <w:pPr>
              <w:pStyle w:val="Instructions"/>
            </w:pPr>
            <w:r w:rsidRPr="00EA0A06">
              <w:t>In your Best Interest</w:t>
            </w:r>
          </w:p>
        </w:tc>
        <w:tc>
          <w:tcPr>
            <w:tcW w:w="6798" w:type="dxa"/>
          </w:tcPr>
          <w:p w14:paraId="60CFB201" w14:textId="77777777" w:rsidR="000C368C" w:rsidRPr="000D0191" w:rsidRDefault="000C368C" w:rsidP="00E11BDB">
            <w:pPr>
              <w:jc w:val="left"/>
              <w:rPr>
                <w:highlight w:val="yellow"/>
              </w:rPr>
            </w:pPr>
          </w:p>
        </w:tc>
      </w:tr>
      <w:tr w:rsidR="000C368C" w:rsidRPr="000D0191" w14:paraId="40311650" w14:textId="77777777" w:rsidTr="00106E56">
        <w:tc>
          <w:tcPr>
            <w:tcW w:w="2754" w:type="dxa"/>
          </w:tcPr>
          <w:p w14:paraId="04A93A4C" w14:textId="77777777" w:rsidR="000C368C" w:rsidRPr="00EA0A06" w:rsidRDefault="000C368C" w:rsidP="00B21CF5">
            <w:pPr>
              <w:pStyle w:val="Instructions"/>
            </w:pPr>
            <w:r w:rsidRPr="00EA0A06">
              <w:t>Further Detail</w:t>
            </w:r>
          </w:p>
        </w:tc>
        <w:tc>
          <w:tcPr>
            <w:tcW w:w="6798" w:type="dxa"/>
          </w:tcPr>
          <w:p w14:paraId="7752D77F" w14:textId="40220BD0" w:rsidR="00A36368" w:rsidRDefault="00A36368" w:rsidP="00A36368">
            <w:pPr>
              <w:jc w:val="left"/>
            </w:pPr>
            <w:r w:rsidRPr="000A6E96">
              <w:t xml:space="preserve">We recommend that you direct this payment </w:t>
            </w:r>
            <w:r>
              <w:t xml:space="preserve">to </w:t>
            </w:r>
            <w:r w:rsidRPr="000A6E96">
              <w:rPr>
                <w:color w:val="7030A0"/>
                <w:highlight w:val="yellow"/>
              </w:rPr>
              <w:t>[ relevant goal</w:t>
            </w:r>
            <w:r>
              <w:rPr>
                <w:color w:val="7030A0"/>
                <w:highlight w:val="yellow"/>
              </w:rPr>
              <w:t xml:space="preserve"> </w:t>
            </w:r>
            <w:proofErr w:type="gramStart"/>
            <w:r>
              <w:rPr>
                <w:color w:val="7030A0"/>
                <w:highlight w:val="yellow"/>
              </w:rPr>
              <w:t>1</w:t>
            </w:r>
            <w:r w:rsidRPr="000A6E96">
              <w:rPr>
                <w:color w:val="7030A0"/>
                <w:highlight w:val="yellow"/>
              </w:rPr>
              <w:t xml:space="preserve"> ]</w:t>
            </w:r>
            <w:proofErr w:type="gramEnd"/>
            <w:r>
              <w:t xml:space="preserve"> </w:t>
            </w:r>
            <w:r w:rsidRPr="000A6E96">
              <w:t>an</w:t>
            </w:r>
            <w:r>
              <w:t xml:space="preserve">d any </w:t>
            </w:r>
            <w:r w:rsidRPr="000A6E96">
              <w:t>remainder to</w:t>
            </w:r>
            <w:r>
              <w:t xml:space="preserve"> </w:t>
            </w:r>
            <w:r w:rsidRPr="005F39F4">
              <w:rPr>
                <w:color w:val="7030A0"/>
                <w:highlight w:val="yellow"/>
              </w:rPr>
              <w:t>[ relevant goal</w:t>
            </w:r>
            <w:r>
              <w:rPr>
                <w:color w:val="7030A0"/>
                <w:highlight w:val="yellow"/>
              </w:rPr>
              <w:t xml:space="preserve"> 2</w:t>
            </w:r>
            <w:r w:rsidRPr="005F39F4">
              <w:rPr>
                <w:color w:val="7030A0"/>
                <w:highlight w:val="yellow"/>
              </w:rPr>
              <w:t xml:space="preserve"> ]</w:t>
            </w:r>
            <w:r w:rsidRPr="000A6E96">
              <w:t>.</w:t>
            </w:r>
          </w:p>
          <w:p w14:paraId="752BFAF5" w14:textId="77777777" w:rsidR="00A36368" w:rsidRDefault="00A36368" w:rsidP="00A36368">
            <w:pPr>
              <w:jc w:val="left"/>
            </w:pPr>
          </w:p>
          <w:p w14:paraId="6B2E3A17" w14:textId="77777777" w:rsidR="000C368C" w:rsidRDefault="000C368C" w:rsidP="00106E56">
            <w:pPr>
              <w:jc w:val="left"/>
            </w:pPr>
            <w:r w:rsidRPr="000A6E96">
              <w:t>Salary packaging is a flexible and tax-effective method of increasing your after-tax salary by “packaging” other benefits. This may allow you to accelerate debt reduction or accumulate wealth for retirement.</w:t>
            </w:r>
          </w:p>
          <w:p w14:paraId="6777854E" w14:textId="77777777" w:rsidR="000C368C" w:rsidRDefault="000C368C" w:rsidP="00106E56">
            <w:pPr>
              <w:jc w:val="left"/>
            </w:pPr>
          </w:p>
          <w:p w14:paraId="6F41F266" w14:textId="77777777" w:rsidR="000C368C" w:rsidRDefault="000C368C" w:rsidP="00106E56">
            <w:pPr>
              <w:jc w:val="left"/>
            </w:pPr>
            <w:r w:rsidRPr="000A6E96">
              <w:t>Our calculations indicate that meeting these expenses by way of salary packaging should result in your after-tax income in</w:t>
            </w:r>
            <w:r>
              <w:t>creasing by approximately $</w:t>
            </w:r>
            <w:r w:rsidRPr="000A6E96">
              <w:rPr>
                <w:color w:val="FF0000"/>
              </w:rPr>
              <w:t>[__</w:t>
            </w:r>
            <w:proofErr w:type="gramStart"/>
            <w:r w:rsidRPr="000A6E96">
              <w:rPr>
                <w:color w:val="FF0000"/>
              </w:rPr>
              <w:t>_,_</w:t>
            </w:r>
            <w:proofErr w:type="gramEnd"/>
            <w:r w:rsidRPr="000A6E96">
              <w:rPr>
                <w:color w:val="FF0000"/>
              </w:rPr>
              <w:t>__]</w:t>
            </w:r>
            <w:r w:rsidRPr="000A6E96">
              <w:t xml:space="preserve"> per annum.</w:t>
            </w:r>
          </w:p>
          <w:p w14:paraId="4FFD36EE" w14:textId="77777777" w:rsidR="000C368C" w:rsidRPr="000D0191" w:rsidRDefault="000C368C" w:rsidP="00B21CF5">
            <w:pPr>
              <w:pStyle w:val="Instructions"/>
              <w:rPr>
                <w:highlight w:val="yellow"/>
              </w:rPr>
            </w:pPr>
          </w:p>
        </w:tc>
      </w:tr>
    </w:tbl>
    <w:p w14:paraId="3631CA56" w14:textId="77777777" w:rsidR="000C368C" w:rsidRDefault="000C368C" w:rsidP="000C368C">
      <w:pPr>
        <w:jc w:val="left"/>
      </w:pPr>
    </w:p>
    <w:p w14:paraId="2F2C25D3" w14:textId="77777777" w:rsidR="000C368C" w:rsidRPr="00810540" w:rsidRDefault="000C368C" w:rsidP="00B21CF5">
      <w:pPr>
        <w:pStyle w:val="Instructions"/>
      </w:pPr>
      <w:r w:rsidRPr="00810540">
        <w:lastRenderedPageBreak/>
        <w:t>Further Detail</w:t>
      </w:r>
      <w:r>
        <w:t xml:space="preserve"> (continued)</w:t>
      </w:r>
    </w:p>
    <w:p w14:paraId="4BB3EEA9" w14:textId="77777777" w:rsidR="000C368C" w:rsidRPr="000A6E96" w:rsidRDefault="000C368C" w:rsidP="000C368C">
      <w:pPr>
        <w:jc w:val="lef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firstRow="1" w:lastRow="0" w:firstColumn="1" w:lastColumn="0" w:noHBand="0" w:noVBand="1"/>
      </w:tblPr>
      <w:tblGrid>
        <w:gridCol w:w="4273"/>
        <w:gridCol w:w="3366"/>
        <w:gridCol w:w="2982"/>
      </w:tblGrid>
      <w:tr w:rsidR="000C368C" w:rsidRPr="00103DE7" w14:paraId="5941AD19"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7AF85" w14:textId="77777777" w:rsidR="000C368C" w:rsidRPr="00103DE7" w:rsidRDefault="000C368C" w:rsidP="00106E56">
            <w:pPr>
              <w:pStyle w:val="NoSpacing"/>
              <w:spacing w:before="40" w:afterLines="40" w:after="96"/>
              <w:rPr>
                <w:rStyle w:val="SubtleEmphasis"/>
                <w:rFonts w:eastAsia="MS Minch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757141" w14:textId="77777777" w:rsidR="000C368C" w:rsidRPr="001907DE" w:rsidRDefault="000C368C" w:rsidP="00106E56">
            <w:pPr>
              <w:jc w:val="center"/>
              <w:rPr>
                <w:rFonts w:ascii="Arial Narrow" w:hAnsi="Arial Narrow"/>
                <w:b/>
              </w:rPr>
            </w:pPr>
            <w:r w:rsidRPr="001907DE">
              <w:rPr>
                <w:rFonts w:ascii="Arial Narrow" w:hAnsi="Arial Narrow"/>
                <w:b/>
              </w:rPr>
              <w:t>Without Salary Packaging</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86D90E" w14:textId="77777777" w:rsidR="000C368C" w:rsidRPr="001907DE" w:rsidRDefault="000C368C" w:rsidP="00106E56">
            <w:pPr>
              <w:jc w:val="center"/>
              <w:rPr>
                <w:rFonts w:ascii="Arial Narrow" w:hAnsi="Arial Narrow"/>
                <w:b/>
              </w:rPr>
            </w:pPr>
            <w:r w:rsidRPr="001907DE">
              <w:rPr>
                <w:rFonts w:ascii="Arial Narrow" w:hAnsi="Arial Narrow"/>
                <w:b/>
              </w:rPr>
              <w:t>With Salary Packaging</w:t>
            </w:r>
          </w:p>
        </w:tc>
      </w:tr>
      <w:tr w:rsidR="000C368C" w:rsidRPr="00103DE7" w14:paraId="5DABB416"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A8F11" w14:textId="77777777" w:rsidR="000C368C" w:rsidRPr="00493D3A" w:rsidRDefault="000C368C" w:rsidP="00106E56">
            <w:pPr>
              <w:jc w:val="left"/>
              <w:rPr>
                <w:rFonts w:ascii="Arial Narrow" w:hAnsi="Arial Narrow"/>
                <w:b/>
                <w:szCs w:val="20"/>
              </w:rPr>
            </w:pPr>
            <w:r w:rsidRPr="00493D3A">
              <w:rPr>
                <w:rFonts w:ascii="Arial Narrow" w:hAnsi="Arial Narrow"/>
                <w:b/>
                <w:szCs w:val="20"/>
              </w:rPr>
              <w:t>Salary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6F6A1A" w14:textId="77777777" w:rsidR="000C368C" w:rsidRPr="00E56BF8" w:rsidRDefault="000C368C" w:rsidP="00106E56">
            <w:pPr>
              <w:jc w:val="right"/>
              <w:rPr>
                <w:b/>
              </w:rPr>
            </w:pPr>
            <w:r w:rsidRPr="00E56BF8">
              <w:rPr>
                <w:b/>
              </w:rPr>
              <w:t>$</w:t>
            </w:r>
            <w:r w:rsidRPr="00E56BF8">
              <w:rPr>
                <w:b/>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4622A4" w14:textId="77777777" w:rsidR="000C368C" w:rsidRPr="00E56BF8" w:rsidRDefault="000C368C" w:rsidP="00106E56">
            <w:pPr>
              <w:jc w:val="right"/>
              <w:rPr>
                <w:b/>
              </w:rPr>
            </w:pPr>
            <w:r w:rsidRPr="00E56BF8">
              <w:rPr>
                <w:b/>
              </w:rPr>
              <w:t>$</w:t>
            </w:r>
            <w:r w:rsidRPr="00E56BF8">
              <w:rPr>
                <w:b/>
                <w:color w:val="FF0000"/>
              </w:rPr>
              <w:t>[___,___]</w:t>
            </w:r>
          </w:p>
        </w:tc>
      </w:tr>
      <w:tr w:rsidR="000C368C" w:rsidRPr="00103DE7" w14:paraId="33951D01"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886E9" w14:textId="77777777" w:rsidR="000C368C" w:rsidRPr="00493D3A" w:rsidRDefault="000C368C" w:rsidP="00106E56">
            <w:pPr>
              <w:jc w:val="left"/>
              <w:rPr>
                <w:rFonts w:ascii="Arial Narrow" w:hAnsi="Arial Narrow"/>
                <w:szCs w:val="20"/>
              </w:rPr>
            </w:pPr>
            <w:r w:rsidRPr="00493D3A">
              <w:rPr>
                <w:rFonts w:ascii="Arial Narrow" w:hAnsi="Arial Narrow"/>
                <w:szCs w:val="20"/>
              </w:rPr>
              <w:t>Amount Packaged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C6718"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BE460"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137C9D90"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67904" w14:textId="77777777" w:rsidR="000C368C" w:rsidRPr="00493D3A" w:rsidRDefault="000C368C" w:rsidP="00106E56">
            <w:pPr>
              <w:jc w:val="left"/>
              <w:rPr>
                <w:rFonts w:ascii="Arial Narrow" w:hAnsi="Arial Narrow"/>
                <w:szCs w:val="20"/>
              </w:rPr>
            </w:pPr>
            <w:r w:rsidRPr="00493D3A">
              <w:rPr>
                <w:rFonts w:ascii="Arial Narrow" w:hAnsi="Arial Narrow"/>
                <w:szCs w:val="20"/>
              </w:rPr>
              <w:t>FBT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7D80"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45278"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14E3192C"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55A3B" w14:textId="77777777" w:rsidR="000C368C" w:rsidRPr="00493D3A" w:rsidRDefault="000C368C" w:rsidP="00106E56">
            <w:pPr>
              <w:jc w:val="left"/>
              <w:rPr>
                <w:rFonts w:ascii="Arial Narrow" w:hAnsi="Arial Narrow"/>
                <w:szCs w:val="20"/>
              </w:rPr>
            </w:pPr>
            <w:r w:rsidRPr="00493D3A">
              <w:rPr>
                <w:rFonts w:ascii="Arial Narrow" w:hAnsi="Arial Narrow"/>
                <w:szCs w:val="20"/>
              </w:rPr>
              <w:t>Administration Fee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356C2"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43BB3"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5A1617A8"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969F9" w14:textId="77777777" w:rsidR="000C368C" w:rsidRPr="000F323A" w:rsidRDefault="000C368C" w:rsidP="00106E56">
            <w:pPr>
              <w:jc w:val="left"/>
              <w:rPr>
                <w:rStyle w:val="IntenseEmphasis"/>
                <w:rFonts w:ascii="Arial Narrow" w:hAnsi="Arial Narrow"/>
                <w:b w:val="0"/>
                <w:szCs w:val="20"/>
              </w:rPr>
            </w:pPr>
            <w:r w:rsidRPr="000F323A">
              <w:rPr>
                <w:rFonts w:ascii="Arial Narrow" w:hAnsi="Arial Narrow"/>
                <w:b/>
              </w:rPr>
              <w:t>Net Salary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3701E" w14:textId="77777777" w:rsidR="000C368C" w:rsidRPr="00E56BF8" w:rsidRDefault="000C368C" w:rsidP="00106E56">
            <w:pPr>
              <w:jc w:val="right"/>
              <w:rPr>
                <w:b/>
                <w:color w:val="FF0000"/>
              </w:rPr>
            </w:pPr>
            <w:r w:rsidRPr="00E56BF8">
              <w:rPr>
                <w:b/>
              </w:rPr>
              <w:t>$</w:t>
            </w:r>
            <w:r w:rsidRPr="00E56BF8">
              <w:rPr>
                <w:b/>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0EFA4" w14:textId="77777777" w:rsidR="000C368C" w:rsidRPr="00E56BF8" w:rsidRDefault="000C368C" w:rsidP="00106E56">
            <w:pPr>
              <w:jc w:val="right"/>
              <w:rPr>
                <w:b/>
                <w:color w:val="FF0000"/>
              </w:rPr>
            </w:pPr>
            <w:r w:rsidRPr="00E56BF8">
              <w:rPr>
                <w:b/>
              </w:rPr>
              <w:t>$</w:t>
            </w:r>
            <w:r w:rsidRPr="00E56BF8">
              <w:rPr>
                <w:b/>
                <w:color w:val="FF0000"/>
              </w:rPr>
              <w:t>[___,___]</w:t>
            </w:r>
          </w:p>
        </w:tc>
      </w:tr>
      <w:tr w:rsidR="000C368C" w:rsidRPr="00103DE7" w14:paraId="55804A52"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660E6" w14:textId="77777777" w:rsidR="000C368C" w:rsidRPr="000F323A" w:rsidRDefault="000C368C" w:rsidP="00106E56">
            <w:pPr>
              <w:jc w:val="left"/>
              <w:rPr>
                <w:rFonts w:ascii="Arial Narrow" w:hAnsi="Arial Narrow"/>
                <w:szCs w:val="20"/>
              </w:rPr>
            </w:pPr>
            <w:r w:rsidRPr="000F323A">
              <w:rPr>
                <w:rFonts w:ascii="Arial Narrow" w:hAnsi="Arial Narrow"/>
                <w:szCs w:val="20"/>
              </w:rPr>
              <w:t>Input Tax Credit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01B5D"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6A763"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712E3DB2"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FFEF6" w14:textId="77777777" w:rsidR="000C368C" w:rsidRPr="00493D3A" w:rsidRDefault="000C368C" w:rsidP="00106E56">
            <w:pPr>
              <w:jc w:val="left"/>
              <w:rPr>
                <w:rStyle w:val="IntenseEmphasis"/>
                <w:rFonts w:ascii="Arial Narrow" w:hAnsi="Arial Narrow"/>
                <w:b w:val="0"/>
                <w:szCs w:val="20"/>
              </w:rPr>
            </w:pPr>
            <w:r w:rsidRPr="000F323A">
              <w:rPr>
                <w:rFonts w:ascii="Arial Narrow" w:hAnsi="Arial Narrow"/>
                <w:b/>
              </w:rPr>
              <w:t>Net Salary After Input Tax Credits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EEAC"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50503"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05BCEE8E"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1CE60" w14:textId="77777777" w:rsidR="000C368C" w:rsidRPr="000F323A" w:rsidRDefault="000C368C" w:rsidP="00106E56">
            <w:pPr>
              <w:jc w:val="left"/>
              <w:rPr>
                <w:rFonts w:ascii="Arial Narrow" w:hAnsi="Arial Narrow"/>
                <w:szCs w:val="20"/>
              </w:rPr>
            </w:pPr>
            <w:r w:rsidRPr="000F323A">
              <w:rPr>
                <w:rFonts w:ascii="Arial Narrow" w:hAnsi="Arial Narrow"/>
                <w:szCs w:val="20"/>
              </w:rPr>
              <w:t>Tax &amp; Medicare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70454"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DE0FC"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5F0B6E76"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86A3E" w14:textId="77777777" w:rsidR="000C368C" w:rsidRPr="000F323A" w:rsidRDefault="000C368C" w:rsidP="00106E56">
            <w:pPr>
              <w:jc w:val="left"/>
              <w:rPr>
                <w:rFonts w:ascii="Arial Narrow" w:hAnsi="Arial Narrow"/>
                <w:szCs w:val="20"/>
              </w:rPr>
            </w:pPr>
            <w:r w:rsidRPr="000F323A">
              <w:rPr>
                <w:rFonts w:ascii="Arial Narrow" w:hAnsi="Arial Narrow"/>
                <w:szCs w:val="20"/>
              </w:rPr>
              <w:t>Amount Packaged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0B042"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67E64"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3C42EBB7"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97E2E" w14:textId="77777777" w:rsidR="000C368C" w:rsidRPr="000F323A" w:rsidRDefault="000C368C" w:rsidP="00106E56">
            <w:pPr>
              <w:jc w:val="left"/>
              <w:rPr>
                <w:rFonts w:ascii="Arial Narrow" w:hAnsi="Arial Narrow"/>
                <w:b/>
              </w:rPr>
            </w:pPr>
            <w:r w:rsidRPr="000F323A">
              <w:rPr>
                <w:rFonts w:ascii="Arial Narrow" w:hAnsi="Arial Narrow"/>
                <w:b/>
              </w:rPr>
              <w:t>Cash Salary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A9855" w14:textId="77777777" w:rsidR="000C368C" w:rsidRPr="00E56BF8" w:rsidRDefault="000C368C" w:rsidP="00106E56">
            <w:pPr>
              <w:jc w:val="right"/>
              <w:rPr>
                <w:b/>
                <w:color w:val="FF0000"/>
              </w:rPr>
            </w:pPr>
            <w:r w:rsidRPr="00E56BF8">
              <w:rPr>
                <w:b/>
              </w:rPr>
              <w:t>$</w:t>
            </w:r>
            <w:r w:rsidRPr="00E56BF8">
              <w:rPr>
                <w:b/>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2C4C1" w14:textId="77777777" w:rsidR="000C368C" w:rsidRPr="00E56BF8" w:rsidRDefault="000C368C" w:rsidP="00106E56">
            <w:pPr>
              <w:jc w:val="right"/>
              <w:rPr>
                <w:b/>
                <w:color w:val="FF0000"/>
              </w:rPr>
            </w:pPr>
            <w:r w:rsidRPr="00E56BF8">
              <w:rPr>
                <w:b/>
              </w:rPr>
              <w:t>$</w:t>
            </w:r>
            <w:r w:rsidRPr="00E56BF8">
              <w:rPr>
                <w:b/>
                <w:color w:val="FF0000"/>
              </w:rPr>
              <w:t>[___,___]</w:t>
            </w:r>
          </w:p>
        </w:tc>
      </w:tr>
      <w:tr w:rsidR="000C368C" w:rsidRPr="00103DE7" w14:paraId="72B692A9"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9AFE2" w14:textId="77777777" w:rsidR="000C368C" w:rsidRPr="000F323A" w:rsidRDefault="000C368C" w:rsidP="00106E56">
            <w:pPr>
              <w:jc w:val="left"/>
              <w:rPr>
                <w:rFonts w:ascii="Arial Narrow" w:hAnsi="Arial Narrow"/>
              </w:rPr>
            </w:pPr>
            <w:r w:rsidRPr="000F323A">
              <w:rPr>
                <w:rFonts w:ascii="Arial Narrow" w:hAnsi="Arial Narrow"/>
                <w:b/>
              </w:rPr>
              <w:t>Net Benefit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D5A3B" w14:textId="77777777" w:rsidR="000C368C" w:rsidRPr="00E56BF8" w:rsidRDefault="000C368C" w:rsidP="00106E56">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3B36EA" w14:textId="77777777" w:rsidR="000C368C" w:rsidRPr="00E56BF8" w:rsidRDefault="000C368C" w:rsidP="00106E56">
            <w:pPr>
              <w:jc w:val="right"/>
              <w:rPr>
                <w:b/>
              </w:rPr>
            </w:pPr>
            <w:r w:rsidRPr="00E56BF8">
              <w:rPr>
                <w:b/>
              </w:rPr>
              <w:t>$</w:t>
            </w:r>
            <w:r w:rsidRPr="00E56BF8">
              <w:rPr>
                <w:b/>
                <w:color w:val="FF0000"/>
              </w:rPr>
              <w:t>[__</w:t>
            </w:r>
            <w:proofErr w:type="gramStart"/>
            <w:r w:rsidRPr="00E56BF8">
              <w:rPr>
                <w:b/>
                <w:color w:val="FF0000"/>
              </w:rPr>
              <w:t>_,_</w:t>
            </w:r>
            <w:proofErr w:type="gramEnd"/>
            <w:r w:rsidRPr="00E56BF8">
              <w:rPr>
                <w:b/>
                <w:color w:val="FF0000"/>
              </w:rPr>
              <w:t>__]</w:t>
            </w:r>
            <w:r>
              <w:rPr>
                <w:b/>
                <w:color w:val="FF0000"/>
              </w:rPr>
              <w:t xml:space="preserve"> </w:t>
            </w:r>
            <w:r w:rsidRPr="00896B31">
              <w:rPr>
                <w:color w:val="auto"/>
                <w:vertAlign w:val="superscript"/>
              </w:rPr>
              <w:t>[1]</w:t>
            </w:r>
          </w:p>
        </w:tc>
      </w:tr>
    </w:tbl>
    <w:p w14:paraId="743FD6EC" w14:textId="77777777" w:rsidR="00DE3C70" w:rsidRDefault="00DE3C70" w:rsidP="000C368C">
      <w:pPr>
        <w:rPr>
          <w:color w:val="auto"/>
          <w:sz w:val="18"/>
          <w:highlight w:val="yellow"/>
        </w:rPr>
      </w:pPr>
    </w:p>
    <w:p w14:paraId="61256490" w14:textId="7216EAEF" w:rsidR="000C368C" w:rsidRPr="00DE3C70" w:rsidRDefault="000C368C" w:rsidP="000C368C">
      <w:pPr>
        <w:rPr>
          <w:color w:val="auto"/>
          <w:sz w:val="18"/>
        </w:rPr>
      </w:pPr>
      <w:r w:rsidRPr="00DE3C70">
        <w:rPr>
          <w:color w:val="auto"/>
          <w:sz w:val="18"/>
        </w:rPr>
        <w:t>[1] Please note that these calculations are an estimate only and we strongly recommend you seek your own personal taxation advice from a licensed tax adviser before making any financial decisions.</w:t>
      </w:r>
    </w:p>
    <w:p w14:paraId="6C93825D" w14:textId="77777777" w:rsidR="000C368C" w:rsidRDefault="000C368C" w:rsidP="00F67D2E"/>
    <w:p w14:paraId="5DEE76B2" w14:textId="16A6DC88" w:rsidR="00F67D2E" w:rsidRDefault="00F67D2E" w:rsidP="00F67D2E"/>
    <w:p w14:paraId="1A671E55" w14:textId="01035CF4" w:rsidR="00E87DF9" w:rsidRDefault="00E87DF9" w:rsidP="00F67D2E"/>
    <w:p w14:paraId="7911A759" w14:textId="15B4006B" w:rsidR="00E87DF9" w:rsidRDefault="00E87DF9" w:rsidP="00F67D2E"/>
    <w:p w14:paraId="3580D812" w14:textId="77777777" w:rsidR="00E87DF9" w:rsidRDefault="00E87DF9" w:rsidP="00F67D2E"/>
    <w:p w14:paraId="652E689D" w14:textId="7B6D7342" w:rsidR="00F67D2E" w:rsidRPr="008D1B24" w:rsidRDefault="00AE7BD4" w:rsidP="0008751D">
      <w:pPr>
        <w:pStyle w:val="Heading2"/>
        <w:sectPr w:rsidR="00F67D2E" w:rsidRPr="008D1B24" w:rsidSect="00010E11">
          <w:type w:val="continuous"/>
          <w:pgSz w:w="11906" w:h="16838" w:code="9"/>
          <w:pgMar w:top="1134" w:right="566" w:bottom="426" w:left="709" w:header="567" w:footer="95" w:gutter="0"/>
          <w:cols w:space="708"/>
          <w:docGrid w:linePitch="360"/>
        </w:sectPr>
      </w:pPr>
      <w:bookmarkStart w:id="142" w:name="_Toc46236041"/>
      <w:r>
        <w:t>Product Recommendations</w:t>
      </w:r>
      <w:bookmarkEnd w:id="142"/>
    </w:p>
    <w:p w14:paraId="2359AB8A" w14:textId="4E9FA1DD" w:rsidR="001A6A4D" w:rsidRPr="00FE2EF9" w:rsidRDefault="001A6A4D" w:rsidP="00FE2EF9">
      <w:pPr>
        <w:jc w:val="left"/>
        <w:rPr>
          <w:sz w:val="24"/>
        </w:rPr>
      </w:pPr>
      <w:r w:rsidRPr="00FE2EF9">
        <w:rPr>
          <w:color w:val="002060"/>
          <w:sz w:val="24"/>
        </w:rPr>
        <w:t>Investment Products</w:t>
      </w:r>
      <w:bookmarkEnd w:id="134"/>
    </w:p>
    <w:p w14:paraId="42168FE5" w14:textId="77777777" w:rsidR="001A6A4D" w:rsidRPr="005F763D" w:rsidRDefault="001A6A4D" w:rsidP="008C7CE9">
      <w:pPr>
        <w:jc w:val="left"/>
      </w:pPr>
    </w:p>
    <w:p w14:paraId="769B17F5" w14:textId="77777777" w:rsidR="003434D4" w:rsidRPr="005F763D" w:rsidRDefault="003434D4">
      <w:pPr>
        <w:pStyle w:val="Normal5ptAfter"/>
      </w:pPr>
      <w:r w:rsidRPr="005F763D">
        <w:t>The financial products I believe best meet your requirements to achieve your stated objectives and the associated strategies recommended are:</w:t>
      </w:r>
    </w:p>
    <w:tbl>
      <w:tblPr>
        <w:tblW w:w="5000" w:type="pct"/>
        <w:tblBorders>
          <w:top w:val="single" w:sz="2" w:space="0" w:color="808080"/>
          <w:bottom w:val="single" w:sz="2" w:space="0" w:color="808080"/>
          <w:insideV w:val="single" w:sz="24" w:space="0" w:color="FFFFFF"/>
        </w:tblBorders>
        <w:tblLayout w:type="fixed"/>
        <w:tblCellMar>
          <w:left w:w="57" w:type="dxa"/>
          <w:right w:w="57" w:type="dxa"/>
        </w:tblCellMar>
        <w:tblLook w:val="04A0" w:firstRow="1" w:lastRow="0" w:firstColumn="1" w:lastColumn="0" w:noHBand="0" w:noVBand="1"/>
      </w:tblPr>
      <w:tblGrid>
        <w:gridCol w:w="1594"/>
        <w:gridCol w:w="7442"/>
        <w:gridCol w:w="1595"/>
      </w:tblGrid>
      <w:tr w:rsidR="001A6A4D" w:rsidRPr="005F763D" w14:paraId="267B8817" w14:textId="77777777" w:rsidTr="001A6A4D">
        <w:trPr>
          <w:tblHeader/>
        </w:trPr>
        <w:tc>
          <w:tcPr>
            <w:tcW w:w="5000" w:type="pct"/>
            <w:gridSpan w:val="3"/>
            <w:tcBorders>
              <w:top w:val="single" w:sz="2" w:space="0" w:color="808080"/>
              <w:left w:val="nil"/>
              <w:bottom w:val="single" w:sz="2" w:space="0" w:color="808080"/>
              <w:right w:val="nil"/>
            </w:tcBorders>
            <w:shd w:val="clear" w:color="auto" w:fill="BFBFBF"/>
            <w:tcMar>
              <w:top w:w="0" w:type="dxa"/>
              <w:left w:w="108" w:type="dxa"/>
              <w:bottom w:w="0" w:type="dxa"/>
              <w:right w:w="108" w:type="dxa"/>
            </w:tcMar>
            <w:vAlign w:val="center"/>
            <w:hideMark/>
          </w:tcPr>
          <w:p w14:paraId="36F3150E" w14:textId="77777777" w:rsidR="001A6A4D" w:rsidRPr="005F763D" w:rsidRDefault="001A6A4D">
            <w:pPr>
              <w:pStyle w:val="TableText-LeftBold"/>
            </w:pPr>
            <w:r w:rsidRPr="005F763D">
              <w:t>Proposed Investment Products</w:t>
            </w:r>
          </w:p>
        </w:tc>
      </w:tr>
      <w:tr w:rsidR="001A6A4D" w:rsidRPr="005F763D" w14:paraId="589A61C1" w14:textId="77777777" w:rsidTr="0093711E">
        <w:trPr>
          <w:tblHeader/>
        </w:trPr>
        <w:tc>
          <w:tcPr>
            <w:tcW w:w="750" w:type="pct"/>
            <w:tcBorders>
              <w:top w:val="single" w:sz="2" w:space="0" w:color="808080"/>
              <w:left w:val="nil"/>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6C209133" w14:textId="77777777" w:rsidR="001A6A4D" w:rsidRPr="005F763D" w:rsidRDefault="0093711E" w:rsidP="0093711E">
            <w:pPr>
              <w:pStyle w:val="TableHeader2-Centre"/>
              <w:rPr>
                <w:rFonts w:ascii="Calibri" w:hAnsi="Calibri"/>
              </w:rPr>
            </w:pPr>
            <w:r w:rsidRPr="005F763D">
              <w:rPr>
                <w:rFonts w:ascii="Calibri" w:hAnsi="Calibri"/>
              </w:rPr>
              <w:t>Owner</w:t>
            </w:r>
          </w:p>
        </w:tc>
        <w:tc>
          <w:tcPr>
            <w:tcW w:w="350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386F503B" w14:textId="77777777" w:rsidR="001A6A4D" w:rsidRPr="005F763D" w:rsidRDefault="0093711E" w:rsidP="0093711E">
            <w:pPr>
              <w:pStyle w:val="TableHeader2"/>
              <w:rPr>
                <w:rFonts w:ascii="Calibri" w:hAnsi="Calibri"/>
              </w:rPr>
            </w:pPr>
            <w:r w:rsidRPr="005F763D">
              <w:rPr>
                <w:rFonts w:ascii="Calibri" w:hAnsi="Calibri"/>
              </w:rPr>
              <w:t>Product</w:t>
            </w:r>
          </w:p>
        </w:tc>
        <w:tc>
          <w:tcPr>
            <w:tcW w:w="7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hideMark/>
          </w:tcPr>
          <w:p w14:paraId="2165C745" w14:textId="77777777" w:rsidR="001A6A4D" w:rsidRPr="005F763D" w:rsidRDefault="001A6A4D" w:rsidP="001A6A4D">
            <w:pPr>
              <w:pStyle w:val="TableHeader2-Centre"/>
              <w:rPr>
                <w:rFonts w:ascii="Calibri" w:hAnsi="Calibri"/>
              </w:rPr>
            </w:pPr>
            <w:r w:rsidRPr="005F763D">
              <w:rPr>
                <w:rFonts w:ascii="Calibri" w:hAnsi="Calibri"/>
              </w:rPr>
              <w:t>Value</w:t>
            </w:r>
          </w:p>
        </w:tc>
      </w:tr>
      <w:tr w:rsidR="001A6A4D" w:rsidRPr="005F763D" w14:paraId="46083353"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35A51217" w14:textId="7B8935D4" w:rsidR="001A6A4D" w:rsidRPr="000D0191" w:rsidRDefault="00991CE7" w:rsidP="0093711E">
            <w:pPr>
              <w:pStyle w:val="TableText-Centre"/>
              <w:rPr>
                <w:rFonts w:ascii="Calibri" w:hAnsi="Calibri"/>
                <w:color w:val="FF0000"/>
              </w:rPr>
            </w:pPr>
            <w:r w:rsidRPr="000D0191">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8B3C231" w14:textId="1CB1A506" w:rsidR="001A6A4D" w:rsidRPr="00991CE7" w:rsidRDefault="00991CE7">
            <w:pPr>
              <w:pStyle w:val="TableText-Left"/>
            </w:pPr>
            <w:r w:rsidRPr="00991CE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432D905E" w14:textId="28B1DB89" w:rsidR="001A6A4D" w:rsidRPr="005F763D" w:rsidRDefault="00136CC0" w:rsidP="000D6E4F">
            <w:pPr>
              <w:pStyle w:val="TableText-Right"/>
              <w:rPr>
                <w:rFonts w:ascii="Calibri" w:hAnsi="Calibri"/>
              </w:rPr>
            </w:pPr>
            <w:r w:rsidRPr="000D0191">
              <w:t>$</w:t>
            </w:r>
            <w:r w:rsidRPr="00136CC0">
              <w:t>[___,___]</w:t>
            </w:r>
          </w:p>
        </w:tc>
      </w:tr>
      <w:tr w:rsidR="00991CE7" w:rsidRPr="005F763D" w14:paraId="74C129E3"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43A5D470" w14:textId="4F922864"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4BD3ABFF" w14:textId="35246297"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27A3147" w14:textId="23AA4728" w:rsidR="00991CE7" w:rsidRPr="005F763D" w:rsidRDefault="00991CE7" w:rsidP="000D6E4F">
            <w:pPr>
              <w:pStyle w:val="TableText-Right"/>
            </w:pPr>
            <w:r w:rsidRPr="002A5787">
              <w:t>$[___,___]</w:t>
            </w:r>
          </w:p>
        </w:tc>
      </w:tr>
      <w:tr w:rsidR="00991CE7" w:rsidRPr="005F763D" w14:paraId="2A203099"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3170D30A" w14:textId="3140BAA7"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05CFDEC" w14:textId="1B455FDA"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A863807" w14:textId="296B6361" w:rsidR="00991CE7" w:rsidRPr="005F763D" w:rsidRDefault="00991CE7" w:rsidP="000D6E4F">
            <w:pPr>
              <w:pStyle w:val="TableText-Right"/>
            </w:pPr>
            <w:r w:rsidRPr="002A5787">
              <w:t>$[___,___]</w:t>
            </w:r>
          </w:p>
        </w:tc>
      </w:tr>
      <w:tr w:rsidR="00991CE7" w:rsidRPr="005F763D" w14:paraId="6765DECF"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2FF51F12" w14:textId="0B711722"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69B5C5EF" w14:textId="0C913B5C"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7D775E34" w14:textId="23AB89BC" w:rsidR="00991CE7" w:rsidRPr="005F763D" w:rsidRDefault="00991CE7" w:rsidP="000D6E4F">
            <w:pPr>
              <w:pStyle w:val="TableText-Right"/>
            </w:pPr>
            <w:r w:rsidRPr="002A5787">
              <w:t>$[___,___]</w:t>
            </w:r>
          </w:p>
        </w:tc>
      </w:tr>
      <w:tr w:rsidR="00991CE7" w:rsidRPr="005F763D" w14:paraId="2F8DD576"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4A219705" w14:textId="6A32D228"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5AB8345" w14:textId="3AB53853"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FD7A97D" w14:textId="5B3C91B9" w:rsidR="00991CE7" w:rsidRPr="005F763D" w:rsidRDefault="00991CE7" w:rsidP="000D6E4F">
            <w:pPr>
              <w:pStyle w:val="TableText-Right"/>
            </w:pPr>
            <w:r w:rsidRPr="002A5787">
              <w:t>$[___,___]</w:t>
            </w:r>
          </w:p>
        </w:tc>
      </w:tr>
      <w:tr w:rsidR="00991CE7" w:rsidRPr="005F763D" w14:paraId="44760A96" w14:textId="77777777" w:rsidTr="00930AC6">
        <w:tblPrEx>
          <w:tblBorders>
            <w:top w:val="none" w:sz="0" w:space="0" w:color="auto"/>
            <w:bottom w:val="none" w:sz="0" w:space="0" w:color="auto"/>
            <w:insideV w:val="none" w:sz="0" w:space="0" w:color="auto"/>
          </w:tblBorders>
        </w:tblPrEx>
        <w:tc>
          <w:tcPr>
            <w:tcW w:w="750" w:type="pct"/>
            <w:tcBorders>
              <w:right w:val="single" w:sz="24" w:space="0" w:color="FFFFFF"/>
            </w:tcBorders>
            <w:tcMar>
              <w:top w:w="0" w:type="dxa"/>
              <w:left w:w="108" w:type="dxa"/>
              <w:bottom w:w="0" w:type="dxa"/>
              <w:right w:w="108" w:type="dxa"/>
            </w:tcMar>
            <w:vAlign w:val="center"/>
          </w:tcPr>
          <w:p w14:paraId="6F42DA6B" w14:textId="77777777" w:rsidR="00991CE7" w:rsidRPr="005F763D" w:rsidRDefault="00991CE7" w:rsidP="000D6E4F">
            <w:pPr>
              <w:pStyle w:val="TableText-RightBold"/>
            </w:pPr>
          </w:p>
        </w:tc>
        <w:tc>
          <w:tcPr>
            <w:tcW w:w="3500" w:type="pct"/>
            <w:tcBorders>
              <w:top w:val="single" w:sz="2" w:space="0" w:color="808080"/>
              <w:left w:val="single" w:sz="24" w:space="0" w:color="FFFFFF"/>
              <w:right w:val="single" w:sz="24" w:space="0" w:color="FFFFFF"/>
            </w:tcBorders>
            <w:tcMar>
              <w:top w:w="0" w:type="dxa"/>
              <w:left w:w="108" w:type="dxa"/>
              <w:bottom w:w="0" w:type="dxa"/>
              <w:right w:w="108" w:type="dxa"/>
            </w:tcMar>
            <w:vAlign w:val="center"/>
          </w:tcPr>
          <w:p w14:paraId="72C230CE" w14:textId="77777777" w:rsidR="00991CE7" w:rsidRPr="0036651C" w:rsidRDefault="00991CE7" w:rsidP="000D6E4F">
            <w:pPr>
              <w:pStyle w:val="TableText-RightBold"/>
            </w:pPr>
            <w:r w:rsidRPr="0036651C">
              <w:t>Total Lifestyle Assets</w:t>
            </w:r>
          </w:p>
        </w:tc>
        <w:tc>
          <w:tcPr>
            <w:tcW w:w="750" w:type="pct"/>
            <w:tcBorders>
              <w:top w:val="single" w:sz="4" w:space="0" w:color="808080"/>
              <w:left w:val="single" w:sz="24" w:space="0" w:color="FFFFFF"/>
              <w:bottom w:val="single" w:sz="4" w:space="0" w:color="808080"/>
            </w:tcBorders>
            <w:shd w:val="clear" w:color="auto" w:fill="D9D9D9"/>
            <w:tcMar>
              <w:top w:w="0" w:type="dxa"/>
              <w:left w:w="108" w:type="dxa"/>
              <w:bottom w:w="0" w:type="dxa"/>
              <w:right w:w="108" w:type="dxa"/>
            </w:tcMar>
            <w:vAlign w:val="center"/>
          </w:tcPr>
          <w:p w14:paraId="1ED74B72" w14:textId="41AFEB9F" w:rsidR="00991CE7" w:rsidRPr="0036651C" w:rsidRDefault="00991CE7" w:rsidP="000D6E4F">
            <w:pPr>
              <w:pStyle w:val="TableText-RightBold"/>
            </w:pPr>
            <w:r w:rsidRPr="0036651C">
              <w:t>$[___,___]</w:t>
            </w:r>
          </w:p>
        </w:tc>
      </w:tr>
    </w:tbl>
    <w:p w14:paraId="7F8102D7" w14:textId="77777777" w:rsidR="001A6A4D" w:rsidRPr="005F763D" w:rsidRDefault="001A6A4D" w:rsidP="001A6A4D"/>
    <w:p w14:paraId="1356F6F5" w14:textId="77777777" w:rsidR="0093711E" w:rsidRPr="005F763D" w:rsidRDefault="0093711E" w:rsidP="00B21CF5">
      <w:pPr>
        <w:pStyle w:val="Instructions"/>
        <w:rPr>
          <w:highlight w:val="yellow"/>
        </w:rPr>
      </w:pPr>
      <w:bookmarkStart w:id="143" w:name="_Toc165699826"/>
      <w:r w:rsidRPr="005F763D">
        <w:rPr>
          <w:highlight w:val="yellow"/>
        </w:rPr>
        <w:t>Provide a brief description of the product recommended.</w:t>
      </w:r>
    </w:p>
    <w:p w14:paraId="0A4CCA6E" w14:textId="36E0B8C1" w:rsidR="0093711E" w:rsidRPr="005F763D" w:rsidRDefault="0093711E" w:rsidP="0093711E">
      <w:r w:rsidRPr="005F763D">
        <w:t xml:space="preserve">The </w:t>
      </w:r>
      <w:r w:rsidRPr="005F763D">
        <w:rPr>
          <w:snapToGrid w:val="0"/>
          <w:color w:val="FF0000"/>
        </w:rPr>
        <w:t>[Product]</w:t>
      </w:r>
      <w:r w:rsidRPr="005F763D">
        <w:t xml:space="preserve"> has the following features:</w:t>
      </w:r>
      <w:bookmarkEnd w:id="143"/>
    </w:p>
    <w:tbl>
      <w:tblPr>
        <w:tblW w:w="5000" w:type="pct"/>
        <w:tblLook w:val="04A0" w:firstRow="1" w:lastRow="0" w:firstColumn="1" w:lastColumn="0" w:noHBand="0" w:noVBand="1"/>
      </w:tblPr>
      <w:tblGrid>
        <w:gridCol w:w="532"/>
        <w:gridCol w:w="10099"/>
      </w:tblGrid>
      <w:tr w:rsidR="0093711E" w:rsidRPr="005F763D" w14:paraId="5D6E6346" w14:textId="77777777" w:rsidTr="00AF1591">
        <w:tc>
          <w:tcPr>
            <w:tcW w:w="250" w:type="pct"/>
          </w:tcPr>
          <w:p w14:paraId="3EFEA4FE" w14:textId="77777777" w:rsidR="0093711E" w:rsidRPr="000D0191" w:rsidRDefault="0093711E" w:rsidP="000D0191">
            <w:pPr>
              <w:pStyle w:val="Normal5ptAfter"/>
              <w:rPr>
                <w:color w:val="7030A0"/>
                <w:highlight w:val="yellow"/>
              </w:rPr>
            </w:pPr>
            <w:r w:rsidRPr="000D0191">
              <w:rPr>
                <w:color w:val="7030A0"/>
                <w:highlight w:val="yellow"/>
              </w:rPr>
              <w:sym w:font="Wingdings" w:char="F0A7"/>
            </w:r>
          </w:p>
        </w:tc>
        <w:tc>
          <w:tcPr>
            <w:tcW w:w="4750" w:type="pct"/>
          </w:tcPr>
          <w:p w14:paraId="4A0C859B" w14:textId="77777777" w:rsidR="0093711E" w:rsidRPr="000D0191" w:rsidRDefault="0093711E" w:rsidP="000D0191">
            <w:pPr>
              <w:pStyle w:val="Normal5ptAfter"/>
              <w:rPr>
                <w:color w:val="7030A0"/>
                <w:highlight w:val="yellow"/>
              </w:rPr>
            </w:pPr>
            <w:r w:rsidRPr="000D0191">
              <w:rPr>
                <w:color w:val="7030A0"/>
                <w:highlight w:val="yellow"/>
              </w:rPr>
              <w:t>[Insert].</w:t>
            </w:r>
          </w:p>
        </w:tc>
      </w:tr>
      <w:tr w:rsidR="0093711E" w:rsidRPr="005F763D" w14:paraId="3C391046" w14:textId="77777777" w:rsidTr="00AF1591">
        <w:tc>
          <w:tcPr>
            <w:tcW w:w="250" w:type="pct"/>
          </w:tcPr>
          <w:p w14:paraId="6EE357B5" w14:textId="77777777" w:rsidR="0093711E" w:rsidRPr="000D0191" w:rsidRDefault="0093711E" w:rsidP="000D0191">
            <w:pPr>
              <w:pStyle w:val="Normal5ptAfter"/>
              <w:rPr>
                <w:color w:val="7030A0"/>
                <w:highlight w:val="yellow"/>
              </w:rPr>
            </w:pPr>
            <w:r w:rsidRPr="000D0191">
              <w:rPr>
                <w:color w:val="7030A0"/>
                <w:highlight w:val="yellow"/>
              </w:rPr>
              <w:sym w:font="Wingdings" w:char="F0A7"/>
            </w:r>
          </w:p>
        </w:tc>
        <w:tc>
          <w:tcPr>
            <w:tcW w:w="4750" w:type="pct"/>
          </w:tcPr>
          <w:p w14:paraId="22A8AE72" w14:textId="77777777" w:rsidR="0093711E" w:rsidRPr="000D0191" w:rsidRDefault="0093711E" w:rsidP="000D0191">
            <w:pPr>
              <w:pStyle w:val="Normal5ptAfter"/>
              <w:rPr>
                <w:color w:val="7030A0"/>
                <w:highlight w:val="yellow"/>
              </w:rPr>
            </w:pPr>
            <w:r w:rsidRPr="000D0191">
              <w:rPr>
                <w:color w:val="7030A0"/>
                <w:highlight w:val="yellow"/>
              </w:rPr>
              <w:t>[Insert].</w:t>
            </w:r>
          </w:p>
        </w:tc>
      </w:tr>
      <w:tr w:rsidR="0093711E" w:rsidRPr="005F763D" w14:paraId="4D81052B" w14:textId="77777777" w:rsidTr="00AF1591">
        <w:tc>
          <w:tcPr>
            <w:tcW w:w="250" w:type="pct"/>
          </w:tcPr>
          <w:p w14:paraId="7432247E" w14:textId="77777777" w:rsidR="0093711E" w:rsidRPr="000D0191" w:rsidRDefault="0093711E" w:rsidP="000D0191">
            <w:pPr>
              <w:pStyle w:val="Normal5ptAfter"/>
              <w:rPr>
                <w:color w:val="7030A0"/>
                <w:highlight w:val="yellow"/>
              </w:rPr>
            </w:pPr>
            <w:r w:rsidRPr="000D0191">
              <w:rPr>
                <w:color w:val="7030A0"/>
                <w:highlight w:val="yellow"/>
              </w:rPr>
              <w:sym w:font="Wingdings" w:char="F0A7"/>
            </w:r>
          </w:p>
        </w:tc>
        <w:tc>
          <w:tcPr>
            <w:tcW w:w="4750" w:type="pct"/>
          </w:tcPr>
          <w:p w14:paraId="42AEF886" w14:textId="77777777" w:rsidR="0093711E" w:rsidRPr="000D0191" w:rsidRDefault="0093711E" w:rsidP="000D0191">
            <w:pPr>
              <w:pStyle w:val="Normal5ptAfter"/>
              <w:rPr>
                <w:color w:val="7030A0"/>
                <w:highlight w:val="yellow"/>
              </w:rPr>
            </w:pPr>
            <w:r w:rsidRPr="000D0191">
              <w:rPr>
                <w:color w:val="7030A0"/>
                <w:highlight w:val="yellow"/>
              </w:rPr>
              <w:t>[Insert].</w:t>
            </w:r>
          </w:p>
        </w:tc>
      </w:tr>
    </w:tbl>
    <w:p w14:paraId="69B03050" w14:textId="77777777" w:rsidR="001A6A4D" w:rsidRPr="005F763D" w:rsidRDefault="001A6A4D" w:rsidP="0093711E"/>
    <w:p w14:paraId="273A6A45" w14:textId="77777777" w:rsidR="001A6A4D" w:rsidRPr="005F763D" w:rsidRDefault="001A6A4D">
      <w:pPr>
        <w:pStyle w:val="Normal5ptAfter"/>
      </w:pPr>
      <w:r w:rsidRPr="005F763D">
        <w:t xml:space="preserve">The specific investments I recommend be placed within this </w:t>
      </w:r>
      <w:r w:rsidR="0093711E" w:rsidRPr="005F763D">
        <w:t>[</w:t>
      </w:r>
      <w:r w:rsidRPr="005F763D">
        <w:t xml:space="preserve">wrap </w:t>
      </w:r>
      <w:proofErr w:type="gramStart"/>
      <w:r w:rsidRPr="005F763D">
        <w:t>account</w:t>
      </w:r>
      <w:r w:rsidR="0093711E" w:rsidRPr="005F763D">
        <w:t>][</w:t>
      </w:r>
      <w:proofErr w:type="gramEnd"/>
      <w:r w:rsidRPr="005F763D">
        <w:t>master fund</w:t>
      </w:r>
      <w:r w:rsidR="0093711E" w:rsidRPr="005F763D">
        <w:t>]</w:t>
      </w:r>
      <w:r w:rsidRPr="005F763D">
        <w:t xml:space="preserve"> are:</w:t>
      </w:r>
    </w:p>
    <w:tbl>
      <w:tblPr>
        <w:tblW w:w="5000" w:type="pct"/>
        <w:tblBorders>
          <w:top w:val="single" w:sz="2" w:space="0" w:color="808080"/>
          <w:bottom w:val="single" w:sz="2" w:space="0" w:color="808080"/>
          <w:insideV w:val="single" w:sz="24" w:space="0" w:color="FFFFFF"/>
        </w:tblBorders>
        <w:tblLayout w:type="fixed"/>
        <w:tblCellMar>
          <w:left w:w="57" w:type="dxa"/>
          <w:right w:w="57" w:type="dxa"/>
        </w:tblCellMar>
        <w:tblLook w:val="04A0" w:firstRow="1" w:lastRow="0" w:firstColumn="1" w:lastColumn="0" w:noHBand="0" w:noVBand="1"/>
      </w:tblPr>
      <w:tblGrid>
        <w:gridCol w:w="7441"/>
        <w:gridCol w:w="1595"/>
        <w:gridCol w:w="1595"/>
      </w:tblGrid>
      <w:tr w:rsidR="0093711E" w:rsidRPr="005F763D" w14:paraId="641AFFA3" w14:textId="77777777" w:rsidTr="00AF1591">
        <w:trPr>
          <w:tblHeader/>
        </w:trPr>
        <w:tc>
          <w:tcPr>
            <w:tcW w:w="5000" w:type="pct"/>
            <w:gridSpan w:val="3"/>
            <w:tcBorders>
              <w:top w:val="single" w:sz="2" w:space="0" w:color="808080"/>
              <w:left w:val="nil"/>
              <w:bottom w:val="single" w:sz="2" w:space="0" w:color="808080"/>
              <w:right w:val="nil"/>
            </w:tcBorders>
            <w:shd w:val="clear" w:color="auto" w:fill="BFBFBF"/>
            <w:tcMar>
              <w:top w:w="0" w:type="dxa"/>
              <w:left w:w="108" w:type="dxa"/>
              <w:bottom w:w="0" w:type="dxa"/>
              <w:right w:w="108" w:type="dxa"/>
            </w:tcMar>
            <w:vAlign w:val="center"/>
            <w:hideMark/>
          </w:tcPr>
          <w:p w14:paraId="070BA08D" w14:textId="77777777" w:rsidR="0093711E" w:rsidRPr="005F763D" w:rsidRDefault="0093711E">
            <w:pPr>
              <w:pStyle w:val="TableText-LeftBold"/>
            </w:pPr>
            <w:r w:rsidRPr="005F763D">
              <w:t>Proposed Underlying Investment Portfolio</w:t>
            </w:r>
          </w:p>
        </w:tc>
      </w:tr>
      <w:tr w:rsidR="0093711E" w:rsidRPr="005F763D" w14:paraId="3267CD94" w14:textId="77777777" w:rsidTr="0093711E">
        <w:trPr>
          <w:tblHeader/>
        </w:trPr>
        <w:tc>
          <w:tcPr>
            <w:tcW w:w="3500" w:type="pct"/>
            <w:tcBorders>
              <w:top w:val="single" w:sz="2" w:space="0" w:color="808080"/>
              <w:left w:val="nil"/>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7ACDF5D0" w14:textId="77777777" w:rsidR="0093711E" w:rsidRPr="005F763D" w:rsidRDefault="0093711E" w:rsidP="0093711E">
            <w:pPr>
              <w:pStyle w:val="TableHeader2"/>
              <w:rPr>
                <w:rFonts w:ascii="Calibri" w:hAnsi="Calibri"/>
              </w:rPr>
            </w:pPr>
            <w:r w:rsidRPr="005F763D">
              <w:rPr>
                <w:rFonts w:ascii="Calibri" w:hAnsi="Calibri"/>
              </w:rPr>
              <w:t>Investment</w:t>
            </w:r>
          </w:p>
        </w:tc>
        <w:tc>
          <w:tcPr>
            <w:tcW w:w="7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4A5C3874" w14:textId="77777777" w:rsidR="0093711E" w:rsidRPr="005F763D" w:rsidRDefault="0093711E" w:rsidP="0093711E">
            <w:pPr>
              <w:pStyle w:val="TableHeader2-Centre"/>
              <w:rPr>
                <w:rFonts w:ascii="Calibri" w:hAnsi="Calibri"/>
              </w:rPr>
            </w:pPr>
            <w:r w:rsidRPr="005F763D">
              <w:rPr>
                <w:rFonts w:ascii="Calibri" w:hAnsi="Calibri"/>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hideMark/>
          </w:tcPr>
          <w:p w14:paraId="4EEE98C6" w14:textId="77777777" w:rsidR="0093711E" w:rsidRPr="005F763D" w:rsidRDefault="0093711E" w:rsidP="00AF1591">
            <w:pPr>
              <w:pStyle w:val="TableHeader2-Centre"/>
              <w:rPr>
                <w:rFonts w:ascii="Calibri" w:hAnsi="Calibri"/>
              </w:rPr>
            </w:pPr>
            <w:r w:rsidRPr="005F763D">
              <w:rPr>
                <w:rFonts w:ascii="Calibri" w:hAnsi="Calibri"/>
              </w:rPr>
              <w:t>$</w:t>
            </w:r>
          </w:p>
        </w:tc>
      </w:tr>
      <w:tr w:rsidR="0036651C" w:rsidRPr="005F763D" w14:paraId="0E120264"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534684F3" w14:textId="7A186320" w:rsidR="0036651C"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367447B" w14:textId="7F10589A" w:rsidR="0036651C" w:rsidRPr="005F763D" w:rsidRDefault="0036651C"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3BBAF33B" w14:textId="329613C9" w:rsidR="0036651C" w:rsidRPr="005F763D" w:rsidRDefault="0036651C" w:rsidP="000D6E4F">
            <w:pPr>
              <w:pStyle w:val="TableText-Right"/>
            </w:pPr>
            <w:r w:rsidRPr="002A5787">
              <w:t>$[___,___]</w:t>
            </w:r>
          </w:p>
        </w:tc>
      </w:tr>
      <w:tr w:rsidR="00904BF0" w:rsidRPr="005F763D" w14:paraId="1275BCAA"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63F275A4" w14:textId="1F3710F1"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67980112" w14:textId="6DC52EC9"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4D6E1057" w14:textId="4281D8F7" w:rsidR="00904BF0" w:rsidRPr="005F763D" w:rsidRDefault="00904BF0" w:rsidP="000D6E4F">
            <w:pPr>
              <w:pStyle w:val="TableText-Right"/>
            </w:pPr>
            <w:r w:rsidRPr="002A5787">
              <w:t>$[___,___]</w:t>
            </w:r>
          </w:p>
        </w:tc>
      </w:tr>
      <w:tr w:rsidR="00904BF0" w:rsidRPr="005F763D" w14:paraId="14262728"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49D37E2E" w14:textId="623114B9"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19C7BEF" w14:textId="2D4B345E"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7B4B55C4" w14:textId="0A6D587F" w:rsidR="00904BF0" w:rsidRPr="005F763D" w:rsidRDefault="00904BF0" w:rsidP="000D6E4F">
            <w:pPr>
              <w:pStyle w:val="TableText-Right"/>
            </w:pPr>
            <w:r w:rsidRPr="002A5787">
              <w:t>$[___,___]</w:t>
            </w:r>
          </w:p>
        </w:tc>
      </w:tr>
      <w:tr w:rsidR="00904BF0" w:rsidRPr="005F763D" w14:paraId="4555D8A8"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16B8F330" w14:textId="5043B474"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056411E" w14:textId="25E025A3"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80CFD15" w14:textId="1FE8AEAB" w:rsidR="00904BF0" w:rsidRPr="005F763D" w:rsidRDefault="00904BF0" w:rsidP="000D6E4F">
            <w:pPr>
              <w:pStyle w:val="TableText-Right"/>
            </w:pPr>
            <w:r w:rsidRPr="002A5787">
              <w:t>$[___,___]</w:t>
            </w:r>
          </w:p>
        </w:tc>
      </w:tr>
      <w:tr w:rsidR="00904BF0" w:rsidRPr="005F763D" w14:paraId="606DDDCF"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0965908F" w14:textId="4BECF770" w:rsidR="00904BF0" w:rsidRPr="005F763D" w:rsidRDefault="00904BF0">
            <w:pPr>
              <w:pStyle w:val="TableText-Left"/>
            </w:pPr>
            <w:r>
              <w:lastRenderedPageBreak/>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867642A" w14:textId="325B509C"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17A6B29" w14:textId="3C81A83E" w:rsidR="00904BF0" w:rsidRPr="005F763D" w:rsidRDefault="00904BF0" w:rsidP="000D6E4F">
            <w:pPr>
              <w:pStyle w:val="TableText-Right"/>
            </w:pPr>
            <w:r w:rsidRPr="002A5787">
              <w:t>$[___,___]</w:t>
            </w:r>
          </w:p>
        </w:tc>
      </w:tr>
      <w:tr w:rsidR="00904BF0" w:rsidRPr="005F763D" w14:paraId="4A63904B" w14:textId="77777777" w:rsidTr="00930AC6">
        <w:tblPrEx>
          <w:tblBorders>
            <w:top w:val="none" w:sz="0" w:space="0" w:color="auto"/>
            <w:bottom w:val="none" w:sz="0" w:space="0" w:color="auto"/>
            <w:insideV w:val="none" w:sz="0" w:space="0" w:color="auto"/>
          </w:tblBorders>
        </w:tblPrEx>
        <w:tc>
          <w:tcPr>
            <w:tcW w:w="3500" w:type="pct"/>
            <w:tcBorders>
              <w:right w:val="single" w:sz="24" w:space="0" w:color="FFFFFF"/>
            </w:tcBorders>
            <w:tcMar>
              <w:top w:w="0" w:type="dxa"/>
              <w:left w:w="108" w:type="dxa"/>
              <w:bottom w:w="0" w:type="dxa"/>
              <w:right w:w="108" w:type="dxa"/>
            </w:tcMar>
            <w:vAlign w:val="center"/>
          </w:tcPr>
          <w:p w14:paraId="71E326D6" w14:textId="77777777" w:rsidR="00904BF0" w:rsidRPr="005F763D" w:rsidRDefault="00904BF0" w:rsidP="000D6E4F">
            <w:pPr>
              <w:pStyle w:val="TableText-RightBold"/>
            </w:pPr>
            <w:r w:rsidRPr="005F763D">
              <w:t>Total Lifestyle Assets</w:t>
            </w:r>
          </w:p>
        </w:tc>
        <w:tc>
          <w:tcPr>
            <w:tcW w:w="750" w:type="pct"/>
            <w:tcBorders>
              <w:top w:val="single" w:sz="2" w:space="0" w:color="808080"/>
              <w:left w:val="single" w:sz="24" w:space="0" w:color="FFFFFF"/>
              <w:bottom w:val="single" w:sz="4" w:space="0" w:color="808080"/>
              <w:right w:val="single" w:sz="24" w:space="0" w:color="FFFFFF"/>
            </w:tcBorders>
            <w:shd w:val="clear" w:color="auto" w:fill="D9D9D9"/>
            <w:tcMar>
              <w:top w:w="0" w:type="dxa"/>
              <w:left w:w="108" w:type="dxa"/>
              <w:bottom w:w="0" w:type="dxa"/>
              <w:right w:w="108" w:type="dxa"/>
            </w:tcMar>
            <w:vAlign w:val="center"/>
          </w:tcPr>
          <w:p w14:paraId="3255DB60" w14:textId="77777777" w:rsidR="00904BF0" w:rsidRPr="005F763D" w:rsidRDefault="00904BF0" w:rsidP="000D6E4F">
            <w:pPr>
              <w:pStyle w:val="TableText-RightBold"/>
            </w:pPr>
            <w:r w:rsidRPr="005F763D">
              <w:t>%</w:t>
            </w:r>
          </w:p>
        </w:tc>
        <w:tc>
          <w:tcPr>
            <w:tcW w:w="750" w:type="pct"/>
            <w:tcBorders>
              <w:top w:val="single" w:sz="4" w:space="0" w:color="808080"/>
              <w:left w:val="single" w:sz="24" w:space="0" w:color="FFFFFF"/>
              <w:bottom w:val="single" w:sz="4" w:space="0" w:color="808080"/>
            </w:tcBorders>
            <w:shd w:val="clear" w:color="auto" w:fill="D9D9D9"/>
            <w:tcMar>
              <w:top w:w="0" w:type="dxa"/>
              <w:left w:w="108" w:type="dxa"/>
              <w:bottom w:w="0" w:type="dxa"/>
              <w:right w:w="108" w:type="dxa"/>
            </w:tcMar>
            <w:vAlign w:val="center"/>
          </w:tcPr>
          <w:p w14:paraId="22CDC0A0" w14:textId="3F77EB02" w:rsidR="00904BF0" w:rsidRPr="005F763D" w:rsidRDefault="00904BF0" w:rsidP="000D6E4F">
            <w:pPr>
              <w:pStyle w:val="TableText-RightBold"/>
            </w:pPr>
            <w:r w:rsidRPr="002A5787">
              <w:t>$[___,___]</w:t>
            </w:r>
          </w:p>
        </w:tc>
      </w:tr>
    </w:tbl>
    <w:p w14:paraId="68A362BD" w14:textId="77777777" w:rsidR="0093711E" w:rsidRPr="005F763D" w:rsidRDefault="0093711E" w:rsidP="0093711E"/>
    <w:p w14:paraId="5F0FD02A" w14:textId="77777777" w:rsidR="0093711E" w:rsidRPr="005F763D" w:rsidRDefault="0093711E" w:rsidP="0093711E"/>
    <w:p w14:paraId="7CB1BD7C" w14:textId="77777777" w:rsidR="00CF5DB4" w:rsidRPr="005F763D" w:rsidRDefault="00CF5DB4" w:rsidP="0093711E"/>
    <w:p w14:paraId="205DA34E" w14:textId="77777777" w:rsidR="00417676" w:rsidRDefault="00417676" w:rsidP="0008751D">
      <w:pPr>
        <w:pStyle w:val="Heading2"/>
        <w:sectPr w:rsidR="00417676" w:rsidSect="00010E11">
          <w:type w:val="continuous"/>
          <w:pgSz w:w="11906" w:h="16838" w:code="9"/>
          <w:pgMar w:top="1134" w:right="566" w:bottom="426" w:left="709" w:header="567" w:footer="95" w:gutter="0"/>
          <w:cols w:space="708"/>
          <w:docGrid w:linePitch="360"/>
        </w:sectPr>
      </w:pPr>
      <w:bookmarkStart w:id="144" w:name="_Toc377642882"/>
    </w:p>
    <w:bookmarkEnd w:id="144"/>
    <w:p w14:paraId="17A22988" w14:textId="77777777" w:rsidR="00F61A5A" w:rsidRDefault="00F61A5A" w:rsidP="008C7CE9">
      <w:pPr>
        <w:jc w:val="left"/>
        <w:rPr>
          <w:rFonts w:cs="Calibri"/>
        </w:rPr>
        <w:sectPr w:rsidR="00F61A5A" w:rsidSect="00010E11">
          <w:type w:val="continuous"/>
          <w:pgSz w:w="11906" w:h="16838" w:code="9"/>
          <w:pgMar w:top="1134" w:right="566" w:bottom="426" w:left="709" w:header="567" w:footer="95" w:gutter="0"/>
          <w:cols w:space="708"/>
          <w:docGrid w:linePitch="360"/>
        </w:sectPr>
      </w:pPr>
    </w:p>
    <w:p w14:paraId="32155C2D" w14:textId="1F6F9B36" w:rsidR="00CF5DB4" w:rsidRPr="005F763D" w:rsidRDefault="00CF5DB4" w:rsidP="008C7CE9">
      <w:pPr>
        <w:jc w:val="left"/>
        <w:rPr>
          <w:rFonts w:cs="Calibri"/>
        </w:rPr>
      </w:pPr>
    </w:p>
    <w:p w14:paraId="787DED08" w14:textId="2BB131AC" w:rsidR="00C923DC" w:rsidRPr="005F763D" w:rsidRDefault="00C923DC" w:rsidP="0008751D">
      <w:pPr>
        <w:pStyle w:val="Heading2"/>
      </w:pPr>
      <w:bookmarkStart w:id="145" w:name="_Toc377642883"/>
      <w:bookmarkStart w:id="146" w:name="_Toc46236042"/>
      <w:r w:rsidRPr="005F763D">
        <w:t>Proposed Asset Allocation</w:t>
      </w:r>
      <w:bookmarkEnd w:id="145"/>
      <w:bookmarkEnd w:id="146"/>
    </w:p>
    <w:p w14:paraId="11FB3F13" w14:textId="77777777" w:rsidR="005C013F" w:rsidRPr="005F763D" w:rsidRDefault="005C013F" w:rsidP="008C7CE9">
      <w:pPr>
        <w:jc w:val="left"/>
      </w:pPr>
    </w:p>
    <w:p w14:paraId="6EAF766B" w14:textId="0CF0A95A" w:rsidR="00C923DC" w:rsidRPr="005F763D" w:rsidRDefault="00C923DC" w:rsidP="0008751D">
      <w:pPr>
        <w:pStyle w:val="Heading3"/>
      </w:pPr>
      <w:bookmarkStart w:id="147" w:name="_Toc377642884"/>
      <w:bookmarkStart w:id="148" w:name="_Toc46236043"/>
      <w:r w:rsidRPr="005F763D">
        <w:t xml:space="preserve">Proposed Asset Allocation for </w:t>
      </w:r>
      <w:r w:rsidR="005C013F" w:rsidRPr="005F763D">
        <w:rPr>
          <w:color w:val="FF0000"/>
        </w:rPr>
        <w:t>[Client Name]</w:t>
      </w:r>
      <w:bookmarkEnd w:id="147"/>
      <w:bookmarkEnd w:id="148"/>
    </w:p>
    <w:p w14:paraId="5C5EE1C1" w14:textId="77777777" w:rsidR="00C923DC" w:rsidRPr="005F763D" w:rsidRDefault="00C923DC" w:rsidP="005C013F"/>
    <w:p w14:paraId="3F077EC2" w14:textId="77777777" w:rsidR="00C923DC" w:rsidRPr="005F763D" w:rsidRDefault="005C013F" w:rsidP="005C013F">
      <w:pPr>
        <w:jc w:val="center"/>
        <w:rPr>
          <w:color w:val="FF0000"/>
        </w:rPr>
      </w:pPr>
      <w:r w:rsidRPr="005F763D">
        <w:rPr>
          <w:color w:val="FF0000"/>
        </w:rPr>
        <w:t>[Insert Graph]</w:t>
      </w:r>
    </w:p>
    <w:p w14:paraId="1D96A38F" w14:textId="77777777" w:rsidR="00C923DC" w:rsidRPr="005F763D" w:rsidRDefault="00C923DC" w:rsidP="005C013F"/>
    <w:tbl>
      <w:tblPr>
        <w:tblW w:w="5000" w:type="pct"/>
        <w:tblLayout w:type="fixed"/>
        <w:tblCellMar>
          <w:top w:w="28" w:type="dxa"/>
          <w:left w:w="28" w:type="dxa"/>
          <w:bottom w:w="28" w:type="dxa"/>
          <w:right w:w="28" w:type="dxa"/>
        </w:tblCellMar>
        <w:tblLook w:val="0000" w:firstRow="0" w:lastRow="0" w:firstColumn="0" w:lastColumn="0" w:noHBand="0" w:noVBand="0"/>
      </w:tblPr>
      <w:tblGrid>
        <w:gridCol w:w="2976"/>
        <w:gridCol w:w="1275"/>
        <w:gridCol w:w="1276"/>
        <w:gridCol w:w="1276"/>
        <w:gridCol w:w="1276"/>
        <w:gridCol w:w="1276"/>
        <w:gridCol w:w="1276"/>
      </w:tblGrid>
      <w:tr w:rsidR="00AF1591" w:rsidRPr="005F763D" w14:paraId="3DF16B45" w14:textId="77777777" w:rsidTr="00930AC6">
        <w:trPr>
          <w:tblHeader/>
        </w:trPr>
        <w:tc>
          <w:tcPr>
            <w:tcW w:w="1400" w:type="pct"/>
            <w:tcBorders>
              <w:top w:val="single" w:sz="4" w:space="0" w:color="808080"/>
              <w:bottom w:val="single" w:sz="4" w:space="0" w:color="808080"/>
              <w:right w:val="single" w:sz="24" w:space="0" w:color="FFFFFF"/>
            </w:tcBorders>
            <w:shd w:val="clear" w:color="auto" w:fill="BFBFBF"/>
            <w:vAlign w:val="center"/>
          </w:tcPr>
          <w:p w14:paraId="370D5893" w14:textId="77777777" w:rsidR="005C013F" w:rsidRPr="005F763D" w:rsidRDefault="005C013F" w:rsidP="00DD6420">
            <w:pPr>
              <w:pStyle w:val="TableHeader2"/>
              <w:rPr>
                <w:rFonts w:ascii="Calibri" w:hAnsi="Calibri"/>
              </w:rPr>
            </w:pPr>
            <w:r w:rsidRPr="005F763D">
              <w:rPr>
                <w:rFonts w:ascii="Calibri" w:hAnsi="Calibri"/>
              </w:rPr>
              <w:t>Asset Allocation</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160BDF04" w14:textId="77777777" w:rsidR="005C013F" w:rsidRPr="005F763D" w:rsidRDefault="005C013F" w:rsidP="00DD6420">
            <w:pPr>
              <w:pStyle w:val="TableHeader2-Centre"/>
              <w:rPr>
                <w:rFonts w:ascii="Calibri" w:hAnsi="Calibri"/>
              </w:rPr>
            </w:pPr>
            <w:r w:rsidRPr="005F763D">
              <w:rPr>
                <w:rFonts w:ascii="Calibri" w:hAnsi="Calibri"/>
              </w:rPr>
              <w:t>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6077473C" w14:textId="77777777" w:rsidR="005C013F" w:rsidRPr="005F763D" w:rsidRDefault="005C013F" w:rsidP="00DD6420">
            <w:pPr>
              <w:pStyle w:val="TableHeader2-Centre"/>
              <w:rPr>
                <w:rFonts w:ascii="Calibri" w:hAnsi="Calibri"/>
              </w:rPr>
            </w:pPr>
            <w:r w:rsidRPr="005F763D">
              <w:rPr>
                <w:rFonts w:ascii="Calibri" w:hAnsi="Calibri"/>
              </w:rPr>
              <w:t>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5AF4BE22" w14:textId="77777777" w:rsidR="005C013F" w:rsidRPr="005F763D" w:rsidRDefault="005C013F" w:rsidP="00DD6420">
            <w:pPr>
              <w:pStyle w:val="TableHeader2-Centre"/>
              <w:rPr>
                <w:rFonts w:ascii="Calibri" w:hAnsi="Calibri"/>
              </w:rPr>
            </w:pPr>
            <w:r w:rsidRPr="005F763D">
              <w:rPr>
                <w:rFonts w:ascii="Calibri" w:hAnsi="Calibri"/>
              </w:rPr>
              <w:t>Target 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7A2F096C" w14:textId="77777777" w:rsidR="005C013F" w:rsidRPr="005F763D" w:rsidRDefault="005C013F" w:rsidP="00DD6420">
            <w:pPr>
              <w:pStyle w:val="TableHeader2-Centre"/>
              <w:rPr>
                <w:rFonts w:ascii="Calibri" w:hAnsi="Calibri"/>
              </w:rPr>
            </w:pPr>
            <w:r w:rsidRPr="005F763D">
              <w:rPr>
                <w:rFonts w:ascii="Calibri" w:hAnsi="Calibri"/>
              </w:rPr>
              <w:t>Target 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798963B9" w14:textId="77777777" w:rsidR="005C013F" w:rsidRPr="005F763D" w:rsidRDefault="005C013F" w:rsidP="00DD6420">
            <w:pPr>
              <w:pStyle w:val="TableHeader2-Centre"/>
              <w:rPr>
                <w:rFonts w:ascii="Calibri" w:hAnsi="Calibri"/>
              </w:rPr>
            </w:pPr>
            <w:r w:rsidRPr="005F763D">
              <w:rPr>
                <w:rFonts w:ascii="Calibri" w:hAnsi="Calibri"/>
              </w:rPr>
              <w:t>Variance (Value)</w:t>
            </w:r>
          </w:p>
        </w:tc>
        <w:tc>
          <w:tcPr>
            <w:tcW w:w="600" w:type="pct"/>
            <w:tcBorders>
              <w:top w:val="single" w:sz="4" w:space="0" w:color="808080"/>
              <w:left w:val="single" w:sz="24" w:space="0" w:color="FFFFFF"/>
              <w:bottom w:val="single" w:sz="4" w:space="0" w:color="808080"/>
            </w:tcBorders>
            <w:shd w:val="clear" w:color="auto" w:fill="BFBFBF"/>
            <w:vAlign w:val="center"/>
          </w:tcPr>
          <w:p w14:paraId="26C3BB33" w14:textId="77777777" w:rsidR="005C013F" w:rsidRPr="005F763D" w:rsidRDefault="005C013F" w:rsidP="00DD6420">
            <w:pPr>
              <w:pStyle w:val="TableHeader2-Centre"/>
              <w:rPr>
                <w:rFonts w:ascii="Calibri" w:hAnsi="Calibri"/>
              </w:rPr>
            </w:pPr>
            <w:r w:rsidRPr="005F763D">
              <w:rPr>
                <w:rFonts w:ascii="Calibri" w:hAnsi="Calibri"/>
              </w:rPr>
              <w:t>Variance (Weight)</w:t>
            </w:r>
          </w:p>
        </w:tc>
      </w:tr>
      <w:tr w:rsidR="00AF1591" w:rsidRPr="005F763D" w14:paraId="1D12FD1C" w14:textId="77777777" w:rsidTr="00930AC6">
        <w:tc>
          <w:tcPr>
            <w:tcW w:w="1400" w:type="pct"/>
            <w:tcBorders>
              <w:top w:val="single" w:sz="4" w:space="0" w:color="808080"/>
              <w:bottom w:val="single" w:sz="4" w:space="0" w:color="808080"/>
              <w:right w:val="single" w:sz="24" w:space="0" w:color="FFFFFF"/>
            </w:tcBorders>
            <w:shd w:val="clear" w:color="auto" w:fill="auto"/>
          </w:tcPr>
          <w:p w14:paraId="71AD0470" w14:textId="77777777" w:rsidR="001B5C5A" w:rsidRPr="000D0191" w:rsidRDefault="001B5C5A" w:rsidP="000D0191">
            <w:pPr>
              <w:jc w:val="left"/>
              <w:rPr>
                <w:rFonts w:cs="Arial"/>
                <w:szCs w:val="20"/>
              </w:rPr>
            </w:pPr>
            <w:r w:rsidRPr="000D0191">
              <w:rPr>
                <w:rFonts w:cs="Arial"/>
                <w:szCs w:val="20"/>
              </w:rPr>
              <w:t>Alternatives</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5903CBE"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97708D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9ABBFB"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92A558A"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820624E"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7D6815A3" w14:textId="77777777" w:rsidR="001B5C5A" w:rsidRPr="005F763D" w:rsidRDefault="001B5C5A" w:rsidP="000D6E4F">
            <w:pPr>
              <w:pStyle w:val="TableText-Right"/>
            </w:pPr>
            <w:r w:rsidRPr="005F763D">
              <w:t>__.__%</w:t>
            </w:r>
          </w:p>
        </w:tc>
      </w:tr>
      <w:tr w:rsidR="00AF1591" w:rsidRPr="005F763D" w14:paraId="585D483B" w14:textId="77777777" w:rsidTr="00930AC6">
        <w:tc>
          <w:tcPr>
            <w:tcW w:w="1400" w:type="pct"/>
            <w:tcBorders>
              <w:top w:val="single" w:sz="4" w:space="0" w:color="808080"/>
              <w:bottom w:val="single" w:sz="4" w:space="0" w:color="808080"/>
              <w:right w:val="single" w:sz="24" w:space="0" w:color="FFFFFF"/>
            </w:tcBorders>
            <w:shd w:val="clear" w:color="auto" w:fill="auto"/>
          </w:tcPr>
          <w:p w14:paraId="7C84EE6A" w14:textId="77777777" w:rsidR="001B5C5A" w:rsidRPr="000D0191" w:rsidRDefault="001B5C5A" w:rsidP="000D0191">
            <w:pPr>
              <w:jc w:val="left"/>
              <w:rPr>
                <w:rFonts w:cs="Arial"/>
                <w:szCs w:val="20"/>
              </w:rPr>
            </w:pPr>
            <w:r w:rsidRPr="000D0191">
              <w:rPr>
                <w:rFonts w:cs="Arial"/>
                <w:szCs w:val="20"/>
              </w:rPr>
              <w:t>Domestic Cash</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2BB5125"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724BD00"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7738A8F"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97567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6DC9D6C"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489006AF" w14:textId="77777777" w:rsidR="001B5C5A" w:rsidRPr="005F763D" w:rsidRDefault="001B5C5A" w:rsidP="000D6E4F">
            <w:pPr>
              <w:pStyle w:val="TableText-Right"/>
            </w:pPr>
            <w:r w:rsidRPr="005F763D">
              <w:t>__.__%</w:t>
            </w:r>
          </w:p>
        </w:tc>
      </w:tr>
      <w:tr w:rsidR="00AF1591" w:rsidRPr="005F763D" w14:paraId="61A111FC" w14:textId="77777777" w:rsidTr="00930AC6">
        <w:tc>
          <w:tcPr>
            <w:tcW w:w="1400" w:type="pct"/>
            <w:tcBorders>
              <w:top w:val="single" w:sz="4" w:space="0" w:color="808080"/>
              <w:bottom w:val="single" w:sz="4" w:space="0" w:color="808080"/>
              <w:right w:val="single" w:sz="24" w:space="0" w:color="FFFFFF"/>
            </w:tcBorders>
            <w:shd w:val="clear" w:color="auto" w:fill="auto"/>
          </w:tcPr>
          <w:p w14:paraId="0DA8E56A" w14:textId="77777777" w:rsidR="001B5C5A" w:rsidRPr="000D0191" w:rsidRDefault="001B5C5A" w:rsidP="000D0191">
            <w:pPr>
              <w:jc w:val="left"/>
              <w:rPr>
                <w:rFonts w:cs="Arial"/>
                <w:szCs w:val="20"/>
              </w:rPr>
            </w:pPr>
            <w:r w:rsidRPr="000D0191">
              <w:rPr>
                <w:rFonts w:cs="Arial"/>
                <w:szCs w:val="20"/>
              </w:rPr>
              <w:t>Domestic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375CF27"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998D51E"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734EAD0"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42124C6"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8C9978"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1AE86CC2" w14:textId="77777777" w:rsidR="001B5C5A" w:rsidRPr="005F763D" w:rsidRDefault="001B5C5A" w:rsidP="000D6E4F">
            <w:pPr>
              <w:pStyle w:val="TableText-Right"/>
            </w:pPr>
            <w:r w:rsidRPr="005F763D">
              <w:t>__.__%</w:t>
            </w:r>
          </w:p>
        </w:tc>
      </w:tr>
      <w:tr w:rsidR="00AF1591" w:rsidRPr="005F763D" w14:paraId="0DD53A86" w14:textId="77777777" w:rsidTr="00930AC6">
        <w:tc>
          <w:tcPr>
            <w:tcW w:w="1400" w:type="pct"/>
            <w:tcBorders>
              <w:top w:val="single" w:sz="4" w:space="0" w:color="808080"/>
              <w:bottom w:val="single" w:sz="4" w:space="0" w:color="808080"/>
              <w:right w:val="single" w:sz="24" w:space="0" w:color="FFFFFF"/>
            </w:tcBorders>
            <w:shd w:val="clear" w:color="auto" w:fill="auto"/>
          </w:tcPr>
          <w:p w14:paraId="7B3BE3A2" w14:textId="77777777" w:rsidR="001B5C5A" w:rsidRPr="000D0191" w:rsidRDefault="001B5C5A" w:rsidP="000D0191">
            <w:pPr>
              <w:jc w:val="left"/>
              <w:rPr>
                <w:rFonts w:cs="Arial"/>
                <w:szCs w:val="20"/>
              </w:rPr>
            </w:pPr>
            <w:r w:rsidRPr="000D0191">
              <w:rPr>
                <w:rFonts w:cs="Arial"/>
                <w:szCs w:val="20"/>
              </w:rPr>
              <w:t>Domestic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398BE0E" w14:textId="50C73D99" w:rsidR="001B5C5A" w:rsidRPr="005F763D" w:rsidRDefault="001B5C5A" w:rsidP="000D6E4F">
            <w:pPr>
              <w:pStyle w:val="TableText-Right"/>
            </w:pPr>
            <w:r w:rsidRPr="005F763D">
              <w:t>$_</w:t>
            </w:r>
            <w:r w:rsidR="000212BD" w:rsidRPr="005F763D">
              <w:t>_, _</w:t>
            </w:r>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5BFF0D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F86FBBD" w14:textId="4C193417" w:rsidR="001B5C5A" w:rsidRPr="005F763D" w:rsidRDefault="001B5C5A" w:rsidP="000D6E4F">
            <w:pPr>
              <w:pStyle w:val="TableText-Right"/>
            </w:pPr>
            <w:r w:rsidRPr="005F763D">
              <w:t>$_</w:t>
            </w:r>
            <w:r w:rsidR="000212BD" w:rsidRPr="005F763D">
              <w:t>_, _</w:t>
            </w:r>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8744BC4"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08B6A54"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5F7B0755" w14:textId="77777777" w:rsidR="001B5C5A" w:rsidRPr="005F763D" w:rsidRDefault="001B5C5A" w:rsidP="000D6E4F">
            <w:pPr>
              <w:pStyle w:val="TableText-Right"/>
            </w:pPr>
            <w:r w:rsidRPr="005F763D">
              <w:t>__.__%</w:t>
            </w:r>
          </w:p>
        </w:tc>
      </w:tr>
      <w:tr w:rsidR="00AF1591" w:rsidRPr="005F763D" w14:paraId="769D584C" w14:textId="77777777" w:rsidTr="00930AC6">
        <w:tc>
          <w:tcPr>
            <w:tcW w:w="1400" w:type="pct"/>
            <w:tcBorders>
              <w:top w:val="single" w:sz="4" w:space="0" w:color="808080"/>
              <w:bottom w:val="single" w:sz="4" w:space="0" w:color="808080"/>
              <w:right w:val="single" w:sz="24" w:space="0" w:color="FFFFFF"/>
            </w:tcBorders>
            <w:shd w:val="clear" w:color="auto" w:fill="auto"/>
          </w:tcPr>
          <w:p w14:paraId="4832D6B5" w14:textId="77777777" w:rsidR="001B5C5A" w:rsidRPr="000D0191" w:rsidRDefault="001B5C5A" w:rsidP="000D0191">
            <w:pPr>
              <w:jc w:val="left"/>
              <w:rPr>
                <w:rFonts w:cs="Arial"/>
                <w:szCs w:val="20"/>
              </w:rPr>
            </w:pPr>
            <w:r w:rsidRPr="000D0191">
              <w:rPr>
                <w:rFonts w:cs="Arial"/>
                <w:szCs w:val="20"/>
              </w:rPr>
              <w:t>Domestic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163C826"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C02574F"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0DC550F"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FB7CE61"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9754656"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23184F0D" w14:textId="77777777" w:rsidR="001B5C5A" w:rsidRPr="005F763D" w:rsidRDefault="001B5C5A" w:rsidP="000D6E4F">
            <w:pPr>
              <w:pStyle w:val="TableText-Right"/>
            </w:pPr>
            <w:r w:rsidRPr="005F763D">
              <w:t>__.__%</w:t>
            </w:r>
          </w:p>
        </w:tc>
      </w:tr>
      <w:tr w:rsidR="00AF1591" w:rsidRPr="005F763D" w14:paraId="40568E39" w14:textId="77777777" w:rsidTr="00930AC6">
        <w:tc>
          <w:tcPr>
            <w:tcW w:w="1400" w:type="pct"/>
            <w:tcBorders>
              <w:top w:val="single" w:sz="4" w:space="0" w:color="808080"/>
              <w:bottom w:val="single" w:sz="4" w:space="0" w:color="808080"/>
              <w:right w:val="single" w:sz="24" w:space="0" w:color="FFFFFF"/>
            </w:tcBorders>
            <w:shd w:val="clear" w:color="auto" w:fill="auto"/>
          </w:tcPr>
          <w:p w14:paraId="0D514CC1" w14:textId="77777777" w:rsidR="001B5C5A" w:rsidRPr="000D0191" w:rsidRDefault="001B5C5A" w:rsidP="000D0191">
            <w:pPr>
              <w:jc w:val="left"/>
              <w:rPr>
                <w:rFonts w:cs="Arial"/>
                <w:szCs w:val="20"/>
              </w:rPr>
            </w:pPr>
            <w:r w:rsidRPr="000D0191">
              <w:rPr>
                <w:rFonts w:cs="Arial"/>
                <w:szCs w:val="20"/>
              </w:rPr>
              <w:t>International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2FA4662"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66ACEE7"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A9061B0"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00091C0"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0E45368"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3260A2E9" w14:textId="77777777" w:rsidR="001B5C5A" w:rsidRPr="005F763D" w:rsidRDefault="001B5C5A" w:rsidP="000D6E4F">
            <w:pPr>
              <w:pStyle w:val="TableText-Right"/>
            </w:pPr>
            <w:r w:rsidRPr="005F763D">
              <w:t>__.__%</w:t>
            </w:r>
          </w:p>
        </w:tc>
      </w:tr>
      <w:tr w:rsidR="00AF1591" w:rsidRPr="005F763D" w14:paraId="773B1DA5" w14:textId="77777777" w:rsidTr="00930AC6">
        <w:tc>
          <w:tcPr>
            <w:tcW w:w="1400" w:type="pct"/>
            <w:tcBorders>
              <w:top w:val="single" w:sz="4" w:space="0" w:color="808080"/>
              <w:bottom w:val="single" w:sz="4" w:space="0" w:color="808080"/>
              <w:right w:val="single" w:sz="24" w:space="0" w:color="FFFFFF"/>
            </w:tcBorders>
            <w:shd w:val="clear" w:color="auto" w:fill="auto"/>
          </w:tcPr>
          <w:p w14:paraId="539B08C8" w14:textId="77777777" w:rsidR="001B5C5A" w:rsidRPr="000D0191" w:rsidRDefault="001B5C5A" w:rsidP="000D0191">
            <w:pPr>
              <w:jc w:val="left"/>
              <w:rPr>
                <w:rFonts w:cs="Arial"/>
                <w:szCs w:val="20"/>
              </w:rPr>
            </w:pPr>
            <w:r w:rsidRPr="000D0191">
              <w:rPr>
                <w:rFonts w:cs="Arial"/>
                <w:szCs w:val="20"/>
              </w:rPr>
              <w:t>International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DACC5F5"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833380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FF906F0"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F8BE6F9"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528CABB"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58F62D77" w14:textId="77777777" w:rsidR="001B5C5A" w:rsidRPr="005F763D" w:rsidRDefault="001B5C5A" w:rsidP="000D6E4F">
            <w:pPr>
              <w:pStyle w:val="TableText-Right"/>
            </w:pPr>
            <w:r w:rsidRPr="005F763D">
              <w:t>__.__%</w:t>
            </w:r>
          </w:p>
        </w:tc>
      </w:tr>
      <w:tr w:rsidR="00AF1591" w:rsidRPr="005F763D" w14:paraId="24760CC5" w14:textId="77777777" w:rsidTr="00930AC6">
        <w:tc>
          <w:tcPr>
            <w:tcW w:w="1400" w:type="pct"/>
            <w:tcBorders>
              <w:top w:val="single" w:sz="4" w:space="0" w:color="808080"/>
              <w:bottom w:val="single" w:sz="4" w:space="0" w:color="808080"/>
              <w:right w:val="single" w:sz="24" w:space="0" w:color="FFFFFF"/>
            </w:tcBorders>
            <w:shd w:val="clear" w:color="auto" w:fill="auto"/>
          </w:tcPr>
          <w:p w14:paraId="31ED46F7" w14:textId="77777777" w:rsidR="001B5C5A" w:rsidRPr="000D0191" w:rsidRDefault="001B5C5A" w:rsidP="000D0191">
            <w:pPr>
              <w:jc w:val="left"/>
              <w:rPr>
                <w:rFonts w:cs="Arial"/>
                <w:szCs w:val="20"/>
              </w:rPr>
            </w:pPr>
            <w:r w:rsidRPr="000D0191">
              <w:rPr>
                <w:rFonts w:cs="Arial"/>
                <w:szCs w:val="20"/>
              </w:rPr>
              <w:t>International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6C84DAA"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D586E16"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4844198"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0D54AF3"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1A900E1" w14:textId="77777777" w:rsidR="001B5C5A" w:rsidRPr="005F763D" w:rsidRDefault="001B5C5A"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3B937ED9" w14:textId="77777777" w:rsidR="001B5C5A" w:rsidRPr="005F763D" w:rsidRDefault="001B5C5A" w:rsidP="000D6E4F">
            <w:pPr>
              <w:pStyle w:val="TableText-Right"/>
            </w:pPr>
            <w:r w:rsidRPr="005F763D">
              <w:t>__.__%</w:t>
            </w:r>
          </w:p>
        </w:tc>
      </w:tr>
      <w:tr w:rsidR="00930AC6" w:rsidRPr="005F763D" w14:paraId="49F37275" w14:textId="77777777" w:rsidTr="00930AC6">
        <w:tc>
          <w:tcPr>
            <w:tcW w:w="1400" w:type="pct"/>
            <w:tcBorders>
              <w:top w:val="single" w:sz="4" w:space="0" w:color="808080"/>
              <w:right w:val="single" w:sz="24" w:space="0" w:color="FFFFFF"/>
            </w:tcBorders>
            <w:shd w:val="clear" w:color="auto" w:fill="auto"/>
          </w:tcPr>
          <w:p w14:paraId="5FD4B569" w14:textId="77777777" w:rsidR="005C013F" w:rsidRPr="005F763D" w:rsidRDefault="005C013F" w:rsidP="000D6E4F">
            <w:pPr>
              <w:pStyle w:val="TableText-RightBold"/>
            </w:pPr>
            <w:r w:rsidRPr="005F763D">
              <w:t>Grand Total:</w:t>
            </w:r>
          </w:p>
        </w:tc>
        <w:tc>
          <w:tcPr>
            <w:tcW w:w="600" w:type="pct"/>
            <w:tcBorders>
              <w:top w:val="single" w:sz="4" w:space="0" w:color="808080"/>
              <w:left w:val="single" w:sz="24" w:space="0" w:color="FFFFFF"/>
              <w:bottom w:val="single" w:sz="4" w:space="0" w:color="808080"/>
            </w:tcBorders>
            <w:shd w:val="clear" w:color="auto" w:fill="D9D9D9"/>
          </w:tcPr>
          <w:p w14:paraId="7E4060CC" w14:textId="77777777" w:rsidR="005C013F" w:rsidRPr="005F763D" w:rsidRDefault="005C013F" w:rsidP="000D6E4F">
            <w:pPr>
              <w:pStyle w:val="TableText-RightBold"/>
            </w:pPr>
            <w:r w:rsidRPr="005F763D">
              <w:t>$</w:t>
            </w:r>
            <w:r w:rsidR="001B5C5A" w:rsidRPr="005F763D">
              <w:t>__</w:t>
            </w:r>
            <w:proofErr w:type="gramStart"/>
            <w:r w:rsidR="001B5C5A" w:rsidRPr="005F763D">
              <w:t>_</w:t>
            </w:r>
            <w:r w:rsidRPr="005F763D">
              <w:t>,</w:t>
            </w:r>
            <w:r w:rsidR="001B5C5A" w:rsidRPr="005F763D">
              <w:t>_</w:t>
            </w:r>
            <w:proofErr w:type="gramEnd"/>
            <w:r w:rsidR="001B5C5A" w:rsidRPr="005F763D">
              <w:t>__</w:t>
            </w:r>
            <w:r w:rsidRPr="005F763D">
              <w:t>.</w:t>
            </w:r>
            <w:r w:rsidR="001B5C5A" w:rsidRPr="005F763D">
              <w:t>0</w:t>
            </w:r>
            <w:r w:rsidRPr="005F763D">
              <w:t>0</w:t>
            </w:r>
          </w:p>
        </w:tc>
        <w:tc>
          <w:tcPr>
            <w:tcW w:w="600" w:type="pct"/>
            <w:tcBorders>
              <w:top w:val="single" w:sz="4" w:space="0" w:color="808080"/>
              <w:bottom w:val="single" w:sz="4" w:space="0" w:color="808080"/>
              <w:right w:val="single" w:sz="24" w:space="0" w:color="FFFFFF"/>
            </w:tcBorders>
            <w:shd w:val="clear" w:color="auto" w:fill="D9D9D9"/>
          </w:tcPr>
          <w:p w14:paraId="06CE6248" w14:textId="77777777" w:rsidR="005C013F" w:rsidRPr="005F763D" w:rsidRDefault="005C013F" w:rsidP="000D6E4F">
            <w:pPr>
              <w:pStyle w:val="TableText-RightBold"/>
            </w:pPr>
            <w:r w:rsidRPr="005F763D">
              <w:t>100.00%</w:t>
            </w:r>
          </w:p>
        </w:tc>
        <w:tc>
          <w:tcPr>
            <w:tcW w:w="600" w:type="pct"/>
            <w:tcBorders>
              <w:top w:val="single" w:sz="4" w:space="0" w:color="808080"/>
              <w:left w:val="single" w:sz="24" w:space="0" w:color="FFFFFF"/>
              <w:bottom w:val="single" w:sz="4" w:space="0" w:color="808080"/>
            </w:tcBorders>
            <w:shd w:val="clear" w:color="auto" w:fill="D9D9D9"/>
          </w:tcPr>
          <w:p w14:paraId="369D147C" w14:textId="77777777" w:rsidR="005C013F" w:rsidRPr="005F763D" w:rsidRDefault="005C013F" w:rsidP="000D6E4F">
            <w:pPr>
              <w:pStyle w:val="TableText-RightBold"/>
            </w:pPr>
            <w:r w:rsidRPr="005F763D">
              <w:t>$</w:t>
            </w:r>
            <w:r w:rsidR="001B5C5A" w:rsidRPr="005F763D">
              <w:t>__</w:t>
            </w:r>
            <w:proofErr w:type="gramStart"/>
            <w:r w:rsidR="001B5C5A" w:rsidRPr="005F763D">
              <w:t>_</w:t>
            </w:r>
            <w:r w:rsidRPr="005F763D">
              <w:t>,</w:t>
            </w:r>
            <w:r w:rsidR="001B5C5A" w:rsidRPr="005F763D">
              <w:t>_</w:t>
            </w:r>
            <w:proofErr w:type="gramEnd"/>
            <w:r w:rsidR="001B5C5A" w:rsidRPr="005F763D">
              <w:t>__</w:t>
            </w:r>
            <w:r w:rsidRPr="005F763D">
              <w:t>.</w:t>
            </w:r>
            <w:r w:rsidR="001B5C5A" w:rsidRPr="005F763D">
              <w:t>0</w:t>
            </w:r>
            <w:r w:rsidRPr="005F763D">
              <w:t>0</w:t>
            </w:r>
          </w:p>
        </w:tc>
        <w:tc>
          <w:tcPr>
            <w:tcW w:w="600" w:type="pct"/>
            <w:tcBorders>
              <w:top w:val="single" w:sz="4" w:space="0" w:color="808080"/>
              <w:bottom w:val="single" w:sz="4" w:space="0" w:color="808080"/>
              <w:right w:val="single" w:sz="24" w:space="0" w:color="FFFFFF"/>
            </w:tcBorders>
            <w:shd w:val="clear" w:color="auto" w:fill="D9D9D9"/>
          </w:tcPr>
          <w:p w14:paraId="4327B8F5" w14:textId="77777777" w:rsidR="005C013F" w:rsidRPr="005F763D" w:rsidRDefault="005C013F" w:rsidP="000D6E4F">
            <w:pPr>
              <w:pStyle w:val="TableText-RightBold"/>
            </w:pPr>
            <w:r w:rsidRPr="005F763D">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65EF55A9" w14:textId="77777777" w:rsidR="005C013F" w:rsidRPr="005F763D" w:rsidRDefault="005C013F" w:rsidP="000D6E4F">
            <w:pPr>
              <w:pStyle w:val="TableText-RightBold"/>
            </w:pPr>
            <w:r w:rsidRPr="005F763D">
              <w:t>$</w:t>
            </w:r>
            <w:r w:rsidR="001B5C5A" w:rsidRPr="005F763D">
              <w:t>_</w:t>
            </w:r>
            <w:proofErr w:type="gramStart"/>
            <w:r w:rsidR="001B5C5A" w:rsidRPr="005F763D">
              <w:t>_,_</w:t>
            </w:r>
            <w:proofErr w:type="gramEnd"/>
            <w:r w:rsidR="001B5C5A" w:rsidRPr="005F763D">
              <w:t>__</w:t>
            </w:r>
            <w:r w:rsidRPr="005F763D">
              <w:t>.00</w:t>
            </w:r>
          </w:p>
        </w:tc>
        <w:tc>
          <w:tcPr>
            <w:tcW w:w="600" w:type="pct"/>
            <w:tcBorders>
              <w:top w:val="single" w:sz="4" w:space="0" w:color="808080"/>
              <w:left w:val="single" w:sz="24" w:space="0" w:color="FFFFFF"/>
              <w:bottom w:val="single" w:sz="4" w:space="0" w:color="808080"/>
            </w:tcBorders>
            <w:shd w:val="clear" w:color="auto" w:fill="D9D9D9"/>
          </w:tcPr>
          <w:p w14:paraId="29B61940" w14:textId="77777777" w:rsidR="005C013F" w:rsidRPr="005F763D" w:rsidRDefault="005C013F" w:rsidP="000D6E4F">
            <w:pPr>
              <w:pStyle w:val="TableText-RightBold"/>
            </w:pPr>
            <w:r w:rsidRPr="005F763D">
              <w:t>-0.00%</w:t>
            </w:r>
          </w:p>
        </w:tc>
      </w:tr>
    </w:tbl>
    <w:p w14:paraId="1B7AD3EA" w14:textId="77777777" w:rsidR="00DD6420" w:rsidRPr="005F763D" w:rsidRDefault="00DD6420" w:rsidP="00DD6420"/>
    <w:p w14:paraId="52207094" w14:textId="21D1DD49" w:rsidR="00DD6420" w:rsidRPr="005F763D" w:rsidRDefault="00DD6420" w:rsidP="0008751D">
      <w:pPr>
        <w:pStyle w:val="Heading3"/>
      </w:pPr>
      <w:bookmarkStart w:id="149" w:name="_Toc377642885"/>
      <w:bookmarkStart w:id="150" w:name="_Toc46236044"/>
      <w:r w:rsidRPr="005F763D">
        <w:t xml:space="preserve">Proposed Asset Allocation for </w:t>
      </w:r>
      <w:r w:rsidRPr="005F763D">
        <w:rPr>
          <w:color w:val="FF0000"/>
        </w:rPr>
        <w:t>[Partner Name]</w:t>
      </w:r>
      <w:bookmarkEnd w:id="149"/>
      <w:bookmarkEnd w:id="150"/>
    </w:p>
    <w:p w14:paraId="418BBCED" w14:textId="77777777" w:rsidR="00DD6420" w:rsidRPr="005F763D" w:rsidRDefault="00DD6420" w:rsidP="00DD6420"/>
    <w:p w14:paraId="28DB9DCD" w14:textId="77777777" w:rsidR="00DD6420" w:rsidRPr="005F763D" w:rsidRDefault="00DD6420" w:rsidP="00DD6420">
      <w:pPr>
        <w:jc w:val="center"/>
        <w:rPr>
          <w:color w:val="FF0000"/>
        </w:rPr>
      </w:pPr>
      <w:r w:rsidRPr="005F763D">
        <w:rPr>
          <w:color w:val="FF0000"/>
        </w:rPr>
        <w:t>[Insert Graph]</w:t>
      </w:r>
    </w:p>
    <w:p w14:paraId="0C4182D0" w14:textId="77777777" w:rsidR="00DD6420" w:rsidRPr="005F763D" w:rsidRDefault="00DD6420" w:rsidP="00DD6420"/>
    <w:tbl>
      <w:tblPr>
        <w:tblW w:w="5000" w:type="pct"/>
        <w:tblLayout w:type="fixed"/>
        <w:tblCellMar>
          <w:top w:w="28" w:type="dxa"/>
          <w:left w:w="28" w:type="dxa"/>
          <w:bottom w:w="28" w:type="dxa"/>
          <w:right w:w="28" w:type="dxa"/>
        </w:tblCellMar>
        <w:tblLook w:val="0000" w:firstRow="0" w:lastRow="0" w:firstColumn="0" w:lastColumn="0" w:noHBand="0" w:noVBand="0"/>
      </w:tblPr>
      <w:tblGrid>
        <w:gridCol w:w="2976"/>
        <w:gridCol w:w="1275"/>
        <w:gridCol w:w="1276"/>
        <w:gridCol w:w="1276"/>
        <w:gridCol w:w="1276"/>
        <w:gridCol w:w="1276"/>
        <w:gridCol w:w="1276"/>
      </w:tblGrid>
      <w:tr w:rsidR="00AF1591" w:rsidRPr="005F763D" w14:paraId="15204138" w14:textId="77777777" w:rsidTr="00930AC6">
        <w:trPr>
          <w:tblHeader/>
        </w:trPr>
        <w:tc>
          <w:tcPr>
            <w:tcW w:w="1400" w:type="pct"/>
            <w:tcBorders>
              <w:top w:val="single" w:sz="4" w:space="0" w:color="808080"/>
              <w:bottom w:val="single" w:sz="4" w:space="0" w:color="808080"/>
              <w:right w:val="single" w:sz="24" w:space="0" w:color="FFFFFF"/>
            </w:tcBorders>
            <w:shd w:val="clear" w:color="auto" w:fill="BFBFBF"/>
            <w:vAlign w:val="center"/>
          </w:tcPr>
          <w:p w14:paraId="48442806" w14:textId="77777777" w:rsidR="00DD6420" w:rsidRPr="005F763D" w:rsidRDefault="00DD6420" w:rsidP="00AF1591">
            <w:pPr>
              <w:pStyle w:val="TableHeader2"/>
              <w:rPr>
                <w:rFonts w:ascii="Calibri" w:hAnsi="Calibri"/>
              </w:rPr>
            </w:pPr>
            <w:r w:rsidRPr="005F763D">
              <w:rPr>
                <w:rFonts w:ascii="Calibri" w:hAnsi="Calibri"/>
              </w:rPr>
              <w:t>Asset Allocation</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79C04C70" w14:textId="77777777" w:rsidR="00DD6420" w:rsidRPr="005F763D" w:rsidRDefault="00DD6420" w:rsidP="00AF1591">
            <w:pPr>
              <w:pStyle w:val="TableHeader2-Centre"/>
              <w:rPr>
                <w:rFonts w:ascii="Calibri" w:hAnsi="Calibri"/>
              </w:rPr>
            </w:pPr>
            <w:r w:rsidRPr="005F763D">
              <w:rPr>
                <w:rFonts w:ascii="Calibri" w:hAnsi="Calibri"/>
              </w:rPr>
              <w:t>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614151DB" w14:textId="77777777" w:rsidR="00DD6420" w:rsidRPr="005F763D" w:rsidRDefault="00DD6420" w:rsidP="00AF1591">
            <w:pPr>
              <w:pStyle w:val="TableHeader2-Centre"/>
              <w:rPr>
                <w:rFonts w:ascii="Calibri" w:hAnsi="Calibri"/>
              </w:rPr>
            </w:pPr>
            <w:r w:rsidRPr="005F763D">
              <w:rPr>
                <w:rFonts w:ascii="Calibri" w:hAnsi="Calibri"/>
              </w:rPr>
              <w:t>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21EE316D" w14:textId="77777777" w:rsidR="00DD6420" w:rsidRPr="005F763D" w:rsidRDefault="00DD6420" w:rsidP="00AF1591">
            <w:pPr>
              <w:pStyle w:val="TableHeader2-Centre"/>
              <w:rPr>
                <w:rFonts w:ascii="Calibri" w:hAnsi="Calibri"/>
              </w:rPr>
            </w:pPr>
            <w:r w:rsidRPr="005F763D">
              <w:rPr>
                <w:rFonts w:ascii="Calibri" w:hAnsi="Calibri"/>
              </w:rPr>
              <w:t>Target 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49EAE788" w14:textId="77777777" w:rsidR="00DD6420" w:rsidRPr="005F763D" w:rsidRDefault="00DD6420" w:rsidP="00AF1591">
            <w:pPr>
              <w:pStyle w:val="TableHeader2-Centre"/>
              <w:rPr>
                <w:rFonts w:ascii="Calibri" w:hAnsi="Calibri"/>
              </w:rPr>
            </w:pPr>
            <w:r w:rsidRPr="005F763D">
              <w:rPr>
                <w:rFonts w:ascii="Calibri" w:hAnsi="Calibri"/>
              </w:rPr>
              <w:t>Target 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53C12A71" w14:textId="77777777" w:rsidR="00DD6420" w:rsidRPr="005F763D" w:rsidRDefault="00DD6420" w:rsidP="00AF1591">
            <w:pPr>
              <w:pStyle w:val="TableHeader2-Centre"/>
              <w:rPr>
                <w:rFonts w:ascii="Calibri" w:hAnsi="Calibri"/>
              </w:rPr>
            </w:pPr>
            <w:r w:rsidRPr="005F763D">
              <w:rPr>
                <w:rFonts w:ascii="Calibri" w:hAnsi="Calibri"/>
              </w:rPr>
              <w:t>Variance (Value)</w:t>
            </w:r>
          </w:p>
        </w:tc>
        <w:tc>
          <w:tcPr>
            <w:tcW w:w="600" w:type="pct"/>
            <w:tcBorders>
              <w:top w:val="single" w:sz="4" w:space="0" w:color="808080"/>
              <w:left w:val="single" w:sz="24" w:space="0" w:color="FFFFFF"/>
              <w:bottom w:val="single" w:sz="4" w:space="0" w:color="808080"/>
            </w:tcBorders>
            <w:shd w:val="clear" w:color="auto" w:fill="BFBFBF"/>
            <w:vAlign w:val="center"/>
          </w:tcPr>
          <w:p w14:paraId="34860951" w14:textId="77777777" w:rsidR="00DD6420" w:rsidRPr="005F763D" w:rsidRDefault="00DD6420" w:rsidP="00AF1591">
            <w:pPr>
              <w:pStyle w:val="TableHeader2-Centre"/>
              <w:rPr>
                <w:rFonts w:ascii="Calibri" w:hAnsi="Calibri"/>
              </w:rPr>
            </w:pPr>
            <w:r w:rsidRPr="005F763D">
              <w:rPr>
                <w:rFonts w:ascii="Calibri" w:hAnsi="Calibri"/>
              </w:rPr>
              <w:t>Variance (Weight)</w:t>
            </w:r>
          </w:p>
        </w:tc>
      </w:tr>
      <w:tr w:rsidR="00AF1591" w:rsidRPr="005F763D" w14:paraId="6D11CEA0" w14:textId="77777777" w:rsidTr="00930AC6">
        <w:tc>
          <w:tcPr>
            <w:tcW w:w="1400" w:type="pct"/>
            <w:tcBorders>
              <w:top w:val="single" w:sz="4" w:space="0" w:color="808080"/>
              <w:bottom w:val="single" w:sz="4" w:space="0" w:color="808080"/>
              <w:right w:val="single" w:sz="24" w:space="0" w:color="FFFFFF"/>
            </w:tcBorders>
            <w:shd w:val="clear" w:color="auto" w:fill="auto"/>
          </w:tcPr>
          <w:p w14:paraId="1172BE30" w14:textId="77777777" w:rsidR="00DD6420" w:rsidRPr="005F763D" w:rsidRDefault="00DD6420" w:rsidP="000D0191">
            <w:pPr>
              <w:jc w:val="left"/>
            </w:pPr>
            <w:r w:rsidRPr="005F763D">
              <w:t>Alternatives</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9F6FDCB"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3734418"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807FD32"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589550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08F1282"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7BC5C48A" w14:textId="77777777" w:rsidR="00DD6420" w:rsidRPr="005F763D" w:rsidRDefault="00DD6420" w:rsidP="000D6E4F">
            <w:pPr>
              <w:pStyle w:val="TableText-Right"/>
            </w:pPr>
            <w:r w:rsidRPr="005F763D">
              <w:t>__.__%</w:t>
            </w:r>
          </w:p>
        </w:tc>
      </w:tr>
      <w:tr w:rsidR="00AF1591" w:rsidRPr="005F763D" w14:paraId="3B817EDF" w14:textId="77777777" w:rsidTr="00930AC6">
        <w:tc>
          <w:tcPr>
            <w:tcW w:w="1400" w:type="pct"/>
            <w:tcBorders>
              <w:top w:val="single" w:sz="4" w:space="0" w:color="808080"/>
              <w:bottom w:val="single" w:sz="4" w:space="0" w:color="808080"/>
              <w:right w:val="single" w:sz="24" w:space="0" w:color="FFFFFF"/>
            </w:tcBorders>
            <w:shd w:val="clear" w:color="auto" w:fill="auto"/>
          </w:tcPr>
          <w:p w14:paraId="5F30D0ED" w14:textId="77777777" w:rsidR="00DD6420" w:rsidRPr="005F763D" w:rsidRDefault="00DD6420" w:rsidP="000D0191">
            <w:pPr>
              <w:jc w:val="left"/>
            </w:pPr>
            <w:r w:rsidRPr="005F763D">
              <w:t>Domestic Cash</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ECBF73A"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1D851D3"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2C7D8E8"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7D8FA2C"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A02452C"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74249BFF" w14:textId="77777777" w:rsidR="00DD6420" w:rsidRPr="005F763D" w:rsidRDefault="00DD6420" w:rsidP="000D6E4F">
            <w:pPr>
              <w:pStyle w:val="TableText-Right"/>
            </w:pPr>
            <w:r w:rsidRPr="005F763D">
              <w:t>__.__%</w:t>
            </w:r>
          </w:p>
        </w:tc>
      </w:tr>
      <w:tr w:rsidR="00AF1591" w:rsidRPr="005F763D" w14:paraId="0158BD2E" w14:textId="77777777" w:rsidTr="00930AC6">
        <w:tc>
          <w:tcPr>
            <w:tcW w:w="1400" w:type="pct"/>
            <w:tcBorders>
              <w:top w:val="single" w:sz="4" w:space="0" w:color="808080"/>
              <w:bottom w:val="single" w:sz="4" w:space="0" w:color="808080"/>
              <w:right w:val="single" w:sz="24" w:space="0" w:color="FFFFFF"/>
            </w:tcBorders>
            <w:shd w:val="clear" w:color="auto" w:fill="auto"/>
          </w:tcPr>
          <w:p w14:paraId="71ED06F4" w14:textId="77777777" w:rsidR="00DD6420" w:rsidRPr="005F763D" w:rsidRDefault="00DD6420" w:rsidP="000D0191">
            <w:pPr>
              <w:jc w:val="left"/>
            </w:pPr>
            <w:r w:rsidRPr="005F763D">
              <w:t>Domestic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D30A598"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E4D81E0"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E7C370E"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E58F545"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5C62218"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4D16DE3E" w14:textId="77777777" w:rsidR="00DD6420" w:rsidRPr="005F763D" w:rsidRDefault="00DD6420" w:rsidP="000D6E4F">
            <w:pPr>
              <w:pStyle w:val="TableText-Right"/>
            </w:pPr>
            <w:r w:rsidRPr="005F763D">
              <w:t>__.__%</w:t>
            </w:r>
          </w:p>
        </w:tc>
      </w:tr>
      <w:tr w:rsidR="00AF1591" w:rsidRPr="005F763D" w14:paraId="5AD658B3" w14:textId="77777777" w:rsidTr="00930AC6">
        <w:tc>
          <w:tcPr>
            <w:tcW w:w="1400" w:type="pct"/>
            <w:tcBorders>
              <w:top w:val="single" w:sz="4" w:space="0" w:color="808080"/>
              <w:bottom w:val="single" w:sz="4" w:space="0" w:color="808080"/>
              <w:right w:val="single" w:sz="24" w:space="0" w:color="FFFFFF"/>
            </w:tcBorders>
            <w:shd w:val="clear" w:color="auto" w:fill="auto"/>
          </w:tcPr>
          <w:p w14:paraId="445E3A38" w14:textId="77777777" w:rsidR="00DD6420" w:rsidRPr="005F763D" w:rsidRDefault="00DD6420" w:rsidP="000D0191">
            <w:pPr>
              <w:jc w:val="left"/>
            </w:pPr>
            <w:r w:rsidRPr="005F763D">
              <w:t>Domestic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DEC4C23"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D31BF3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880AAF9"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B2BC2B7"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8D9990E"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4ED19F3A" w14:textId="77777777" w:rsidR="00DD6420" w:rsidRPr="005F763D" w:rsidRDefault="00DD6420" w:rsidP="000D6E4F">
            <w:pPr>
              <w:pStyle w:val="TableText-Right"/>
            </w:pPr>
            <w:r w:rsidRPr="005F763D">
              <w:t>__.__%</w:t>
            </w:r>
          </w:p>
        </w:tc>
      </w:tr>
      <w:tr w:rsidR="00AF1591" w:rsidRPr="005F763D" w14:paraId="2A36E1C1" w14:textId="77777777" w:rsidTr="00930AC6">
        <w:tc>
          <w:tcPr>
            <w:tcW w:w="1400" w:type="pct"/>
            <w:tcBorders>
              <w:top w:val="single" w:sz="4" w:space="0" w:color="808080"/>
              <w:bottom w:val="single" w:sz="4" w:space="0" w:color="808080"/>
              <w:right w:val="single" w:sz="24" w:space="0" w:color="FFFFFF"/>
            </w:tcBorders>
            <w:shd w:val="clear" w:color="auto" w:fill="auto"/>
          </w:tcPr>
          <w:p w14:paraId="6C15A2B1" w14:textId="77777777" w:rsidR="00DD6420" w:rsidRPr="005F763D" w:rsidRDefault="00DD6420" w:rsidP="000D0191">
            <w:pPr>
              <w:jc w:val="left"/>
            </w:pPr>
            <w:r w:rsidRPr="005F763D">
              <w:t>Domestic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50F4E13"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732E66E"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BEADED"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C233E2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F135A73"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748194D0" w14:textId="77777777" w:rsidR="00DD6420" w:rsidRPr="005F763D" w:rsidRDefault="00DD6420" w:rsidP="000D6E4F">
            <w:pPr>
              <w:pStyle w:val="TableText-Right"/>
            </w:pPr>
            <w:r w:rsidRPr="005F763D">
              <w:t>__.__%</w:t>
            </w:r>
          </w:p>
        </w:tc>
      </w:tr>
      <w:tr w:rsidR="00AF1591" w:rsidRPr="005F763D" w14:paraId="202D1280" w14:textId="77777777" w:rsidTr="00930AC6">
        <w:tc>
          <w:tcPr>
            <w:tcW w:w="1400" w:type="pct"/>
            <w:tcBorders>
              <w:top w:val="single" w:sz="4" w:space="0" w:color="808080"/>
              <w:bottom w:val="single" w:sz="4" w:space="0" w:color="808080"/>
              <w:right w:val="single" w:sz="24" w:space="0" w:color="FFFFFF"/>
            </w:tcBorders>
            <w:shd w:val="clear" w:color="auto" w:fill="auto"/>
          </w:tcPr>
          <w:p w14:paraId="167F7C10" w14:textId="77777777" w:rsidR="00DD6420" w:rsidRPr="005F763D" w:rsidRDefault="00DD6420" w:rsidP="000D0191">
            <w:pPr>
              <w:jc w:val="left"/>
            </w:pPr>
            <w:r w:rsidRPr="005F763D">
              <w:t>International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3C72836"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A5E748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4A897B7"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2D0FDF5"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AB5581"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35FC03DD" w14:textId="77777777" w:rsidR="00DD6420" w:rsidRPr="005F763D" w:rsidRDefault="00DD6420" w:rsidP="000D6E4F">
            <w:pPr>
              <w:pStyle w:val="TableText-Right"/>
            </w:pPr>
            <w:r w:rsidRPr="005F763D">
              <w:t>__.__%</w:t>
            </w:r>
          </w:p>
        </w:tc>
      </w:tr>
      <w:tr w:rsidR="00AF1591" w:rsidRPr="005F763D" w14:paraId="2A653257" w14:textId="77777777" w:rsidTr="00930AC6">
        <w:tc>
          <w:tcPr>
            <w:tcW w:w="1400" w:type="pct"/>
            <w:tcBorders>
              <w:top w:val="single" w:sz="4" w:space="0" w:color="808080"/>
              <w:bottom w:val="single" w:sz="4" w:space="0" w:color="808080"/>
              <w:right w:val="single" w:sz="24" w:space="0" w:color="FFFFFF"/>
            </w:tcBorders>
            <w:shd w:val="clear" w:color="auto" w:fill="auto"/>
          </w:tcPr>
          <w:p w14:paraId="7C2B6A79" w14:textId="77777777" w:rsidR="00DD6420" w:rsidRPr="005F763D" w:rsidRDefault="00DD6420" w:rsidP="000D0191">
            <w:pPr>
              <w:jc w:val="left"/>
            </w:pPr>
            <w:r w:rsidRPr="005F763D">
              <w:t>International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8A0AA15"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6A9A080"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47F232C"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C750C34"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161E9B9"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54505F4F" w14:textId="77777777" w:rsidR="00DD6420" w:rsidRPr="005F763D" w:rsidRDefault="00DD6420" w:rsidP="000D6E4F">
            <w:pPr>
              <w:pStyle w:val="TableText-Right"/>
            </w:pPr>
            <w:r w:rsidRPr="005F763D">
              <w:t>__.__%</w:t>
            </w:r>
          </w:p>
        </w:tc>
      </w:tr>
      <w:tr w:rsidR="00AF1591" w:rsidRPr="005F763D" w14:paraId="19AA5165" w14:textId="77777777" w:rsidTr="00930AC6">
        <w:tc>
          <w:tcPr>
            <w:tcW w:w="1400" w:type="pct"/>
            <w:tcBorders>
              <w:top w:val="single" w:sz="4" w:space="0" w:color="808080"/>
              <w:bottom w:val="single" w:sz="4" w:space="0" w:color="808080"/>
              <w:right w:val="single" w:sz="24" w:space="0" w:color="FFFFFF"/>
            </w:tcBorders>
            <w:shd w:val="clear" w:color="auto" w:fill="auto"/>
          </w:tcPr>
          <w:p w14:paraId="074908E1" w14:textId="77777777" w:rsidR="00DD6420" w:rsidRPr="005F763D" w:rsidRDefault="00DD6420" w:rsidP="000D0191">
            <w:pPr>
              <w:jc w:val="left"/>
            </w:pPr>
            <w:r w:rsidRPr="005F763D">
              <w:t>International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7E647FA"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8640A0C"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0E27276"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A4DD555"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6FE0E20" w14:textId="77777777" w:rsidR="00DD6420" w:rsidRPr="005F763D" w:rsidRDefault="00DD6420" w:rsidP="000D6E4F">
            <w:pPr>
              <w:pStyle w:val="TableText-Right"/>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auto"/>
          </w:tcPr>
          <w:p w14:paraId="2B709900" w14:textId="77777777" w:rsidR="00DD6420" w:rsidRPr="005F763D" w:rsidRDefault="00DD6420" w:rsidP="000D6E4F">
            <w:pPr>
              <w:pStyle w:val="TableText-Right"/>
            </w:pPr>
            <w:r w:rsidRPr="005F763D">
              <w:t>__.__%</w:t>
            </w:r>
          </w:p>
        </w:tc>
      </w:tr>
      <w:tr w:rsidR="00AF1591" w:rsidRPr="005F763D" w14:paraId="1182F277" w14:textId="77777777" w:rsidTr="00930AC6">
        <w:tc>
          <w:tcPr>
            <w:tcW w:w="1400" w:type="pct"/>
            <w:tcBorders>
              <w:top w:val="single" w:sz="4" w:space="0" w:color="808080"/>
              <w:right w:val="single" w:sz="24" w:space="0" w:color="FFFFFF"/>
            </w:tcBorders>
            <w:shd w:val="clear" w:color="auto" w:fill="auto"/>
          </w:tcPr>
          <w:p w14:paraId="3601529A" w14:textId="77777777" w:rsidR="00DD6420" w:rsidRPr="005F763D" w:rsidRDefault="00DD6420" w:rsidP="000D6E4F">
            <w:pPr>
              <w:pStyle w:val="TableText-RightBold"/>
            </w:pPr>
            <w:r w:rsidRPr="005F763D">
              <w:t>Grand Total:</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6BCABFA6" w14:textId="77777777" w:rsidR="00DD6420" w:rsidRPr="005F763D" w:rsidRDefault="00DD6420" w:rsidP="000D6E4F">
            <w:pPr>
              <w:pStyle w:val="TableText-RightBold"/>
            </w:pPr>
            <w:r w:rsidRPr="005F763D">
              <w:t>$__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5C273E1C" w14:textId="77777777" w:rsidR="00DD6420" w:rsidRPr="005F763D" w:rsidRDefault="00DD6420" w:rsidP="000D6E4F">
            <w:pPr>
              <w:pStyle w:val="TableText-RightBold"/>
            </w:pPr>
            <w:r w:rsidRPr="005F763D">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6886AD48" w14:textId="77777777" w:rsidR="00DD6420" w:rsidRPr="005F763D" w:rsidRDefault="00DD6420" w:rsidP="000D6E4F">
            <w:pPr>
              <w:pStyle w:val="TableText-RightBold"/>
            </w:pPr>
            <w:r w:rsidRPr="005F763D">
              <w:t>$__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11B29FB1" w14:textId="77777777" w:rsidR="00DD6420" w:rsidRPr="005F763D" w:rsidRDefault="00DD6420" w:rsidP="000D6E4F">
            <w:pPr>
              <w:pStyle w:val="TableText-RightBold"/>
            </w:pPr>
            <w:r w:rsidRPr="005F763D">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0CA4F86F" w14:textId="77777777" w:rsidR="00DD6420" w:rsidRPr="005F763D" w:rsidRDefault="00DD6420" w:rsidP="000D6E4F">
            <w:pPr>
              <w:pStyle w:val="TableText-RightBold"/>
            </w:pPr>
            <w:r w:rsidRPr="005F763D">
              <w:t>$_</w:t>
            </w:r>
            <w:proofErr w:type="gramStart"/>
            <w:r w:rsidRPr="005F763D">
              <w:t>_,_</w:t>
            </w:r>
            <w:proofErr w:type="gramEnd"/>
            <w:r w:rsidRPr="005F763D">
              <w:t>__.00</w:t>
            </w:r>
          </w:p>
        </w:tc>
        <w:tc>
          <w:tcPr>
            <w:tcW w:w="600" w:type="pct"/>
            <w:tcBorders>
              <w:top w:val="single" w:sz="4" w:space="0" w:color="808080"/>
              <w:left w:val="single" w:sz="24" w:space="0" w:color="FFFFFF"/>
              <w:bottom w:val="single" w:sz="4" w:space="0" w:color="808080"/>
            </w:tcBorders>
            <w:shd w:val="clear" w:color="auto" w:fill="D9D9D9"/>
          </w:tcPr>
          <w:p w14:paraId="2FDB7778" w14:textId="77777777" w:rsidR="00DD6420" w:rsidRPr="005F763D" w:rsidRDefault="00DD6420" w:rsidP="000D6E4F">
            <w:pPr>
              <w:pStyle w:val="TableText-RightBold"/>
            </w:pPr>
            <w:r w:rsidRPr="005F763D">
              <w:t>-0.00%</w:t>
            </w:r>
          </w:p>
        </w:tc>
      </w:tr>
    </w:tbl>
    <w:p w14:paraId="679C77B9" w14:textId="3EF181A7" w:rsidR="00CF5DB4" w:rsidRDefault="00CF5DB4" w:rsidP="00CF5DB4">
      <w:pPr>
        <w:rPr>
          <w:rFonts w:cs="Calibri"/>
        </w:rPr>
      </w:pPr>
    </w:p>
    <w:p w14:paraId="5207BF28" w14:textId="0E3D330E" w:rsidR="00A36368" w:rsidRDefault="00A36368" w:rsidP="00CF5DB4">
      <w:pPr>
        <w:rPr>
          <w:rFonts w:cs="Calibri"/>
        </w:rPr>
      </w:pPr>
    </w:p>
    <w:p w14:paraId="0DF7ADEB" w14:textId="71D7BFB9" w:rsidR="00A912F6" w:rsidRDefault="00A912F6" w:rsidP="00CF5DB4">
      <w:pPr>
        <w:rPr>
          <w:rFonts w:cs="Calibri"/>
        </w:rPr>
      </w:pPr>
    </w:p>
    <w:p w14:paraId="7CE3149D" w14:textId="2E9AC758" w:rsidR="00A912F6" w:rsidRDefault="00A912F6" w:rsidP="00CF5DB4">
      <w:pPr>
        <w:rPr>
          <w:rFonts w:cs="Calibri"/>
        </w:rPr>
      </w:pPr>
    </w:p>
    <w:p w14:paraId="02DE3BA3" w14:textId="22A28654" w:rsidR="00A912F6" w:rsidRDefault="00A912F6" w:rsidP="00CF5DB4">
      <w:pPr>
        <w:rPr>
          <w:rFonts w:cs="Calibri"/>
        </w:rPr>
      </w:pPr>
    </w:p>
    <w:p w14:paraId="5007FB24" w14:textId="5D3A6E84" w:rsidR="00A912F6" w:rsidRDefault="00A912F6" w:rsidP="00CF5DB4">
      <w:pPr>
        <w:rPr>
          <w:rFonts w:cs="Calibri"/>
        </w:rPr>
      </w:pPr>
    </w:p>
    <w:sectPr w:rsidR="00A912F6" w:rsidSect="00010E11">
      <w:type w:val="continuous"/>
      <w:pgSz w:w="11906" w:h="16838" w:code="9"/>
      <w:pgMar w:top="1134" w:right="566" w:bottom="426" w:left="709" w:header="567" w:footer="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hane Miller" w:date="2019-07-04T15:04:00Z" w:initials="SM">
    <w:p w14:paraId="3DB9217E" w14:textId="77777777" w:rsidR="00151544" w:rsidRDefault="00151544" w:rsidP="00151544">
      <w:pPr>
        <w:pStyle w:val="CommentText"/>
      </w:pPr>
      <w:r>
        <w:rPr>
          <w:rStyle w:val="CommentReference"/>
        </w:rPr>
        <w:annotationRef/>
      </w:r>
      <w:r>
        <w:t>Paraplanner: Spare table</w:t>
      </w:r>
    </w:p>
  </w:comment>
  <w:comment w:id="11" w:author="Shane Miller" w:date="2018-11-30T12:03:00Z" w:initials="SM">
    <w:p w14:paraId="680049D6" w14:textId="3732CF35" w:rsidR="00846774" w:rsidRDefault="00846774">
      <w:pPr>
        <w:pStyle w:val="CommentText"/>
      </w:pPr>
      <w:r>
        <w:rPr>
          <w:rStyle w:val="CommentReference"/>
        </w:rPr>
        <w:annotationRef/>
      </w:r>
      <w:r>
        <w:t xml:space="preserve">Unless </w:t>
      </w:r>
      <w:proofErr w:type="spellStart"/>
      <w:r>
        <w:t>your</w:t>
      </w:r>
      <w:proofErr w:type="spellEnd"/>
      <w:r>
        <w:t xml:space="preserve"> have a Credit Licence, you are unable to advise of the suitability (or unsuitability) of a particular loan product.</w:t>
      </w:r>
    </w:p>
  </w:comment>
  <w:comment w:id="19" w:author="Shane Miller" w:date="2018-10-30T12:08:00Z" w:initials="SM">
    <w:p w14:paraId="2ECA1FD1" w14:textId="19A52B3E" w:rsidR="00846774" w:rsidRDefault="00846774" w:rsidP="000574E1">
      <w:pPr>
        <w:jc w:val="left"/>
      </w:pPr>
      <w:r>
        <w:rPr>
          <w:rStyle w:val="CommentReference"/>
        </w:rPr>
        <w:annotationRef/>
      </w:r>
      <w:r>
        <w:t>Paraplanner: Optional, additional wording; this has been lifted from a previous fragment that is now discontinued.</w:t>
      </w:r>
    </w:p>
    <w:p w14:paraId="0FD76EA9" w14:textId="56BD148C" w:rsidR="00846774" w:rsidRDefault="00846774">
      <w:pPr>
        <w:pStyle w:val="CommentText"/>
      </w:pPr>
    </w:p>
  </w:comment>
  <w:comment w:id="20" w:author="Shane Miller" w:date="2018-10-18T15:19:00Z" w:initials="SM">
    <w:p w14:paraId="122AF899" w14:textId="54E6A6FB" w:rsidR="00846774" w:rsidRDefault="00846774">
      <w:pPr>
        <w:pStyle w:val="CommentText"/>
      </w:pPr>
      <w:r>
        <w:rPr>
          <w:rStyle w:val="CommentReference"/>
        </w:rPr>
        <w:annotationRef/>
      </w:r>
      <w:r w:rsidRPr="00B66E97">
        <w:t>https://www.humanservices.gov.au/individuals/enablers/funeral-bonds-and-prepaid-funerals/28486</w:t>
      </w:r>
    </w:p>
    <w:p w14:paraId="48D7824C" w14:textId="77777777" w:rsidR="00846774" w:rsidRDefault="00846774">
      <w:pPr>
        <w:pStyle w:val="CommentText"/>
      </w:pPr>
    </w:p>
    <w:p w14:paraId="50EA8AA2" w14:textId="577F590F" w:rsidR="00846774" w:rsidRDefault="00846774">
      <w:pPr>
        <w:pStyle w:val="CommentText"/>
      </w:pPr>
      <w:r w:rsidRPr="001F4515">
        <w:t>https://www.dva.gov.au/factsheet-is95-funeral-bonds-and-prepaid-funeral-plans</w:t>
      </w:r>
    </w:p>
  </w:comment>
  <w:comment w:id="22" w:author="Shane Miller" w:date="2018-10-24T09:59:00Z" w:initials="SM">
    <w:p w14:paraId="2BBDC792" w14:textId="1028BBE5" w:rsidR="00846774" w:rsidRDefault="00846774">
      <w:pPr>
        <w:pStyle w:val="CommentText"/>
      </w:pPr>
      <w:r>
        <w:rPr>
          <w:rStyle w:val="CommentReference"/>
        </w:rPr>
        <w:annotationRef/>
      </w:r>
      <w:r>
        <w:t>Adviser: Ensure you review the investment gearing policy in the Business Principles and complete the requisite Checklist for the client file.</w:t>
      </w:r>
    </w:p>
  </w:comment>
  <w:comment w:id="23" w:author="Shane Miller [2]" w:date="2017-06-26T15:40:00Z" w:initials="SM">
    <w:p w14:paraId="51D90BDC" w14:textId="77777777" w:rsidR="00846774" w:rsidRDefault="00846774">
      <w:pPr>
        <w:pStyle w:val="CommentText"/>
      </w:pPr>
      <w:r>
        <w:rPr>
          <w:rStyle w:val="CommentReference"/>
        </w:rPr>
        <w:annotationRef/>
      </w:r>
      <w:hyperlink r:id="rId1" w:history="1">
        <w:r w:rsidRPr="00760223">
          <w:rPr>
            <w:rStyle w:val="Hyperlink"/>
            <w:rFonts w:ascii="Calibri" w:hAnsi="Calibri"/>
          </w:rPr>
          <w:t>http://www.multpl.com/s-p-500-dividend-yield/</w:t>
        </w:r>
      </w:hyperlink>
    </w:p>
    <w:p w14:paraId="0EA8D316" w14:textId="77777777" w:rsidR="00846774" w:rsidRDefault="00846774">
      <w:pPr>
        <w:pStyle w:val="CommentText"/>
      </w:pPr>
      <w:r w:rsidRPr="00E161F9">
        <w:t>http://www.marketindex.com.au/statistics</w:t>
      </w:r>
    </w:p>
  </w:comment>
  <w:comment w:id="24" w:author="Shane Miller" w:date="2018-10-24T10:00:00Z" w:initials="SM">
    <w:p w14:paraId="00A9FE25" w14:textId="647A3482" w:rsidR="00846774" w:rsidRDefault="00846774">
      <w:pPr>
        <w:pStyle w:val="CommentText"/>
      </w:pPr>
      <w:r>
        <w:rPr>
          <w:rStyle w:val="CommentReference"/>
        </w:rPr>
        <w:annotationRef/>
      </w:r>
      <w:r>
        <w:t>Ensure you review the investment gearing policy in the Business Principles and complete the requisite Checklist for the client file.</w:t>
      </w:r>
    </w:p>
  </w:comment>
  <w:comment w:id="29" w:author="Shane Miller" w:date="2018-10-24T10:01:00Z" w:initials="SM">
    <w:p w14:paraId="73E6538A" w14:textId="31048745" w:rsidR="00846774" w:rsidRDefault="00846774">
      <w:pPr>
        <w:pStyle w:val="CommentText"/>
      </w:pPr>
      <w:r>
        <w:rPr>
          <w:rStyle w:val="CommentReference"/>
        </w:rPr>
        <w:annotationRef/>
      </w:r>
      <w:r>
        <w:t>Adviser: Please take note</w:t>
      </w:r>
    </w:p>
  </w:comment>
  <w:comment w:id="30" w:author="Shane Miller" w:date="2020-07-14T13:03:00Z" w:initials="SM">
    <w:p w14:paraId="7D52D8B3" w14:textId="335B93E6" w:rsidR="00846774" w:rsidRDefault="00846774">
      <w:pPr>
        <w:pStyle w:val="CommentText"/>
      </w:pPr>
      <w:r>
        <w:rPr>
          <w:rStyle w:val="CommentReference"/>
        </w:rPr>
        <w:annotationRef/>
      </w:r>
      <w:hyperlink r:id="rId2" w:history="1">
        <w:r w:rsidRPr="00602A48">
          <w:rPr>
            <w:rStyle w:val="Hyperlink"/>
          </w:rPr>
          <w:t>https://www.superannuation.asn.au/resources/retirement-standard</w:t>
        </w:r>
      </w:hyperlink>
    </w:p>
  </w:comment>
  <w:comment w:id="31" w:author="Shane Miller" w:date="2020-07-14T13:18:00Z" w:initials="SM">
    <w:p w14:paraId="789FAB06" w14:textId="03721C98" w:rsidR="00846774" w:rsidRDefault="00846774">
      <w:pPr>
        <w:pStyle w:val="CommentText"/>
      </w:pPr>
      <w:r>
        <w:rPr>
          <w:rStyle w:val="CommentReference"/>
        </w:rPr>
        <w:annotationRef/>
      </w:r>
      <w:r>
        <w:t>COVID Pandemic thresholds</w:t>
      </w:r>
    </w:p>
  </w:comment>
  <w:comment w:id="38" w:author="Shane Miller [2]" w:date="2018-01-16T10:57:00Z" w:initials="SM">
    <w:p w14:paraId="564CC6B7" w14:textId="4D386699" w:rsidR="00846774" w:rsidRDefault="00846774">
      <w:pPr>
        <w:pStyle w:val="CommentText"/>
      </w:pPr>
      <w:r>
        <w:rPr>
          <w:rStyle w:val="CommentReference"/>
        </w:rPr>
        <w:annotationRef/>
      </w:r>
      <w:proofErr w:type="spellStart"/>
      <w:r>
        <w:t>pg</w:t>
      </w:r>
      <w:proofErr w:type="spellEnd"/>
      <w:r>
        <w:t xml:space="preserve"> </w:t>
      </w:r>
      <w:proofErr w:type="gramStart"/>
      <w:r>
        <w:t xml:space="preserve">28  </w:t>
      </w:r>
      <w:r w:rsidRPr="001F2D49">
        <w:t>http://download.asic.gov.au/media/1336052/cp216-published-16-September-2013.pdf</w:t>
      </w:r>
      <w:proofErr w:type="gramEnd"/>
    </w:p>
  </w:comment>
  <w:comment w:id="39" w:author="Shane Miller" w:date="2018-10-24T11:16:00Z" w:initials="SM">
    <w:p w14:paraId="3C8C2878" w14:textId="595B06BC" w:rsidR="00846774" w:rsidRDefault="00846774">
      <w:pPr>
        <w:pStyle w:val="CommentText"/>
      </w:pPr>
      <w:r>
        <w:rPr>
          <w:rStyle w:val="CommentReference"/>
        </w:rPr>
        <w:annotationRef/>
      </w:r>
      <w:r>
        <w:t>Paraplanner: Do not reflexively include together with the ‘Corporate Trustee’ texts unless there is a specific reason.</w:t>
      </w:r>
    </w:p>
  </w:comment>
  <w:comment w:id="40" w:author="Shane Miller [3]" w:date="2018-10-29T13:08:00Z" w:initials="SM">
    <w:p w14:paraId="02C72767" w14:textId="611B7716" w:rsidR="00846774" w:rsidRDefault="00846774" w:rsidP="00A41C4E">
      <w:pPr>
        <w:pStyle w:val="CommentText"/>
      </w:pPr>
      <w:r>
        <w:rPr>
          <w:rStyle w:val="CommentReference"/>
        </w:rPr>
        <w:annotationRef/>
      </w:r>
      <w:r>
        <w:t>Paraplanner: As aligned to the client’s goals/objectives</w:t>
      </w:r>
    </w:p>
    <w:p w14:paraId="050137ED" w14:textId="1ACB429C" w:rsidR="00846774" w:rsidRDefault="00846774">
      <w:pPr>
        <w:pStyle w:val="CommentText"/>
      </w:pPr>
    </w:p>
  </w:comment>
  <w:comment w:id="41" w:author="Shane Miller" w:date="2018-10-24T11:12:00Z" w:initials="SM">
    <w:p w14:paraId="14798040" w14:textId="75B45E48" w:rsidR="00846774" w:rsidRDefault="00846774">
      <w:pPr>
        <w:pStyle w:val="CommentText"/>
      </w:pPr>
      <w:r>
        <w:rPr>
          <w:rStyle w:val="CommentReference"/>
        </w:rPr>
        <w:annotationRef/>
      </w:r>
      <w:r>
        <w:t>Paraplanner: Ensure these are comprehensive.</w:t>
      </w:r>
    </w:p>
    <w:p w14:paraId="713C5DE8" w14:textId="6181A30B" w:rsidR="00846774" w:rsidRDefault="00846774">
      <w:pPr>
        <w:pStyle w:val="CommentText"/>
      </w:pPr>
      <w:r>
        <w:t>When 3</w:t>
      </w:r>
      <w:r w:rsidRPr="00577E74">
        <w:rPr>
          <w:vertAlign w:val="superscript"/>
        </w:rPr>
        <w:t>rd</w:t>
      </w:r>
      <w:r>
        <w:t xml:space="preserve"> party costs cannot be definitely determined, rational estimates must be used and foot-noted. </w:t>
      </w:r>
    </w:p>
  </w:comment>
  <w:comment w:id="42" w:author="Shane Miller" w:date="2018-10-24T11:13:00Z" w:initials="SM">
    <w:p w14:paraId="47DDEF0B" w14:textId="777B9451" w:rsidR="00846774" w:rsidRDefault="00846774">
      <w:pPr>
        <w:pStyle w:val="CommentText"/>
      </w:pPr>
      <w:r>
        <w:rPr>
          <w:rStyle w:val="CommentReference"/>
        </w:rPr>
        <w:annotationRef/>
      </w:r>
      <w:r>
        <w:t>Do not reflexively include with the ‘Multiple Member Fund’ texts unless there is a specific reason</w:t>
      </w:r>
    </w:p>
  </w:comment>
  <w:comment w:id="43" w:author="Shane Miller" w:date="2018-10-24T11:15:00Z" w:initials="SM">
    <w:p w14:paraId="02CE6DC8" w14:textId="1921EE45" w:rsidR="00846774" w:rsidRDefault="00846774">
      <w:pPr>
        <w:pStyle w:val="CommentText"/>
      </w:pPr>
      <w:r>
        <w:rPr>
          <w:rStyle w:val="CommentReference"/>
        </w:rPr>
        <w:annotationRef/>
      </w:r>
      <w:r>
        <w:t>Do not reflexively include with the ‘Single Member Fund’ texts unless there is a specific reason</w:t>
      </w:r>
    </w:p>
  </w:comment>
  <w:comment w:id="44" w:author="Shane Miller" w:date="2018-10-24T11:17:00Z" w:initials="SM">
    <w:p w14:paraId="5E94BBFA" w14:textId="26E09B31" w:rsidR="00846774" w:rsidRDefault="00846774">
      <w:pPr>
        <w:pStyle w:val="CommentText"/>
      </w:pPr>
      <w:r>
        <w:rPr>
          <w:rStyle w:val="CommentReference"/>
        </w:rPr>
        <w:annotationRef/>
      </w:r>
      <w:r>
        <w:t>Do not reflexively include with the ‘Individual Trustee’ texts unless there is a specific reason.</w:t>
      </w:r>
    </w:p>
  </w:comment>
  <w:comment w:id="45" w:author="Shane Miller" w:date="2018-10-24T11:18:00Z" w:initials="SM">
    <w:p w14:paraId="1966BCEC" w14:textId="2391E173" w:rsidR="00846774" w:rsidRDefault="00846774">
      <w:pPr>
        <w:pStyle w:val="CommentText"/>
      </w:pPr>
      <w:r>
        <w:rPr>
          <w:rStyle w:val="CommentReference"/>
        </w:rPr>
        <w:annotationRef/>
      </w:r>
      <w:r>
        <w:t>Paraplanner: Do not reflexively include this section unless there is a specific reason.</w:t>
      </w:r>
    </w:p>
  </w:comment>
  <w:comment w:id="46" w:author="Shane Miller" w:date="2018-10-24T11:21:00Z" w:initials="SM">
    <w:p w14:paraId="5DA95F74" w14:textId="2E82C4D5" w:rsidR="00846774" w:rsidRDefault="00846774" w:rsidP="00BA74DB">
      <w:pPr>
        <w:pStyle w:val="CommentText"/>
      </w:pPr>
      <w:r>
        <w:rPr>
          <w:rStyle w:val="CommentReference"/>
        </w:rPr>
        <w:annotationRef/>
      </w:r>
      <w:r>
        <w:t>Paraplanner: Ensure these are comprehensive.</w:t>
      </w:r>
    </w:p>
    <w:p w14:paraId="73FA8729" w14:textId="45BFDA41" w:rsidR="00846774" w:rsidRDefault="00846774" w:rsidP="00BA74DB">
      <w:pPr>
        <w:pStyle w:val="CommentText"/>
      </w:pPr>
      <w:r>
        <w:t>When 3</w:t>
      </w:r>
      <w:r w:rsidRPr="00577E74">
        <w:rPr>
          <w:vertAlign w:val="superscript"/>
        </w:rPr>
        <w:t>rd</w:t>
      </w:r>
      <w:r>
        <w:t xml:space="preserve"> party costs cannot be definitely determined, rational estimates must be used and foot-noted.</w:t>
      </w:r>
    </w:p>
  </w:comment>
  <w:comment w:id="49" w:author="Shane Miller" w:date="2020-07-14T13:41:00Z" w:initials="SM">
    <w:p w14:paraId="0BB58DD1" w14:textId="055627E9" w:rsidR="00846774" w:rsidRDefault="00846774">
      <w:pPr>
        <w:pStyle w:val="CommentText"/>
      </w:pPr>
      <w:r>
        <w:rPr>
          <w:rStyle w:val="CommentReference"/>
        </w:rPr>
        <w:annotationRef/>
      </w:r>
      <w:r>
        <w:t>Include this recommended sub-asset allocation for new or existing funds.</w:t>
      </w:r>
    </w:p>
  </w:comment>
  <w:comment w:id="52" w:author="Shane Miller" w:date="2018-10-24T11:30:00Z" w:initials="SM">
    <w:p w14:paraId="506FFCD0" w14:textId="5EE5DD67" w:rsidR="00846774" w:rsidRDefault="00846774">
      <w:pPr>
        <w:pStyle w:val="CommentText"/>
      </w:pPr>
      <w:r>
        <w:rPr>
          <w:rStyle w:val="CommentReference"/>
        </w:rPr>
        <w:annotationRef/>
      </w:r>
      <w:r>
        <w:t>Paraplanner: The wording in this template is generic; it is meant as a prompt for you.</w:t>
      </w:r>
    </w:p>
    <w:p w14:paraId="74CB5590" w14:textId="417E547B" w:rsidR="00846774" w:rsidRDefault="00846774">
      <w:pPr>
        <w:pStyle w:val="CommentText"/>
      </w:pPr>
      <w:r>
        <w:t>When you include these for a specific client, they must be tailored to reflect the research you have done.</w:t>
      </w:r>
    </w:p>
  </w:comment>
  <w:comment w:id="54" w:author="Shane Miller" w:date="2018-10-24T11:38:00Z" w:initials="SM">
    <w:p w14:paraId="638D1C73" w14:textId="76A0D424" w:rsidR="00846774" w:rsidRDefault="00846774">
      <w:pPr>
        <w:pStyle w:val="CommentText"/>
      </w:pPr>
      <w:r>
        <w:rPr>
          <w:rStyle w:val="CommentReference"/>
        </w:rPr>
        <w:annotationRef/>
      </w:r>
      <w:r w:rsidRPr="000225EF">
        <w:t>https://www.ato.gov.au/Super/Self-managed-super-funds/In-detail/SMSF-resources/SMSF-technical/Notice-of-intent-to-claim-a-deduction/</w:t>
      </w:r>
    </w:p>
  </w:comment>
  <w:comment w:id="56" w:author="Shane Miller" w:date="2018-10-24T11:45:00Z" w:initials="SM">
    <w:p w14:paraId="1CB7D13E" w14:textId="77777777" w:rsidR="00846774" w:rsidRDefault="00846774">
      <w:pPr>
        <w:pStyle w:val="CommentText"/>
      </w:pPr>
      <w:r>
        <w:rPr>
          <w:rStyle w:val="CommentReference"/>
        </w:rPr>
        <w:annotationRef/>
      </w:r>
      <w:r>
        <w:t>Adviser: Division 293 tax</w:t>
      </w:r>
    </w:p>
    <w:p w14:paraId="5A287330" w14:textId="664EBDBD" w:rsidR="00846774" w:rsidRDefault="005E0693">
      <w:pPr>
        <w:pStyle w:val="CommentText"/>
      </w:pPr>
      <w:hyperlink r:id="rId3" w:history="1">
        <w:r w:rsidR="00846774">
          <w:rPr>
            <w:rStyle w:val="Hyperlink"/>
          </w:rPr>
          <w:t>https://www3.colonialfirststate.com.au/firsttech/topics/super/strategic-updates/personal-deductible-contributions-tips-and-traps.html</w:t>
        </w:r>
      </w:hyperlink>
    </w:p>
  </w:comment>
  <w:comment w:id="57" w:author="Shane Miller" w:date="2018-10-24T11:48:00Z" w:initials="SM">
    <w:p w14:paraId="3E6A584A" w14:textId="5DDC760F" w:rsidR="00846774" w:rsidRDefault="00846774">
      <w:pPr>
        <w:pStyle w:val="CommentText"/>
      </w:pPr>
      <w:r>
        <w:rPr>
          <w:rStyle w:val="CommentReference"/>
        </w:rPr>
        <w:annotationRef/>
      </w:r>
      <w:r w:rsidRPr="000225EF">
        <w:t>https://www.ato.gov.au/Super/Self-managed-super-funds/In-detail/SMSF-resources/SMSF-technical/Notice-of-intent-to-claim-a-deduction/</w:t>
      </w:r>
    </w:p>
  </w:comment>
  <w:comment w:id="59" w:author="Shane Miller" w:date="2018-10-24T11:52:00Z" w:initials="SM">
    <w:p w14:paraId="52E6A01F" w14:textId="03AFB24A" w:rsidR="00846774" w:rsidRDefault="00846774">
      <w:pPr>
        <w:pStyle w:val="CommentText"/>
      </w:pPr>
      <w:r>
        <w:rPr>
          <w:rStyle w:val="CommentReference"/>
        </w:rPr>
        <w:annotationRef/>
      </w:r>
      <w:r>
        <w:t>Adviser: ‘Eligibility’ is governed by the client’s Total Superannuation Balance.</w:t>
      </w:r>
    </w:p>
  </w:comment>
  <w:comment w:id="61" w:author="Shane Miller" w:date="2018-10-24T11:55:00Z" w:initials="SM">
    <w:p w14:paraId="0FAC9D4B" w14:textId="42312B77" w:rsidR="00846774" w:rsidRDefault="00846774">
      <w:pPr>
        <w:pStyle w:val="CommentText"/>
      </w:pPr>
      <w:r>
        <w:rPr>
          <w:rStyle w:val="CommentReference"/>
        </w:rPr>
        <w:annotationRef/>
      </w:r>
      <w:r>
        <w:t>Subject to the client’s Total Superannuation Balance.</w:t>
      </w:r>
    </w:p>
  </w:comment>
  <w:comment w:id="62" w:author="Shane Miller" w:date="2018-10-24T12:03:00Z" w:initials="SM">
    <w:p w14:paraId="128EC3ED" w14:textId="73B23E00" w:rsidR="00846774" w:rsidRDefault="00846774">
      <w:pPr>
        <w:pStyle w:val="CommentText"/>
      </w:pPr>
      <w:r>
        <w:rPr>
          <w:rStyle w:val="CommentReference"/>
        </w:rPr>
        <w:annotationRef/>
      </w:r>
      <w:r>
        <w:t>Adviser: ‘Eligibility’ is governed by the client’s Total Superannuation Balance.</w:t>
      </w:r>
    </w:p>
  </w:comment>
  <w:comment w:id="65" w:author="Shane Miller" w:date="2018-10-26T15:13:00Z" w:initials="SM">
    <w:p w14:paraId="3ED78730" w14:textId="53835536" w:rsidR="00846774" w:rsidRDefault="00846774">
      <w:pPr>
        <w:pStyle w:val="CommentText"/>
      </w:pPr>
      <w:r>
        <w:rPr>
          <w:rStyle w:val="CommentReference"/>
        </w:rPr>
        <w:annotationRef/>
      </w:r>
      <w:r>
        <w:t>Adviser: Further subject to Total Superannuation Balance</w:t>
      </w:r>
    </w:p>
  </w:comment>
  <w:comment w:id="68" w:author="Shane Miller [3]" w:date="2018-10-29T14:44:00Z" w:initials="SM">
    <w:p w14:paraId="1E04D59E" w14:textId="0E9C0209" w:rsidR="00846774" w:rsidRDefault="00846774">
      <w:pPr>
        <w:pStyle w:val="CommentText"/>
      </w:pPr>
      <w:r>
        <w:rPr>
          <w:rStyle w:val="CommentReference"/>
        </w:rPr>
        <w:annotationRef/>
      </w:r>
      <w:r>
        <w:t xml:space="preserve">Adviser: Unless </w:t>
      </w:r>
      <w:proofErr w:type="spellStart"/>
      <w:r>
        <w:t>your</w:t>
      </w:r>
      <w:proofErr w:type="spellEnd"/>
      <w:r>
        <w:t xml:space="preserve"> have a Credit Licence, you are unable to advise of the ‘suitability’ of a loan.</w:t>
      </w:r>
    </w:p>
    <w:p w14:paraId="78E60D29" w14:textId="6DFE8CA6" w:rsidR="00846774" w:rsidRDefault="00846774">
      <w:pPr>
        <w:pStyle w:val="CommentText"/>
      </w:pPr>
      <w:r>
        <w:t>However, loan ‘type’ (LRBA) can be described.</w:t>
      </w:r>
    </w:p>
    <w:p w14:paraId="79553406" w14:textId="77777777" w:rsidR="00846774" w:rsidRDefault="00846774">
      <w:pPr>
        <w:pStyle w:val="CommentText"/>
      </w:pPr>
      <w:r>
        <w:t>Moreover, projections involving the loan balance are allowable; ensure all projection assumptions are transparent.</w:t>
      </w:r>
    </w:p>
    <w:p w14:paraId="23666B2E" w14:textId="13A83336" w:rsidR="00846774" w:rsidRDefault="00846774">
      <w:pPr>
        <w:pStyle w:val="CommentText"/>
      </w:pPr>
      <w:r>
        <w:t>Describe any projection as an ‘estimate’ based upon current assumptions that may change.</w:t>
      </w:r>
    </w:p>
  </w:comment>
  <w:comment w:id="69" w:author="Shane Miller [3]" w:date="2018-10-29T13:39:00Z" w:initials="SM">
    <w:p w14:paraId="2CE64101" w14:textId="46340137" w:rsidR="00846774" w:rsidRDefault="00846774">
      <w:pPr>
        <w:pStyle w:val="CommentText"/>
      </w:pPr>
      <w:r>
        <w:rPr>
          <w:rStyle w:val="CommentReference"/>
        </w:rPr>
        <w:annotationRef/>
      </w:r>
      <w:r>
        <w:t xml:space="preserve">Adviser: Please note that </w:t>
      </w:r>
      <w:proofErr w:type="spellStart"/>
      <w:r>
        <w:t>InterPrac</w:t>
      </w:r>
      <w:proofErr w:type="spellEnd"/>
      <w:r>
        <w:t xml:space="preserve"> has an investment gearing policy and guidelines (please familiarise yourself with the Adviser Resource Centre).</w:t>
      </w:r>
    </w:p>
  </w:comment>
  <w:comment w:id="70" w:author="Shane Miller [3]" w:date="2018-10-29T14:48:00Z" w:initials="SM">
    <w:p w14:paraId="7DF885E4" w14:textId="29DE6F96" w:rsidR="00846774" w:rsidRDefault="00846774">
      <w:pPr>
        <w:pStyle w:val="CommentText"/>
      </w:pPr>
      <w:r>
        <w:rPr>
          <w:rStyle w:val="CommentReference"/>
        </w:rPr>
        <w:annotationRef/>
      </w:r>
      <w:r>
        <w:t>Paraplanner: Be selective and tailor the text to suit</w:t>
      </w:r>
    </w:p>
  </w:comment>
  <w:comment w:id="71" w:author="Shane Miller" w:date="2020-07-09T14:01:00Z" w:initials="SM">
    <w:p w14:paraId="6DB17708" w14:textId="39BCC14C" w:rsidR="00846774" w:rsidRDefault="00846774">
      <w:pPr>
        <w:pStyle w:val="CommentText"/>
      </w:pPr>
      <w:r>
        <w:rPr>
          <w:rStyle w:val="CommentReference"/>
        </w:rPr>
        <w:annotationRef/>
      </w:r>
      <w:r>
        <w:t>Royal Assent 22/6/2020</w:t>
      </w:r>
    </w:p>
  </w:comment>
  <w:comment w:id="72" w:author="Shane Miller" w:date="2020-07-09T14:25:00Z" w:initials="SM">
    <w:p w14:paraId="24D01446" w14:textId="66D57D33" w:rsidR="00846774" w:rsidRDefault="00846774">
      <w:pPr>
        <w:pStyle w:val="CommentText"/>
      </w:pPr>
      <w:r>
        <w:rPr>
          <w:rStyle w:val="CommentReference"/>
        </w:rPr>
        <w:annotationRef/>
      </w:r>
      <w:r>
        <w:t xml:space="preserve">S294-25; Income Tax </w:t>
      </w:r>
      <w:proofErr w:type="spellStart"/>
      <w:r>
        <w:t>Assesment</w:t>
      </w:r>
      <w:proofErr w:type="spellEnd"/>
      <w:r>
        <w:t xml:space="preserve"> Act 1997</w:t>
      </w:r>
    </w:p>
  </w:comment>
  <w:comment w:id="73" w:author="Shane Miller [3]" w:date="2018-10-29T13:44:00Z" w:initials="SM">
    <w:p w14:paraId="6C6CE501" w14:textId="6A2A640B" w:rsidR="00846774" w:rsidRDefault="00846774">
      <w:pPr>
        <w:pStyle w:val="CommentText"/>
      </w:pPr>
      <w:r>
        <w:rPr>
          <w:rStyle w:val="CommentReference"/>
        </w:rPr>
        <w:annotationRef/>
      </w:r>
      <w:r>
        <w:t>Paraplanner: Changing lending environment may require these generic percentages / terms being checked.</w:t>
      </w:r>
    </w:p>
    <w:p w14:paraId="43A56CDB" w14:textId="77777777" w:rsidR="00846774" w:rsidRDefault="00846774">
      <w:pPr>
        <w:pStyle w:val="CommentText"/>
      </w:pPr>
    </w:p>
    <w:p w14:paraId="6E660F96" w14:textId="5E4FD47D" w:rsidR="00846774" w:rsidRDefault="00846774">
      <w:pPr>
        <w:pStyle w:val="CommentText"/>
      </w:pPr>
      <w:r>
        <w:t>Ideally, specific research and firm figures applicable to the client’s loan are preferable.</w:t>
      </w:r>
    </w:p>
  </w:comment>
  <w:comment w:id="75" w:author="Shane Miller [2]" w:date="2017-06-27T16:06:00Z" w:initials="SM">
    <w:p w14:paraId="4BA3DE12" w14:textId="2AA78792" w:rsidR="00846774" w:rsidRDefault="00846774">
      <w:pPr>
        <w:pStyle w:val="CommentText"/>
      </w:pPr>
      <w:r>
        <w:rPr>
          <w:rStyle w:val="CommentReference"/>
        </w:rPr>
        <w:annotationRef/>
      </w:r>
      <w:hyperlink r:id="rId4" w:anchor="Other_super_rates_and_thresholds" w:history="1">
        <w:r>
          <w:rPr>
            <w:rStyle w:val="Hyperlink"/>
          </w:rPr>
          <w:t>https://www.ato.gov.au/rates/key-superannuation-rates-and-thresholds/?page=30#Other_super_rates_and_thresholds</w:t>
        </w:r>
      </w:hyperlink>
    </w:p>
  </w:comment>
  <w:comment w:id="76" w:author="Shane Miller [2]" w:date="2017-06-27T16:25:00Z" w:initials="SM">
    <w:p w14:paraId="77C959FE" w14:textId="2DDFCE60" w:rsidR="00846774" w:rsidRDefault="00846774">
      <w:pPr>
        <w:pStyle w:val="CommentText"/>
      </w:pPr>
      <w:r>
        <w:rPr>
          <w:rStyle w:val="CommentReference"/>
        </w:rPr>
        <w:annotationRef/>
      </w:r>
      <w:hyperlink r:id="rId5" w:history="1">
        <w:r w:rsidRPr="00394415">
          <w:rPr>
            <w:rStyle w:val="Hyperlink"/>
            <w:rFonts w:ascii="Calibri" w:hAnsi="Calibri"/>
          </w:rPr>
          <w:t>https://www.quandl.com/data/RBA/F05-Indicator-Lending-Rates</w:t>
        </w:r>
      </w:hyperlink>
    </w:p>
    <w:p w14:paraId="577A463B" w14:textId="5CE77A10" w:rsidR="00846774" w:rsidRDefault="00846774">
      <w:pPr>
        <w:pStyle w:val="CommentText"/>
      </w:pPr>
      <w:r>
        <w:rPr>
          <w:rFonts w:ascii="Source Sans Pro" w:hAnsi="Source Sans Pro"/>
          <w:caps/>
          <w:color w:val="515B66"/>
          <w:sz w:val="18"/>
          <w:szCs w:val="18"/>
          <w:shd w:val="clear" w:color="auto" w:fill="FFFFFF"/>
        </w:rPr>
        <w:t>LENDING RATES; HOUSING LOANS; BANKS; VARIABLE; STANDARD; INVESTOR. UNITS: PER CENT PER ANNUM; SERIES ID: FILRHLBVSI</w:t>
      </w:r>
    </w:p>
  </w:comment>
  <w:comment w:id="91" w:author="Shane Miller [3]" w:date="2018-10-29T15:17:00Z" w:initials="SM">
    <w:p w14:paraId="4FA8885B" w14:textId="265BC3F4" w:rsidR="00846774" w:rsidRDefault="00846774">
      <w:pPr>
        <w:pStyle w:val="CommentText"/>
      </w:pPr>
      <w:r>
        <w:rPr>
          <w:rStyle w:val="CommentReference"/>
        </w:rPr>
        <w:annotationRef/>
      </w:r>
      <w:r>
        <w:t>Adviser: Research these matters and tailor</w:t>
      </w:r>
    </w:p>
  </w:comment>
  <w:comment w:id="92" w:author="Shane Miller [3]" w:date="2018-10-29T15:16:00Z" w:initials="SM">
    <w:p w14:paraId="39127579" w14:textId="5B668B1A" w:rsidR="00846774" w:rsidRDefault="00846774">
      <w:pPr>
        <w:pStyle w:val="CommentText"/>
      </w:pPr>
      <w:r>
        <w:rPr>
          <w:rStyle w:val="CommentReference"/>
        </w:rPr>
        <w:annotationRef/>
      </w:r>
      <w:r>
        <w:t>Adviser: Research these matters and tailor</w:t>
      </w:r>
    </w:p>
  </w:comment>
  <w:comment w:id="94" w:author="Shane Miller [3]" w:date="2018-10-29T15:17:00Z" w:initials="SM">
    <w:p w14:paraId="7064F778" w14:textId="4FB2528A" w:rsidR="00846774" w:rsidRDefault="00846774">
      <w:pPr>
        <w:pStyle w:val="CommentText"/>
      </w:pPr>
      <w:r>
        <w:rPr>
          <w:rStyle w:val="CommentReference"/>
        </w:rPr>
        <w:annotationRef/>
      </w:r>
      <w:r>
        <w:t>Adviser: Subject to Total Superannuation Balance</w:t>
      </w:r>
    </w:p>
  </w:comment>
  <w:comment w:id="97" w:author="Shane Miller [3]" w:date="2018-10-29T15:21:00Z" w:initials="SM">
    <w:p w14:paraId="3D26B9F3" w14:textId="3413CCE9" w:rsidR="00846774" w:rsidRDefault="00846774">
      <w:pPr>
        <w:pStyle w:val="CommentText"/>
      </w:pPr>
      <w:r>
        <w:rPr>
          <w:rStyle w:val="CommentReference"/>
        </w:rPr>
        <w:annotationRef/>
      </w:r>
      <w:r>
        <w:t>Adviser: Subject to the Total Superannuation Balance</w:t>
      </w:r>
    </w:p>
  </w:comment>
  <w:comment w:id="101" w:author="Shane Miller [3]" w:date="2018-10-29T15:27:00Z" w:initials="SM">
    <w:p w14:paraId="6C14BDD3" w14:textId="40FB8BC5" w:rsidR="00846774" w:rsidRDefault="00846774">
      <w:pPr>
        <w:pStyle w:val="CommentText"/>
      </w:pPr>
      <w:r>
        <w:rPr>
          <w:rStyle w:val="CommentReference"/>
        </w:rPr>
        <w:annotationRef/>
      </w:r>
      <w:r>
        <w:t>Adviser: Include only if relevant</w:t>
      </w:r>
    </w:p>
  </w:comment>
  <w:comment w:id="105" w:author="Shane Miller [3]" w:date="2018-10-29T14:01:00Z" w:initials="SM">
    <w:p w14:paraId="0C0DAC98" w14:textId="7AE02139" w:rsidR="00846774" w:rsidRDefault="00846774">
      <w:pPr>
        <w:pStyle w:val="CommentText"/>
      </w:pPr>
      <w:r>
        <w:rPr>
          <w:rStyle w:val="CommentReference"/>
        </w:rPr>
        <w:annotationRef/>
      </w:r>
      <w:r>
        <w:t>Paraplanner: Optional Section</w:t>
      </w:r>
    </w:p>
  </w:comment>
  <w:comment w:id="109" w:author="Shane Miller [3]" w:date="2018-10-29T13:51:00Z" w:initials="SM">
    <w:p w14:paraId="4897B542" w14:textId="4C4283EA" w:rsidR="00846774" w:rsidRDefault="00846774" w:rsidP="00AF7BE8">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722D697F" w14:textId="7F1181A9" w:rsidR="00846774" w:rsidRDefault="00846774" w:rsidP="00AF7BE8">
      <w:pPr>
        <w:pStyle w:val="CommentText"/>
      </w:pPr>
      <w:r>
        <w:t>Tailor these options to suit your requirements.</w:t>
      </w:r>
    </w:p>
  </w:comment>
  <w:comment w:id="110" w:author="Shane Miller" w:date="2020-07-15T10:41:00Z" w:initials="SM">
    <w:p w14:paraId="4D7156E4" w14:textId="101F534E" w:rsidR="00AA01A1" w:rsidRDefault="00AA01A1">
      <w:pPr>
        <w:pStyle w:val="CommentText"/>
      </w:pPr>
      <w:r>
        <w:rPr>
          <w:rStyle w:val="CommentReference"/>
        </w:rPr>
        <w:annotationRef/>
      </w:r>
    </w:p>
  </w:comment>
  <w:comment w:id="111" w:author="Shane Miller" w:date="2020-07-15T10:46:00Z" w:initials="SM">
    <w:p w14:paraId="3FB06B58" w14:textId="63246547" w:rsidR="00976EEB" w:rsidRDefault="00976EEB">
      <w:pPr>
        <w:pStyle w:val="CommentText"/>
      </w:pPr>
      <w:r>
        <w:rPr>
          <w:rStyle w:val="CommentReference"/>
        </w:rPr>
        <w:annotationRef/>
      </w:r>
      <w:r>
        <w:t>Paraplanner: Ensure a tailored listing of definitions for ALL terms is supplied in Further Detail or an Appendix.</w:t>
      </w:r>
    </w:p>
  </w:comment>
  <w:comment w:id="112" w:author="Shane Miller [3]" w:date="2018-10-29T14:17:00Z" w:initials="SM">
    <w:p w14:paraId="05FE1087" w14:textId="6AAB0581" w:rsidR="00846774" w:rsidRPr="00BC6B5A" w:rsidRDefault="00846774" w:rsidP="006C7FBF">
      <w:pPr>
        <w:pStyle w:val="CommentText"/>
        <w:rPr>
          <w:bCs/>
        </w:rPr>
      </w:pPr>
      <w:r>
        <w:rPr>
          <w:rStyle w:val="CommentReference"/>
        </w:rPr>
        <w:annotationRef/>
      </w:r>
      <w:r>
        <w:rPr>
          <w:b/>
        </w:rPr>
        <w:t xml:space="preserve">Paraplanner: </w:t>
      </w:r>
      <w:r w:rsidRPr="00BC6B5A">
        <w:rPr>
          <w:bCs/>
        </w:rPr>
        <w:t>Generally:</w:t>
      </w:r>
    </w:p>
    <w:p w14:paraId="00C987BD" w14:textId="77777777" w:rsidR="00846774" w:rsidRDefault="00846774" w:rsidP="00AF7BE8">
      <w:pPr>
        <w:pStyle w:val="CommentText"/>
      </w:pPr>
      <w:r>
        <w:t xml:space="preserve">If there are recommendations regarding the estate planning ramifications of Insurance, please note the Estate Planning text options that has been provided. </w:t>
      </w:r>
    </w:p>
    <w:p w14:paraId="1F5DFF64" w14:textId="4E6915A2" w:rsidR="00846774" w:rsidRDefault="00846774" w:rsidP="00AF7BE8">
      <w:pPr>
        <w:pStyle w:val="CommentText"/>
      </w:pPr>
      <w:r>
        <w:t>Tailor these options to suit your requirements.</w:t>
      </w:r>
    </w:p>
  </w:comment>
  <w:comment w:id="113" w:author="Shane Miller" w:date="2020-07-15T10:42:00Z" w:initials="SM">
    <w:p w14:paraId="47E11D3C" w14:textId="222B5F5D" w:rsidR="00AA01A1" w:rsidRDefault="00AA01A1">
      <w:pPr>
        <w:pStyle w:val="CommentText"/>
      </w:pPr>
      <w:r>
        <w:rPr>
          <w:rStyle w:val="CommentReference"/>
        </w:rPr>
        <w:annotationRef/>
      </w:r>
    </w:p>
  </w:comment>
  <w:comment w:id="114" w:author="Shane Miller" w:date="2020-07-15T10:45:00Z" w:initials="SM">
    <w:p w14:paraId="7BE7345A" w14:textId="27BAADF6" w:rsidR="00976EEB" w:rsidRDefault="00976EEB">
      <w:pPr>
        <w:pStyle w:val="CommentText"/>
      </w:pPr>
      <w:r>
        <w:rPr>
          <w:rStyle w:val="CommentReference"/>
        </w:rPr>
        <w:annotationRef/>
      </w:r>
      <w:r>
        <w:t>Paraplanner: Ensure a tailored listing of definitions for ALL terms is supplied in Further Detail or an Appendix.</w:t>
      </w:r>
    </w:p>
  </w:comment>
  <w:comment w:id="115" w:author="Shane Miller [3]" w:date="2018-10-29T16:05:00Z" w:initials="SM">
    <w:p w14:paraId="3BC9DB54" w14:textId="5D9BFC55" w:rsidR="00846774" w:rsidRDefault="00846774" w:rsidP="00AF7BE8">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428CE29C" w14:textId="49EFF71D" w:rsidR="00846774" w:rsidRDefault="00846774" w:rsidP="00AF7BE8">
      <w:pPr>
        <w:pStyle w:val="CommentText"/>
      </w:pPr>
      <w:r>
        <w:t>Tailor these options to suit your requirements.</w:t>
      </w:r>
    </w:p>
  </w:comment>
  <w:comment w:id="116" w:author="Shane Miller" w:date="2020-07-15T10:43:00Z" w:initials="SM">
    <w:p w14:paraId="69544366" w14:textId="60AA8DD3" w:rsidR="00CC36D1" w:rsidRDefault="00CC36D1">
      <w:pPr>
        <w:pStyle w:val="CommentText"/>
      </w:pPr>
      <w:r>
        <w:rPr>
          <w:rStyle w:val="CommentReference"/>
        </w:rPr>
        <w:annotationRef/>
      </w:r>
    </w:p>
  </w:comment>
  <w:comment w:id="117" w:author="Shane Miller" w:date="2020-07-15T10:46:00Z" w:initials="SM">
    <w:p w14:paraId="6BECDDF4" w14:textId="54A5DCC0" w:rsidR="007B782F" w:rsidRDefault="007B782F">
      <w:pPr>
        <w:pStyle w:val="CommentText"/>
      </w:pPr>
      <w:r>
        <w:rPr>
          <w:rStyle w:val="CommentReference"/>
        </w:rPr>
        <w:annotationRef/>
      </w:r>
      <w:r>
        <w:t>Paraplanner: Ensure a tailored listing of definitions for ALL terms is supplied in Further Detail or an Appendix.</w:t>
      </w:r>
    </w:p>
  </w:comment>
  <w:comment w:id="118" w:author="Shane Miller [3]" w:date="2018-10-29T16:04:00Z" w:initials="SM">
    <w:p w14:paraId="143A977A" w14:textId="1DFF192E" w:rsidR="00846774" w:rsidRDefault="00846774" w:rsidP="00962E95">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3789E542" w14:textId="26D1CF3B" w:rsidR="00846774" w:rsidRDefault="00846774" w:rsidP="00962E95">
      <w:pPr>
        <w:pStyle w:val="CommentText"/>
      </w:pPr>
      <w:r>
        <w:t>Tailor these options to suit your requirements.</w:t>
      </w:r>
    </w:p>
  </w:comment>
  <w:comment w:id="119" w:author="Shane Miller" w:date="2020-07-15T10:43:00Z" w:initials="SM">
    <w:p w14:paraId="22962FF0" w14:textId="76B9CAED" w:rsidR="00C62CCC" w:rsidRDefault="00C62CCC">
      <w:pPr>
        <w:pStyle w:val="CommentText"/>
      </w:pPr>
      <w:r>
        <w:rPr>
          <w:rStyle w:val="CommentReference"/>
        </w:rPr>
        <w:annotationRef/>
      </w:r>
    </w:p>
  </w:comment>
  <w:comment w:id="120" w:author="Shane Miller" w:date="2020-07-15T10:47:00Z" w:initials="SM">
    <w:p w14:paraId="3A794C81" w14:textId="667E1324" w:rsidR="00DF1B58" w:rsidRDefault="00DF1B58">
      <w:pPr>
        <w:pStyle w:val="CommentText"/>
      </w:pPr>
      <w:r>
        <w:rPr>
          <w:rStyle w:val="CommentReference"/>
        </w:rPr>
        <w:annotationRef/>
      </w:r>
      <w:r>
        <w:t>Paraplanner: Ensure a tailored listing of definitions for ALL terms is supplied in Further Detail or an Appendix.</w:t>
      </w:r>
    </w:p>
  </w:comment>
  <w:comment w:id="121" w:author="Shane Miller [3]" w:date="2018-10-29T16:06:00Z" w:initials="SM">
    <w:p w14:paraId="1E7EFA56" w14:textId="3A508559" w:rsidR="00846774" w:rsidRDefault="00846774" w:rsidP="00AF7BE8">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7F3BC086" w14:textId="0856728A" w:rsidR="00846774" w:rsidRDefault="00846774" w:rsidP="00AF7BE8">
      <w:pPr>
        <w:pStyle w:val="CommentText"/>
      </w:pPr>
      <w:r>
        <w:t>Tailor these options to suit your requirements.</w:t>
      </w:r>
    </w:p>
  </w:comment>
  <w:comment w:id="122" w:author="Shane Miller" w:date="2020-07-15T10:48:00Z" w:initials="SM">
    <w:p w14:paraId="4D05CCA3" w14:textId="78D65904" w:rsidR="0077039D" w:rsidRDefault="0077039D">
      <w:pPr>
        <w:pStyle w:val="CommentText"/>
      </w:pPr>
      <w:r>
        <w:rPr>
          <w:rStyle w:val="CommentReference"/>
        </w:rPr>
        <w:annotationRef/>
      </w:r>
      <w:r>
        <w:t>Paraplanner: Ensure a tailored listing of definitions for ALL terms is supplied in Further Detail or an Appendix.</w:t>
      </w:r>
    </w:p>
  </w:comment>
  <w:comment w:id="123" w:author="Shane Miller [3]" w:date="2018-10-29T16:12:00Z" w:initials="SM">
    <w:p w14:paraId="4495C309" w14:textId="627A36CE" w:rsidR="00846774" w:rsidRDefault="00846774">
      <w:pPr>
        <w:pStyle w:val="CommentText"/>
      </w:pPr>
      <w:r>
        <w:rPr>
          <w:rStyle w:val="CommentReference"/>
        </w:rPr>
        <w:annotationRef/>
      </w:r>
      <w:r>
        <w:t xml:space="preserve">Paraplanner: Tailor this section depending whether the recommendations are for Death/TPD or </w:t>
      </w:r>
      <w:proofErr w:type="spellStart"/>
      <w:r>
        <w:t>srtand</w:t>
      </w:r>
      <w:proofErr w:type="spellEnd"/>
      <w:r>
        <w:t xml:space="preserve">-alone TPD. </w:t>
      </w:r>
    </w:p>
  </w:comment>
  <w:comment w:id="124" w:author="Shane Miller" w:date="2020-07-15T10:48:00Z" w:initials="SM">
    <w:p w14:paraId="465BACD7" w14:textId="69126558" w:rsidR="00797748" w:rsidRDefault="00797748">
      <w:pPr>
        <w:pStyle w:val="CommentText"/>
      </w:pPr>
      <w:r>
        <w:rPr>
          <w:rStyle w:val="CommentReference"/>
        </w:rPr>
        <w:annotationRef/>
      </w:r>
      <w:r>
        <w:t>Paraplanner: Ensure a tailored listing of definitions for ALL terms is supplied in Further Detail or an Appendix.</w:t>
      </w:r>
    </w:p>
  </w:comment>
  <w:comment w:id="125" w:author="Shane Miller [3]" w:date="2018-10-29T16:15:00Z" w:initials="SM">
    <w:p w14:paraId="3596B0F7" w14:textId="0F510FE3" w:rsidR="00846774" w:rsidRDefault="00846774" w:rsidP="00300360">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17C162D8" w14:textId="710FCCF8" w:rsidR="00846774" w:rsidRDefault="00846774" w:rsidP="00300360">
      <w:pPr>
        <w:pStyle w:val="CommentText"/>
      </w:pPr>
      <w:r>
        <w:t>Tailor these options to suit your requirements.</w:t>
      </w:r>
    </w:p>
  </w:comment>
  <w:comment w:id="126" w:author="Shane Miller" w:date="2020-07-15T10:48:00Z" w:initials="SM">
    <w:p w14:paraId="01C6DD21" w14:textId="28327E54" w:rsidR="00797748" w:rsidRDefault="00797748">
      <w:pPr>
        <w:pStyle w:val="CommentText"/>
      </w:pPr>
      <w:r>
        <w:rPr>
          <w:rStyle w:val="CommentReference"/>
        </w:rPr>
        <w:annotationRef/>
      </w:r>
      <w:r>
        <w:t>Paraplanner: Ensure a tailored listing of definitions for ALL terms is supplied in Further Detail or an Appendix.</w:t>
      </w:r>
    </w:p>
  </w:comment>
  <w:comment w:id="128" w:author="Shane Miller" w:date="2020-07-15T10:49:00Z" w:initials="SM">
    <w:p w14:paraId="1E510674" w14:textId="055894C8" w:rsidR="009D7931" w:rsidRDefault="009D7931">
      <w:pPr>
        <w:pStyle w:val="CommentText"/>
      </w:pPr>
      <w:r>
        <w:rPr>
          <w:rStyle w:val="CommentReference"/>
        </w:rPr>
        <w:annotationRef/>
      </w:r>
      <w:r>
        <w:t>Paraplanner: Ensure a tailored listing of definitions for ALL terms is supplied in Further Detail or an Appendix.</w:t>
      </w:r>
    </w:p>
  </w:comment>
  <w:comment w:id="135" w:author="Shane Miller" w:date="2020-07-15T10:50:00Z" w:initials="SM">
    <w:p w14:paraId="26B6BF7C" w14:textId="7254606F" w:rsidR="0030108D" w:rsidRDefault="0030108D">
      <w:pPr>
        <w:pStyle w:val="CommentText"/>
      </w:pPr>
      <w:r>
        <w:rPr>
          <w:rStyle w:val="CommentReference"/>
        </w:rPr>
        <w:annotationRef/>
      </w:r>
      <w:r>
        <w:rPr>
          <w:rFonts w:asciiTheme="minorHAnsi" w:hAnsiTheme="minorHAnsi" w:cstheme="minorHAnsi"/>
        </w:rPr>
        <w:t xml:space="preserve">Adviser: add specific </w:t>
      </w:r>
      <w:r w:rsidR="00745CC5">
        <w:rPr>
          <w:rFonts w:asciiTheme="minorHAnsi" w:hAnsiTheme="minorHAnsi" w:cstheme="minorHAnsi"/>
        </w:rPr>
        <w:t>risks as relevant</w:t>
      </w:r>
    </w:p>
  </w:comment>
  <w:comment w:id="136" w:author="Shane Miller" w:date="2020-07-15T10:51:00Z" w:initials="SM">
    <w:p w14:paraId="5DE6B071" w14:textId="760BCE2B" w:rsidR="0030108D" w:rsidRDefault="0030108D">
      <w:pPr>
        <w:pStyle w:val="CommentText"/>
      </w:pPr>
      <w:r>
        <w:rPr>
          <w:rStyle w:val="CommentReference"/>
        </w:rPr>
        <w:annotationRef/>
      </w:r>
    </w:p>
  </w:comment>
  <w:comment w:id="137" w:author="Shane Miller" w:date="2020-07-15T10:56:00Z" w:initials="SM">
    <w:p w14:paraId="4C3D5ED1" w14:textId="696B6791" w:rsidR="001A2E00" w:rsidRDefault="001A2E00">
      <w:pPr>
        <w:pStyle w:val="CommentText"/>
      </w:pPr>
      <w:r>
        <w:rPr>
          <w:rStyle w:val="CommentReference"/>
        </w:rPr>
        <w:annotationRef/>
      </w:r>
    </w:p>
  </w:comment>
  <w:comment w:id="138" w:author="Shane Miller" w:date="2020-07-15T10:54:00Z" w:initials="SM">
    <w:p w14:paraId="5E717DF9" w14:textId="42FA94B8" w:rsidR="00745CC5" w:rsidRDefault="00745CC5">
      <w:pPr>
        <w:pStyle w:val="CommentText"/>
      </w:pPr>
      <w:r>
        <w:rPr>
          <w:rStyle w:val="CommentReference"/>
        </w:rPr>
        <w:annotationRef/>
      </w:r>
    </w:p>
  </w:comment>
  <w:comment w:id="139" w:author="Shane Miller" w:date="2020-07-15T10:57:00Z" w:initials="SM">
    <w:p w14:paraId="31BF4F9F" w14:textId="135E4EB2" w:rsidR="0071622B" w:rsidRDefault="0071622B">
      <w:pPr>
        <w:pStyle w:val="CommentText"/>
      </w:pPr>
      <w:r>
        <w:rPr>
          <w:rStyle w:val="CommentReference"/>
        </w:rPr>
        <w:annotationRef/>
      </w:r>
    </w:p>
  </w:comment>
  <w:comment w:id="140" w:author="Shane Miller" w:date="2020-07-15T10:58:00Z" w:initials="SM">
    <w:p w14:paraId="3C88974F" w14:textId="5F21986D" w:rsidR="00DF3E29" w:rsidRDefault="00DF3E2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B9217E" w15:done="0"/>
  <w15:commentEx w15:paraId="680049D6" w15:done="0"/>
  <w15:commentEx w15:paraId="0FD76EA9" w15:done="0"/>
  <w15:commentEx w15:paraId="50EA8AA2" w15:done="0"/>
  <w15:commentEx w15:paraId="2BBDC792" w15:done="0"/>
  <w15:commentEx w15:paraId="0EA8D316" w15:done="0"/>
  <w15:commentEx w15:paraId="00A9FE25" w15:done="0"/>
  <w15:commentEx w15:paraId="73E6538A" w15:done="0"/>
  <w15:commentEx w15:paraId="7D52D8B3" w15:done="0"/>
  <w15:commentEx w15:paraId="789FAB06" w15:done="0"/>
  <w15:commentEx w15:paraId="564CC6B7" w15:done="0"/>
  <w15:commentEx w15:paraId="3C8C2878" w15:done="0"/>
  <w15:commentEx w15:paraId="050137ED" w15:done="0"/>
  <w15:commentEx w15:paraId="713C5DE8" w15:done="0"/>
  <w15:commentEx w15:paraId="47DDEF0B" w15:done="0"/>
  <w15:commentEx w15:paraId="02CE6DC8" w15:done="0"/>
  <w15:commentEx w15:paraId="5E94BBFA" w15:done="0"/>
  <w15:commentEx w15:paraId="1966BCEC" w15:done="0"/>
  <w15:commentEx w15:paraId="73FA8729" w15:done="0"/>
  <w15:commentEx w15:paraId="0BB58DD1" w15:done="0"/>
  <w15:commentEx w15:paraId="74CB5590" w15:done="0"/>
  <w15:commentEx w15:paraId="638D1C73" w15:done="0"/>
  <w15:commentEx w15:paraId="5A287330" w15:done="0"/>
  <w15:commentEx w15:paraId="3E6A584A" w15:done="0"/>
  <w15:commentEx w15:paraId="52E6A01F" w15:done="0"/>
  <w15:commentEx w15:paraId="0FAC9D4B" w15:done="0"/>
  <w15:commentEx w15:paraId="128EC3ED" w15:done="0"/>
  <w15:commentEx w15:paraId="3ED78730" w15:done="0"/>
  <w15:commentEx w15:paraId="23666B2E" w15:done="0"/>
  <w15:commentEx w15:paraId="2CE64101" w15:done="0"/>
  <w15:commentEx w15:paraId="7DF885E4" w15:done="0"/>
  <w15:commentEx w15:paraId="6DB17708" w15:done="0"/>
  <w15:commentEx w15:paraId="24D01446" w15:done="0"/>
  <w15:commentEx w15:paraId="6E660F96" w15:done="0"/>
  <w15:commentEx w15:paraId="4BA3DE12" w15:done="0"/>
  <w15:commentEx w15:paraId="577A463B" w15:done="0"/>
  <w15:commentEx w15:paraId="4FA8885B" w15:done="0"/>
  <w15:commentEx w15:paraId="39127579" w15:done="0"/>
  <w15:commentEx w15:paraId="7064F778" w15:done="0"/>
  <w15:commentEx w15:paraId="3D26B9F3" w15:done="0"/>
  <w15:commentEx w15:paraId="6C14BDD3" w15:done="0"/>
  <w15:commentEx w15:paraId="0C0DAC98" w15:done="0"/>
  <w15:commentEx w15:paraId="722D697F" w15:done="0"/>
  <w15:commentEx w15:paraId="4D7156E4" w15:done="0"/>
  <w15:commentEx w15:paraId="3FB06B58" w15:done="0"/>
  <w15:commentEx w15:paraId="1F5DFF64" w15:done="0"/>
  <w15:commentEx w15:paraId="47E11D3C" w15:done="0"/>
  <w15:commentEx w15:paraId="7BE7345A" w15:done="0"/>
  <w15:commentEx w15:paraId="428CE29C" w15:done="0"/>
  <w15:commentEx w15:paraId="69544366" w15:done="0"/>
  <w15:commentEx w15:paraId="6BECDDF4" w15:done="0"/>
  <w15:commentEx w15:paraId="3789E542" w15:done="0"/>
  <w15:commentEx w15:paraId="22962FF0" w15:done="0"/>
  <w15:commentEx w15:paraId="3A794C81" w15:done="0"/>
  <w15:commentEx w15:paraId="7F3BC086" w15:done="0"/>
  <w15:commentEx w15:paraId="4D05CCA3" w15:done="0"/>
  <w15:commentEx w15:paraId="4495C309" w15:done="0"/>
  <w15:commentEx w15:paraId="465BACD7" w15:done="0"/>
  <w15:commentEx w15:paraId="17C162D8" w15:done="0"/>
  <w15:commentEx w15:paraId="01C6DD21" w15:done="0"/>
  <w15:commentEx w15:paraId="1E510674" w15:done="0"/>
  <w15:commentEx w15:paraId="26B6BF7C" w15:done="0"/>
  <w15:commentEx w15:paraId="5DE6B071" w15:done="0"/>
  <w15:commentEx w15:paraId="4C3D5ED1" w15:done="0"/>
  <w15:commentEx w15:paraId="5E717DF9" w15:done="0"/>
  <w15:commentEx w15:paraId="31BF4F9F" w15:done="0"/>
  <w15:commentEx w15:paraId="3C8897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2BA6" w16cex:dateUtc="2020-07-14T03:03:00Z"/>
  <w16cex:commentExtensible w16cex:durableId="22B82F16" w16cex:dateUtc="2020-07-14T03:18:00Z"/>
  <w16cex:commentExtensible w16cex:durableId="22B83484" w16cex:dateUtc="2020-07-14T03:41:00Z"/>
  <w16cex:commentExtensible w16cex:durableId="22B1A1E7" w16cex:dateUtc="2020-07-09T04:01:00Z"/>
  <w16cex:commentExtensible w16cex:durableId="22B1A749" w16cex:dateUtc="2020-07-09T04:25:00Z"/>
  <w16cex:commentExtensible w16cex:durableId="22B95BF0" w16cex:dateUtc="2020-07-15T00:41:00Z"/>
  <w16cex:commentExtensible w16cex:durableId="22B95CEC" w16cex:dateUtc="2020-07-15T00:46:00Z"/>
  <w16cex:commentExtensible w16cex:durableId="22B95C1D" w16cex:dateUtc="2020-07-15T00:42:00Z"/>
  <w16cex:commentExtensible w16cex:durableId="22B95CE1" w16cex:dateUtc="2020-07-15T00:45:00Z"/>
  <w16cex:commentExtensible w16cex:durableId="22B95C38" w16cex:dateUtc="2020-07-15T00:43:00Z"/>
  <w16cex:commentExtensible w16cex:durableId="22B95D06" w16cex:dateUtc="2020-07-15T00:46:00Z"/>
  <w16cex:commentExtensible w16cex:durableId="22B95C5B" w16cex:dateUtc="2020-07-15T00:43:00Z"/>
  <w16cex:commentExtensible w16cex:durableId="22B95D31" w16cex:dateUtc="2020-07-15T00:47:00Z"/>
  <w16cex:commentExtensible w16cex:durableId="22B95D67" w16cex:dateUtc="2020-07-15T00:48:00Z"/>
  <w16cex:commentExtensible w16cex:durableId="22B95D85" w16cex:dateUtc="2020-07-15T00:48:00Z"/>
  <w16cex:commentExtensible w16cex:durableId="22B95D9A" w16cex:dateUtc="2020-07-15T00:48:00Z"/>
  <w16cex:commentExtensible w16cex:durableId="22B95DB0" w16cex:dateUtc="2020-07-15T00:49:00Z"/>
  <w16cex:commentExtensible w16cex:durableId="22B95DFD" w16cex:dateUtc="2020-07-15T00:50:00Z"/>
  <w16cex:commentExtensible w16cex:durableId="22B95E29" w16cex:dateUtc="2020-07-15T00:51:00Z"/>
  <w16cex:commentExtensible w16cex:durableId="22B95F5F" w16cex:dateUtc="2020-07-15T00:56:00Z"/>
  <w16cex:commentExtensible w16cex:durableId="22B95EED" w16cex:dateUtc="2020-07-15T00:54:00Z"/>
  <w16cex:commentExtensible w16cex:durableId="22B95F92" w16cex:dateUtc="2020-07-15T00:57:00Z"/>
  <w16cex:commentExtensible w16cex:durableId="22B95FE6" w16cex:dateUtc="2020-07-15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9217E" w16cid:durableId="22C181B4"/>
  <w16cid:commentId w16cid:paraId="680049D6" w16cid:durableId="1FABA59C"/>
  <w16cid:commentId w16cid:paraId="0FD76EA9" w16cid:durableId="1F82C832"/>
  <w16cid:commentId w16cid:paraId="50EA8AA2" w16cid:durableId="1F7322EC"/>
  <w16cid:commentId w16cid:paraId="2BBDC792" w16cid:durableId="1F7AC0F0"/>
  <w16cid:commentId w16cid:paraId="0EA8D316" w16cid:durableId="1CFBA96A"/>
  <w16cid:commentId w16cid:paraId="00A9FE25" w16cid:durableId="1F7AC158"/>
  <w16cid:commentId w16cid:paraId="73E6538A" w16cid:durableId="1F7AC196"/>
  <w16cid:commentId w16cid:paraId="7D52D8B3" w16cid:durableId="22B82BA6"/>
  <w16cid:commentId w16cid:paraId="789FAB06" w16cid:durableId="22B82F16"/>
  <w16cid:commentId w16cid:paraId="564CC6B7" w16cid:durableId="1E085923"/>
  <w16cid:commentId w16cid:paraId="3C8C2878" w16cid:durableId="1F7AD303"/>
  <w16cid:commentId w16cid:paraId="050137ED" w16cid:durableId="1F8184C2"/>
  <w16cid:commentId w16cid:paraId="713C5DE8" w16cid:durableId="1F7AD20C"/>
  <w16cid:commentId w16cid:paraId="47DDEF0B" w16cid:durableId="1F7AD277"/>
  <w16cid:commentId w16cid:paraId="02CE6DC8" w16cid:durableId="1F7AD2CE"/>
  <w16cid:commentId w16cid:paraId="5E94BBFA" w16cid:durableId="1F7AD32C"/>
  <w16cid:commentId w16cid:paraId="1966BCEC" w16cid:durableId="1F7AD38F"/>
  <w16cid:commentId w16cid:paraId="73FA8729" w16cid:durableId="1F7AD435"/>
  <w16cid:commentId w16cid:paraId="0BB58DD1" w16cid:durableId="22B83484"/>
  <w16cid:commentId w16cid:paraId="74CB5590" w16cid:durableId="1F7AD670"/>
  <w16cid:commentId w16cid:paraId="638D1C73" w16cid:durableId="1F7AD83D"/>
  <w16cid:commentId w16cid:paraId="5A287330" w16cid:durableId="1F7AD9E8"/>
  <w16cid:commentId w16cid:paraId="3E6A584A" w16cid:durableId="1F7ADA8F"/>
  <w16cid:commentId w16cid:paraId="52E6A01F" w16cid:durableId="1F7ADB90"/>
  <w16cid:commentId w16cid:paraId="0FAC9D4B" w16cid:durableId="1F7ADC21"/>
  <w16cid:commentId w16cid:paraId="128EC3ED" w16cid:durableId="1F7ADDFD"/>
  <w16cid:commentId w16cid:paraId="3ED78730" w16cid:durableId="1F7DAD8E"/>
  <w16cid:commentId w16cid:paraId="23666B2E" w16cid:durableId="1F819B3B"/>
  <w16cid:commentId w16cid:paraId="2CE64101" w16cid:durableId="1F818C1B"/>
  <w16cid:commentId w16cid:paraId="7DF885E4" w16cid:durableId="1F819C4B"/>
  <w16cid:commentId w16cid:paraId="6DB17708" w16cid:durableId="22B1A1E7"/>
  <w16cid:commentId w16cid:paraId="24D01446" w16cid:durableId="22B1A749"/>
  <w16cid:commentId w16cid:paraId="6E660F96" w16cid:durableId="1F818D26"/>
  <w16cid:commentId w16cid:paraId="4BA3DE12" w16cid:durableId="1CFD010F"/>
  <w16cid:commentId w16cid:paraId="577A463B" w16cid:durableId="1CFD058B"/>
  <w16cid:commentId w16cid:paraId="4FA8885B" w16cid:durableId="1F81A2F0"/>
  <w16cid:commentId w16cid:paraId="39127579" w16cid:durableId="1F81A2CB"/>
  <w16cid:commentId w16cid:paraId="7064F778" w16cid:durableId="1F81A325"/>
  <w16cid:commentId w16cid:paraId="3D26B9F3" w16cid:durableId="1F81A401"/>
  <w16cid:commentId w16cid:paraId="6C14BDD3" w16cid:durableId="1F81A577"/>
  <w16cid:commentId w16cid:paraId="0C0DAC98" w16cid:durableId="1F819135"/>
  <w16cid:commentId w16cid:paraId="722D697F" w16cid:durableId="1F818EF3"/>
  <w16cid:commentId w16cid:paraId="4D7156E4" w16cid:durableId="22B95BF0"/>
  <w16cid:commentId w16cid:paraId="3FB06B58" w16cid:durableId="22B95CEC"/>
  <w16cid:commentId w16cid:paraId="1F5DFF64" w16cid:durableId="1F8194FC"/>
  <w16cid:commentId w16cid:paraId="47E11D3C" w16cid:durableId="22B95C1D"/>
  <w16cid:commentId w16cid:paraId="7BE7345A" w16cid:durableId="22B95CE1"/>
  <w16cid:commentId w16cid:paraId="428CE29C" w16cid:durableId="1F81AE31"/>
  <w16cid:commentId w16cid:paraId="69544366" w16cid:durableId="22B95C38"/>
  <w16cid:commentId w16cid:paraId="6BECDDF4" w16cid:durableId="22B95D06"/>
  <w16cid:commentId w16cid:paraId="3789E542" w16cid:durableId="1F81AE18"/>
  <w16cid:commentId w16cid:paraId="22962FF0" w16cid:durableId="22B95C5B"/>
  <w16cid:commentId w16cid:paraId="3A794C81" w16cid:durableId="22B95D31"/>
  <w16cid:commentId w16cid:paraId="7F3BC086" w16cid:durableId="1F81AE6F"/>
  <w16cid:commentId w16cid:paraId="4D05CCA3" w16cid:durableId="22B95D67"/>
  <w16cid:commentId w16cid:paraId="4495C309" w16cid:durableId="1F81B002"/>
  <w16cid:commentId w16cid:paraId="465BACD7" w16cid:durableId="22B95D85"/>
  <w16cid:commentId w16cid:paraId="17C162D8" w16cid:durableId="1F81B09C"/>
  <w16cid:commentId w16cid:paraId="01C6DD21" w16cid:durableId="22B95D9A"/>
  <w16cid:commentId w16cid:paraId="1E510674" w16cid:durableId="22B95DB0"/>
  <w16cid:commentId w16cid:paraId="26B6BF7C" w16cid:durableId="22B95DFD"/>
  <w16cid:commentId w16cid:paraId="5DE6B071" w16cid:durableId="22B95E29"/>
  <w16cid:commentId w16cid:paraId="4C3D5ED1" w16cid:durableId="22B95F5F"/>
  <w16cid:commentId w16cid:paraId="5E717DF9" w16cid:durableId="22B95EED"/>
  <w16cid:commentId w16cid:paraId="31BF4F9F" w16cid:durableId="22B95F92"/>
  <w16cid:commentId w16cid:paraId="3C88974F" w16cid:durableId="22B95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2015" w14:textId="77777777" w:rsidR="00846774" w:rsidRDefault="00846774" w:rsidP="00745CB8">
      <w:r>
        <w:separator/>
      </w:r>
    </w:p>
  </w:endnote>
  <w:endnote w:type="continuationSeparator" w:id="0">
    <w:p w14:paraId="3A656ACB" w14:textId="77777777" w:rsidR="00846774" w:rsidRDefault="00846774" w:rsidP="0074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 w:type="pct"/>
      <w:tblLayout w:type="fixed"/>
      <w:tblLook w:val="04A0" w:firstRow="1" w:lastRow="0" w:firstColumn="1" w:lastColumn="0" w:noHBand="0" w:noVBand="1"/>
    </w:tblPr>
    <w:tblGrid>
      <w:gridCol w:w="1928"/>
    </w:tblGrid>
    <w:tr w:rsidR="00393D6E" w:rsidRPr="00FF69E4" w14:paraId="1011A4D9" w14:textId="77777777" w:rsidTr="00393D6E">
      <w:tc>
        <w:tcPr>
          <w:tcW w:w="5000" w:type="pct"/>
        </w:tcPr>
        <w:p w14:paraId="1FFB8B09" w14:textId="39E713EF" w:rsidR="00393D6E" w:rsidRPr="00326FD0" w:rsidRDefault="00393D6E" w:rsidP="00E27226">
          <w:pPr>
            <w:pStyle w:val="Footer"/>
            <w:jc w:val="right"/>
          </w:pPr>
          <w:r w:rsidRPr="00326FD0">
            <w:t xml:space="preserve">Page </w:t>
          </w:r>
          <w:r w:rsidRPr="00326FD0">
            <w:fldChar w:fldCharType="begin"/>
          </w:r>
          <w:r w:rsidRPr="00326FD0">
            <w:instrText xml:space="preserve"> PAGE </w:instrText>
          </w:r>
          <w:r w:rsidRPr="00326FD0">
            <w:fldChar w:fldCharType="separate"/>
          </w:r>
          <w:r>
            <w:rPr>
              <w:noProof/>
            </w:rPr>
            <w:t>1</w:t>
          </w:r>
          <w:r w:rsidRPr="00326FD0">
            <w:fldChar w:fldCharType="end"/>
          </w:r>
          <w:r w:rsidRPr="00326FD0">
            <w:t xml:space="preserve"> of </w:t>
          </w:r>
          <w:r>
            <w:rPr>
              <w:noProof/>
            </w:rPr>
            <w:fldChar w:fldCharType="begin"/>
          </w:r>
          <w:r>
            <w:rPr>
              <w:noProof/>
            </w:rPr>
            <w:instrText xml:space="preserve"> NUMPAGES  </w:instrText>
          </w:r>
          <w:r>
            <w:rPr>
              <w:noProof/>
            </w:rPr>
            <w:fldChar w:fldCharType="separate"/>
          </w:r>
          <w:r>
            <w:rPr>
              <w:noProof/>
            </w:rPr>
            <w:t>101</w:t>
          </w:r>
          <w:r>
            <w:rPr>
              <w:noProof/>
            </w:rPr>
            <w:fldChar w:fldCharType="end"/>
          </w:r>
        </w:p>
      </w:tc>
    </w:tr>
  </w:tbl>
  <w:p w14:paraId="0FEDE4BD" w14:textId="77777777" w:rsidR="00846774" w:rsidRPr="0052412B" w:rsidRDefault="00846774" w:rsidP="007644E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3F96" w14:textId="77777777" w:rsidR="00846774" w:rsidRDefault="00846774" w:rsidP="00745CB8">
      <w:r>
        <w:separator/>
      </w:r>
    </w:p>
  </w:footnote>
  <w:footnote w:type="continuationSeparator" w:id="0">
    <w:p w14:paraId="137F4757" w14:textId="77777777" w:rsidR="00846774" w:rsidRDefault="00846774" w:rsidP="0074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8"/>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name w:val="WW8Num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11"/>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14"/>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1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singleLevel"/>
    <w:tmpl w:val="0000000C"/>
    <w:lvl w:ilvl="0">
      <w:start w:val="1"/>
      <w:numFmt w:val="bullet"/>
      <w:lvlText w:val=""/>
      <w:lvlJc w:val="left"/>
      <w:pPr>
        <w:tabs>
          <w:tab w:val="num" w:pos="0"/>
        </w:tabs>
        <w:ind w:left="720" w:hanging="360"/>
      </w:pPr>
      <w:rPr>
        <w:rFonts w:ascii="Wingdings" w:hAnsi="Wingdings" w:cs="Wingdings"/>
      </w:rPr>
    </w:lvl>
  </w:abstractNum>
  <w:abstractNum w:abstractNumId="11" w15:restartNumberingAfterBreak="0">
    <w:nsid w:val="00000010"/>
    <w:multiLevelType w:val="multilevel"/>
    <w:tmpl w:val="00000010"/>
    <w:name w:val="WW8Num24"/>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3"/>
    <w:multiLevelType w:val="multilevel"/>
    <w:tmpl w:val="00000013"/>
    <w:name w:val="WW8Num2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4"/>
    <w:multiLevelType w:val="multilevel"/>
    <w:tmpl w:val="00000014"/>
    <w:name w:val="WW8Num28"/>
    <w:lvl w:ilvl="0">
      <w:start w:val="1"/>
      <w:numFmt w:val="bullet"/>
      <w:lvlText w:val=""/>
      <w:lvlJc w:val="left"/>
      <w:pPr>
        <w:tabs>
          <w:tab w:val="num" w:pos="567"/>
        </w:tabs>
        <w:ind w:left="567" w:hanging="567"/>
      </w:pPr>
      <w:rPr>
        <w:rFonts w:ascii="Symbol" w:hAnsi="Symbol"/>
        <w:kern w:val="1"/>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kern w:val="1"/>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kern w:val="1"/>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5"/>
    <w:multiLevelType w:val="multilevel"/>
    <w:tmpl w:val="00000015"/>
    <w:name w:val="WW8Num29"/>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6"/>
    <w:multiLevelType w:val="multilevel"/>
    <w:tmpl w:val="00000016"/>
    <w:name w:val="WW8Num30"/>
    <w:lvl w:ilvl="0">
      <w:start w:val="1"/>
      <w:numFmt w:val="bullet"/>
      <w:lvlText w:val=""/>
      <w:lvlJc w:val="left"/>
      <w:pPr>
        <w:tabs>
          <w:tab w:val="num" w:pos="567"/>
        </w:tabs>
        <w:ind w:left="567" w:hanging="567"/>
      </w:pPr>
      <w:rPr>
        <w:rFonts w:ascii="Symbol" w:hAnsi="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B"/>
    <w:multiLevelType w:val="multilevel"/>
    <w:tmpl w:val="0000001B"/>
    <w:name w:val="WW8Num36"/>
    <w:lvl w:ilvl="0">
      <w:start w:val="1"/>
      <w:numFmt w:val="bullet"/>
      <w:lvlText w:val=""/>
      <w:lvlJc w:val="left"/>
      <w:pPr>
        <w:tabs>
          <w:tab w:val="num" w:pos="567"/>
        </w:tabs>
        <w:ind w:left="567" w:hanging="567"/>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D"/>
    <w:multiLevelType w:val="multilevel"/>
    <w:tmpl w:val="0000001D"/>
    <w:name w:val="WW8Num38"/>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E"/>
    <w:multiLevelType w:val="multilevel"/>
    <w:tmpl w:val="0000001E"/>
    <w:name w:val="WW8Num39"/>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F"/>
    <w:multiLevelType w:val="multilevel"/>
    <w:tmpl w:val="0000001F"/>
    <w:name w:val="WW8Num40"/>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20"/>
    <w:multiLevelType w:val="multilevel"/>
    <w:tmpl w:val="00000020"/>
    <w:name w:val="WW8Num41"/>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23"/>
    <w:multiLevelType w:val="multilevel"/>
    <w:tmpl w:val="00000023"/>
    <w:name w:val="WW8Num4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24"/>
    <w:multiLevelType w:val="multilevel"/>
    <w:tmpl w:val="00000024"/>
    <w:name w:val="WW8Num4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25"/>
    <w:multiLevelType w:val="multilevel"/>
    <w:tmpl w:val="00000025"/>
    <w:name w:val="WW8Num48"/>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6"/>
    <w:multiLevelType w:val="multilevel"/>
    <w:tmpl w:val="00000026"/>
    <w:name w:val="WW8Num49"/>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27"/>
    <w:multiLevelType w:val="multilevel"/>
    <w:tmpl w:val="00000027"/>
    <w:name w:val="WW8Num50"/>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2B"/>
    <w:multiLevelType w:val="multilevel"/>
    <w:tmpl w:val="0000002B"/>
    <w:name w:val="WW8Num54"/>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C"/>
    <w:multiLevelType w:val="multilevel"/>
    <w:tmpl w:val="0000002C"/>
    <w:name w:val="WW8Num5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D"/>
    <w:multiLevelType w:val="multilevel"/>
    <w:tmpl w:val="0000002D"/>
    <w:name w:val="WW8Num5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E"/>
    <w:multiLevelType w:val="multilevel"/>
    <w:tmpl w:val="0000002E"/>
    <w:name w:val="WW8Num5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8F14E2"/>
    <w:multiLevelType w:val="hybridMultilevel"/>
    <w:tmpl w:val="9A040844"/>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3382C3D"/>
    <w:multiLevelType w:val="hybridMultilevel"/>
    <w:tmpl w:val="981C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462512C"/>
    <w:multiLevelType w:val="hybridMultilevel"/>
    <w:tmpl w:val="90B26134"/>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0464141F"/>
    <w:multiLevelType w:val="hybridMultilevel"/>
    <w:tmpl w:val="8E84D1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4D34A2A"/>
    <w:multiLevelType w:val="hybridMultilevel"/>
    <w:tmpl w:val="DEE21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5012D19"/>
    <w:multiLevelType w:val="hybridMultilevel"/>
    <w:tmpl w:val="A78E7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052F07F2"/>
    <w:multiLevelType w:val="hybridMultilevel"/>
    <w:tmpl w:val="DC5A14C0"/>
    <w:lvl w:ilvl="0" w:tplc="E0662E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633126E"/>
    <w:multiLevelType w:val="hybridMultilevel"/>
    <w:tmpl w:val="894C8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07724B15"/>
    <w:multiLevelType w:val="hybridMultilevel"/>
    <w:tmpl w:val="6D34BF6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09216B86"/>
    <w:multiLevelType w:val="hybridMultilevel"/>
    <w:tmpl w:val="6EC6F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0A2A12E9"/>
    <w:multiLevelType w:val="hybridMultilevel"/>
    <w:tmpl w:val="396C77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0A9D491D"/>
    <w:multiLevelType w:val="hybridMultilevel"/>
    <w:tmpl w:val="24AAD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0B3E01A9"/>
    <w:multiLevelType w:val="hybridMultilevel"/>
    <w:tmpl w:val="A5FC384C"/>
    <w:lvl w:ilvl="0" w:tplc="DFC418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0C1B20B3"/>
    <w:multiLevelType w:val="hybridMultilevel"/>
    <w:tmpl w:val="CFDCB7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0C6D5727"/>
    <w:multiLevelType w:val="hybridMultilevel"/>
    <w:tmpl w:val="6A0224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0F706576"/>
    <w:multiLevelType w:val="hybridMultilevel"/>
    <w:tmpl w:val="425672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0082C61"/>
    <w:multiLevelType w:val="hybridMultilevel"/>
    <w:tmpl w:val="4A0E593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11231B7A"/>
    <w:multiLevelType w:val="hybridMultilevel"/>
    <w:tmpl w:val="BC0A48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4727BFD"/>
    <w:multiLevelType w:val="hybridMultilevel"/>
    <w:tmpl w:val="F0A44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151D26B4"/>
    <w:multiLevelType w:val="hybridMultilevel"/>
    <w:tmpl w:val="0EBE0A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16A43CA5"/>
    <w:multiLevelType w:val="hybridMultilevel"/>
    <w:tmpl w:val="741CB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62B66"/>
    <w:multiLevelType w:val="hybridMultilevel"/>
    <w:tmpl w:val="3AE84452"/>
    <w:lvl w:ilvl="0" w:tplc="E0662E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81F0DBC"/>
    <w:multiLevelType w:val="hybridMultilevel"/>
    <w:tmpl w:val="4C2CC4BA"/>
    <w:lvl w:ilvl="0" w:tplc="455A1B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188141C1"/>
    <w:multiLevelType w:val="hybridMultilevel"/>
    <w:tmpl w:val="AB905676"/>
    <w:lvl w:ilvl="0" w:tplc="6100C876">
      <w:numFmt w:val="bullet"/>
      <w:lvlText w:val="-"/>
      <w:lvlJc w:val="left"/>
      <w:pPr>
        <w:ind w:left="767" w:hanging="360"/>
      </w:pPr>
      <w:rPr>
        <w:rFonts w:ascii="Calibri" w:eastAsia="MS Mincho" w:hAnsi="Calibri" w:cs="Times New Roman"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59" w15:restartNumberingAfterBreak="0">
    <w:nsid w:val="1C621014"/>
    <w:multiLevelType w:val="hybridMultilevel"/>
    <w:tmpl w:val="EFE26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CE668B6"/>
    <w:multiLevelType w:val="hybridMultilevel"/>
    <w:tmpl w:val="93549538"/>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62" w15:restartNumberingAfterBreak="0">
    <w:nsid w:val="20841AF5"/>
    <w:multiLevelType w:val="hybridMultilevel"/>
    <w:tmpl w:val="DE00266E"/>
    <w:lvl w:ilvl="0" w:tplc="D71E329A">
      <w:start w:val="1"/>
      <w:numFmt w:val="bullet"/>
      <w:pStyle w:val="InterPracBullet2"/>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3"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3676BE8"/>
    <w:multiLevelType w:val="hybridMultilevel"/>
    <w:tmpl w:val="8B748A8A"/>
    <w:lvl w:ilvl="0" w:tplc="CB725A7A">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245B79F5"/>
    <w:multiLevelType w:val="hybridMultilevel"/>
    <w:tmpl w:val="E02695B2"/>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4BF66D5"/>
    <w:multiLevelType w:val="hybridMultilevel"/>
    <w:tmpl w:val="815E6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27D149E1"/>
    <w:multiLevelType w:val="hybridMultilevel"/>
    <w:tmpl w:val="0AC2F1FA"/>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80D4325"/>
    <w:multiLevelType w:val="hybridMultilevel"/>
    <w:tmpl w:val="2C32EF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2A8E48D4"/>
    <w:multiLevelType w:val="hybridMultilevel"/>
    <w:tmpl w:val="4B4AC0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ACD2E88"/>
    <w:multiLevelType w:val="hybridMultilevel"/>
    <w:tmpl w:val="A7BEB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2C9E6EEA"/>
    <w:multiLevelType w:val="hybridMultilevel"/>
    <w:tmpl w:val="9FD41E5E"/>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DC400BF"/>
    <w:multiLevelType w:val="hybridMultilevel"/>
    <w:tmpl w:val="810404A4"/>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ED568A6"/>
    <w:multiLevelType w:val="hybridMultilevel"/>
    <w:tmpl w:val="11D2125C"/>
    <w:lvl w:ilvl="0" w:tplc="D71E329A">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F690E16"/>
    <w:multiLevelType w:val="hybridMultilevel"/>
    <w:tmpl w:val="0D7489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0166C3D"/>
    <w:multiLevelType w:val="hybridMultilevel"/>
    <w:tmpl w:val="444CA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30AF62F3"/>
    <w:multiLevelType w:val="hybridMultilevel"/>
    <w:tmpl w:val="835E4FD6"/>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0C658E8"/>
    <w:multiLevelType w:val="hybridMultilevel"/>
    <w:tmpl w:val="1F98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5BF20F1"/>
    <w:multiLevelType w:val="hybridMultilevel"/>
    <w:tmpl w:val="DA5A3D7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36E413D4"/>
    <w:multiLevelType w:val="hybridMultilevel"/>
    <w:tmpl w:val="C868E3D6"/>
    <w:lvl w:ilvl="0" w:tplc="E0662E3C">
      <w:start w:val="1"/>
      <w:numFmt w:val="bullet"/>
      <w:lvlText w:val=""/>
      <w:lvlJc w:val="left"/>
      <w:pPr>
        <w:ind w:left="40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1" w15:restartNumberingAfterBreak="0">
    <w:nsid w:val="37690331"/>
    <w:multiLevelType w:val="hybridMultilevel"/>
    <w:tmpl w:val="1E948040"/>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7700DC3"/>
    <w:multiLevelType w:val="hybridMultilevel"/>
    <w:tmpl w:val="42F406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37C06FFE"/>
    <w:multiLevelType w:val="hybridMultilevel"/>
    <w:tmpl w:val="EC82BFB6"/>
    <w:lvl w:ilvl="0" w:tplc="598A555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8D04ED2"/>
    <w:multiLevelType w:val="hybridMultilevel"/>
    <w:tmpl w:val="392A60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3B2E22D7"/>
    <w:multiLevelType w:val="hybridMultilevel"/>
    <w:tmpl w:val="B2D4E0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3B5B5950"/>
    <w:multiLevelType w:val="hybridMultilevel"/>
    <w:tmpl w:val="5150DF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D5C2F20"/>
    <w:multiLevelType w:val="hybridMultilevel"/>
    <w:tmpl w:val="3BE645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2B028C1"/>
    <w:multiLevelType w:val="hybridMultilevel"/>
    <w:tmpl w:val="4D981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42DF31B2"/>
    <w:multiLevelType w:val="hybridMultilevel"/>
    <w:tmpl w:val="4F3C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42E218C6"/>
    <w:multiLevelType w:val="hybridMultilevel"/>
    <w:tmpl w:val="9C68D172"/>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1" w15:restartNumberingAfterBreak="0">
    <w:nsid w:val="430D078F"/>
    <w:multiLevelType w:val="hybridMultilevel"/>
    <w:tmpl w:val="66AA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93" w15:restartNumberingAfterBreak="0">
    <w:nsid w:val="43B4141D"/>
    <w:multiLevelType w:val="hybridMultilevel"/>
    <w:tmpl w:val="B442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5AA58B6"/>
    <w:multiLevelType w:val="hybridMultilevel"/>
    <w:tmpl w:val="25A826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5F918CA"/>
    <w:multiLevelType w:val="hybridMultilevel"/>
    <w:tmpl w:val="6ACEC538"/>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65C792B"/>
    <w:multiLevelType w:val="hybridMultilevel"/>
    <w:tmpl w:val="8CBED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6823C20"/>
    <w:multiLevelType w:val="hybridMultilevel"/>
    <w:tmpl w:val="99EEA582"/>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4684023C"/>
    <w:multiLevelType w:val="hybridMultilevel"/>
    <w:tmpl w:val="0882DF52"/>
    <w:lvl w:ilvl="0" w:tplc="DFC2C7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75A024B"/>
    <w:multiLevelType w:val="hybridMultilevel"/>
    <w:tmpl w:val="51AE1438"/>
    <w:lvl w:ilvl="0" w:tplc="1010780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7704BAC"/>
    <w:multiLevelType w:val="hybridMultilevel"/>
    <w:tmpl w:val="32EE4596"/>
    <w:lvl w:ilvl="0" w:tplc="6100C876">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90913BE"/>
    <w:multiLevelType w:val="hybridMultilevel"/>
    <w:tmpl w:val="4650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C150C0E"/>
    <w:multiLevelType w:val="hybridMultilevel"/>
    <w:tmpl w:val="5A2CE4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C981721"/>
    <w:multiLevelType w:val="hybridMultilevel"/>
    <w:tmpl w:val="F80A52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DCA0D03"/>
    <w:multiLevelType w:val="hybridMultilevel"/>
    <w:tmpl w:val="9C48E63A"/>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E096CF3"/>
    <w:multiLevelType w:val="hybridMultilevel"/>
    <w:tmpl w:val="0460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E456247"/>
    <w:multiLevelType w:val="hybridMultilevel"/>
    <w:tmpl w:val="337A2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4ECC3BD4"/>
    <w:multiLevelType w:val="hybridMultilevel"/>
    <w:tmpl w:val="8310948A"/>
    <w:lvl w:ilvl="0" w:tplc="0C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110" w15:restartNumberingAfterBreak="0">
    <w:nsid w:val="531F1697"/>
    <w:multiLevelType w:val="hybridMultilevel"/>
    <w:tmpl w:val="909079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3DA101D"/>
    <w:multiLevelType w:val="hybridMultilevel"/>
    <w:tmpl w:val="9910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54F32538"/>
    <w:multiLevelType w:val="hybridMultilevel"/>
    <w:tmpl w:val="41F6D2A0"/>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55946075"/>
    <w:multiLevelType w:val="hybridMultilevel"/>
    <w:tmpl w:val="5DE6BE9C"/>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56DB6382"/>
    <w:multiLevelType w:val="hybridMultilevel"/>
    <w:tmpl w:val="8C842C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56EA26AC"/>
    <w:multiLevelType w:val="multilevel"/>
    <w:tmpl w:val="3798185A"/>
    <w:lvl w:ilvl="0">
      <w:start w:val="1"/>
      <w:numFmt w:val="bullet"/>
      <w:pStyle w:val="BulletPointNormal"/>
      <w:lvlText w:val=""/>
      <w:lvlJc w:val="left"/>
      <w:pPr>
        <w:tabs>
          <w:tab w:val="num" w:pos="360"/>
        </w:tabs>
        <w:ind w:left="360" w:hanging="360"/>
      </w:pPr>
      <w:rPr>
        <w:rFonts w:ascii="Wingdings" w:hAnsi="Wingdings" w:hint="default"/>
        <w:b/>
        <w:i w:val="0"/>
        <w:color w:val="000000"/>
        <w:sz w:val="24"/>
      </w:rPr>
    </w:lvl>
    <w:lvl w:ilvl="1">
      <w:start w:val="1"/>
      <w:numFmt w:val="bullet"/>
      <w:lvlText w:val="o"/>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57B037D2"/>
    <w:multiLevelType w:val="hybridMultilevel"/>
    <w:tmpl w:val="56186AD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8" w15:restartNumberingAfterBreak="0">
    <w:nsid w:val="5823045C"/>
    <w:multiLevelType w:val="hybridMultilevel"/>
    <w:tmpl w:val="DF7C5272"/>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8C96B49"/>
    <w:multiLevelType w:val="hybridMultilevel"/>
    <w:tmpl w:val="4C8C084A"/>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8E76D9C"/>
    <w:multiLevelType w:val="hybridMultilevel"/>
    <w:tmpl w:val="6C00A3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8E80E3B"/>
    <w:multiLevelType w:val="hybridMultilevel"/>
    <w:tmpl w:val="21E0D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5A0B3260"/>
    <w:multiLevelType w:val="hybridMultilevel"/>
    <w:tmpl w:val="7EF4EA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5A234782"/>
    <w:multiLevelType w:val="hybridMultilevel"/>
    <w:tmpl w:val="F718E49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A860FC7"/>
    <w:multiLevelType w:val="hybridMultilevel"/>
    <w:tmpl w:val="024C820E"/>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BCC63DE"/>
    <w:multiLevelType w:val="hybridMultilevel"/>
    <w:tmpl w:val="FF4A6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5E0406DE"/>
    <w:multiLevelType w:val="hybridMultilevel"/>
    <w:tmpl w:val="57BE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E5E7F62"/>
    <w:multiLevelType w:val="hybridMultilevel"/>
    <w:tmpl w:val="336AFB0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2191C69"/>
    <w:multiLevelType w:val="hybridMultilevel"/>
    <w:tmpl w:val="21C6F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15:restartNumberingAfterBreak="0">
    <w:nsid w:val="629C3ABE"/>
    <w:multiLevelType w:val="hybridMultilevel"/>
    <w:tmpl w:val="741E2B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2D670BD"/>
    <w:multiLevelType w:val="hybridMultilevel"/>
    <w:tmpl w:val="A2AC3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3091410"/>
    <w:multiLevelType w:val="hybridMultilevel"/>
    <w:tmpl w:val="D504935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3" w15:restartNumberingAfterBreak="0">
    <w:nsid w:val="647E7E78"/>
    <w:multiLevelType w:val="multilevel"/>
    <w:tmpl w:val="27043C62"/>
    <w:lvl w:ilvl="0">
      <w:start w:val="1"/>
      <w:numFmt w:val="bullet"/>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284" w:firstLine="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4F85004"/>
    <w:multiLevelType w:val="hybridMultilevel"/>
    <w:tmpl w:val="41501D0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5" w15:restartNumberingAfterBreak="0">
    <w:nsid w:val="67476699"/>
    <w:multiLevelType w:val="multilevel"/>
    <w:tmpl w:val="8F0C3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8986A17"/>
    <w:multiLevelType w:val="hybridMultilevel"/>
    <w:tmpl w:val="6570F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69D84A41"/>
    <w:multiLevelType w:val="hybridMultilevel"/>
    <w:tmpl w:val="B9522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BE1753E"/>
    <w:multiLevelType w:val="hybridMultilevel"/>
    <w:tmpl w:val="310E2F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6BEF7646"/>
    <w:multiLevelType w:val="hybridMultilevel"/>
    <w:tmpl w:val="67000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C4679FE"/>
    <w:multiLevelType w:val="hybridMultilevel"/>
    <w:tmpl w:val="AA7270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6D825848"/>
    <w:multiLevelType w:val="hybridMultilevel"/>
    <w:tmpl w:val="07E2C36E"/>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E5C1C0F"/>
    <w:multiLevelType w:val="hybridMultilevel"/>
    <w:tmpl w:val="62141B26"/>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6FD74E38"/>
    <w:multiLevelType w:val="hybridMultilevel"/>
    <w:tmpl w:val="9BEE8568"/>
    <w:lvl w:ilvl="0" w:tplc="4A12134C">
      <w:numFmt w:val="bullet"/>
      <w:lvlText w:val="-"/>
      <w:lvlJc w:val="left"/>
      <w:pPr>
        <w:ind w:left="720" w:hanging="360"/>
      </w:pPr>
      <w:rPr>
        <w:rFonts w:ascii="Calibri Light" w:eastAsia="MS Mincho"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00A701B"/>
    <w:multiLevelType w:val="hybridMultilevel"/>
    <w:tmpl w:val="353A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70DA2E59"/>
    <w:multiLevelType w:val="hybridMultilevel"/>
    <w:tmpl w:val="9850D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70F40725"/>
    <w:multiLevelType w:val="hybridMultilevel"/>
    <w:tmpl w:val="33941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10C2F42"/>
    <w:multiLevelType w:val="hybridMultilevel"/>
    <w:tmpl w:val="43E28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15:restartNumberingAfterBreak="0">
    <w:nsid w:val="71227107"/>
    <w:multiLevelType w:val="hybridMultilevel"/>
    <w:tmpl w:val="AD6A5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14D69A9"/>
    <w:multiLevelType w:val="hybridMultilevel"/>
    <w:tmpl w:val="7960C826"/>
    <w:lvl w:ilvl="0" w:tplc="D9B8294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719F42D0"/>
    <w:multiLevelType w:val="hybridMultilevel"/>
    <w:tmpl w:val="BA68B496"/>
    <w:lvl w:ilvl="0" w:tplc="E5FC7336">
      <w:start w:val="1"/>
      <w:numFmt w:val="bullet"/>
      <w:pStyle w:val="Normal5ptBefore"/>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1" w15:restartNumberingAfterBreak="0">
    <w:nsid w:val="720045C5"/>
    <w:multiLevelType w:val="hybridMultilevel"/>
    <w:tmpl w:val="C8DE8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722411A1"/>
    <w:multiLevelType w:val="hybridMultilevel"/>
    <w:tmpl w:val="FA2AAD70"/>
    <w:lvl w:ilvl="0" w:tplc="E0662E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2B55F97"/>
    <w:multiLevelType w:val="hybridMultilevel"/>
    <w:tmpl w:val="F4C82D8A"/>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4680174"/>
    <w:multiLevelType w:val="hybridMultilevel"/>
    <w:tmpl w:val="F32227C0"/>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5AF12BD"/>
    <w:multiLevelType w:val="hybridMultilevel"/>
    <w:tmpl w:val="1BDE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79A22BA"/>
    <w:multiLevelType w:val="hybridMultilevel"/>
    <w:tmpl w:val="1EC843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8274B7A"/>
    <w:multiLevelType w:val="hybridMultilevel"/>
    <w:tmpl w:val="766809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7DEB622B"/>
    <w:multiLevelType w:val="hybridMultilevel"/>
    <w:tmpl w:val="D2E2B194"/>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EB07456"/>
    <w:multiLevelType w:val="hybridMultilevel"/>
    <w:tmpl w:val="CDD867FC"/>
    <w:lvl w:ilvl="0" w:tplc="6100C876">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1A612F"/>
    <w:multiLevelType w:val="hybridMultilevel"/>
    <w:tmpl w:val="05AA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5"/>
  </w:num>
  <w:num w:numId="3">
    <w:abstractNumId w:val="125"/>
  </w:num>
  <w:num w:numId="4">
    <w:abstractNumId w:val="41"/>
  </w:num>
  <w:num w:numId="5">
    <w:abstractNumId w:val="61"/>
  </w:num>
  <w:num w:numId="6">
    <w:abstractNumId w:val="102"/>
  </w:num>
  <w:num w:numId="7">
    <w:abstractNumId w:val="113"/>
  </w:num>
  <w:num w:numId="8">
    <w:abstractNumId w:val="33"/>
  </w:num>
  <w:num w:numId="9">
    <w:abstractNumId w:val="92"/>
  </w:num>
  <w:num w:numId="10">
    <w:abstractNumId w:val="109"/>
  </w:num>
  <w:num w:numId="11">
    <w:abstractNumId w:val="1"/>
  </w:num>
  <w:num w:numId="12">
    <w:abstractNumId w:val="63"/>
  </w:num>
  <w:num w:numId="13">
    <w:abstractNumId w:val="71"/>
  </w:num>
  <w:num w:numId="14">
    <w:abstractNumId w:val="51"/>
  </w:num>
  <w:num w:numId="15">
    <w:abstractNumId w:val="159"/>
  </w:num>
  <w:num w:numId="16">
    <w:abstractNumId w:val="46"/>
  </w:num>
  <w:num w:numId="17">
    <w:abstractNumId w:val="146"/>
  </w:num>
  <w:num w:numId="18">
    <w:abstractNumId w:val="98"/>
  </w:num>
  <w:num w:numId="19">
    <w:abstractNumId w:val="48"/>
  </w:num>
  <w:num w:numId="20">
    <w:abstractNumId w:val="155"/>
  </w:num>
  <w:num w:numId="21">
    <w:abstractNumId w:val="42"/>
  </w:num>
  <w:num w:numId="22">
    <w:abstractNumId w:val="84"/>
  </w:num>
  <w:num w:numId="23">
    <w:abstractNumId w:val="85"/>
  </w:num>
  <w:num w:numId="24">
    <w:abstractNumId w:val="128"/>
  </w:num>
  <w:num w:numId="25">
    <w:abstractNumId w:val="86"/>
  </w:num>
  <w:num w:numId="26">
    <w:abstractNumId w:val="110"/>
  </w:num>
  <w:num w:numId="27">
    <w:abstractNumId w:val="120"/>
  </w:num>
  <w:num w:numId="28">
    <w:abstractNumId w:val="135"/>
  </w:num>
  <w:num w:numId="29">
    <w:abstractNumId w:val="87"/>
  </w:num>
  <w:num w:numId="30">
    <w:abstractNumId w:val="94"/>
  </w:num>
  <w:num w:numId="31">
    <w:abstractNumId w:val="123"/>
  </w:num>
  <w:num w:numId="32">
    <w:abstractNumId w:val="103"/>
  </w:num>
  <w:num w:numId="33">
    <w:abstractNumId w:val="69"/>
  </w:num>
  <w:num w:numId="34">
    <w:abstractNumId w:val="99"/>
  </w:num>
  <w:num w:numId="35">
    <w:abstractNumId w:val="68"/>
  </w:num>
  <w:num w:numId="36">
    <w:abstractNumId w:val="157"/>
  </w:num>
  <w:num w:numId="37">
    <w:abstractNumId w:val="130"/>
  </w:num>
  <w:num w:numId="38">
    <w:abstractNumId w:val="82"/>
  </w:num>
  <w:num w:numId="39">
    <w:abstractNumId w:val="140"/>
  </w:num>
  <w:num w:numId="40">
    <w:abstractNumId w:val="53"/>
  </w:num>
  <w:num w:numId="41">
    <w:abstractNumId w:val="104"/>
  </w:num>
  <w:num w:numId="42">
    <w:abstractNumId w:val="134"/>
  </w:num>
  <w:num w:numId="43">
    <w:abstractNumId w:val="117"/>
  </w:num>
  <w:num w:numId="44">
    <w:abstractNumId w:val="90"/>
  </w:num>
  <w:num w:numId="45">
    <w:abstractNumId w:val="81"/>
  </w:num>
  <w:num w:numId="46">
    <w:abstractNumId w:val="114"/>
  </w:num>
  <w:num w:numId="47">
    <w:abstractNumId w:val="97"/>
  </w:num>
  <w:num w:numId="48">
    <w:abstractNumId w:val="34"/>
  </w:num>
  <w:num w:numId="49">
    <w:abstractNumId w:val="60"/>
  </w:num>
  <w:num w:numId="50">
    <w:abstractNumId w:val="62"/>
  </w:num>
  <w:num w:numId="51">
    <w:abstractNumId w:val="74"/>
  </w:num>
  <w:num w:numId="52">
    <w:abstractNumId w:val="45"/>
  </w:num>
  <w:num w:numId="53">
    <w:abstractNumId w:val="158"/>
  </w:num>
  <w:num w:numId="54">
    <w:abstractNumId w:val="112"/>
  </w:num>
  <w:num w:numId="55">
    <w:abstractNumId w:val="49"/>
  </w:num>
  <w:num w:numId="56">
    <w:abstractNumId w:val="138"/>
  </w:num>
  <w:num w:numId="57">
    <w:abstractNumId w:val="43"/>
  </w:num>
  <w:num w:numId="58">
    <w:abstractNumId w:val="131"/>
  </w:num>
  <w:num w:numId="59">
    <w:abstractNumId w:val="35"/>
  </w:num>
  <w:num w:numId="60">
    <w:abstractNumId w:val="132"/>
  </w:num>
  <w:num w:numId="61">
    <w:abstractNumId w:val="79"/>
  </w:num>
  <w:num w:numId="62">
    <w:abstractNumId w:val="75"/>
  </w:num>
  <w:num w:numId="63">
    <w:abstractNumId w:val="70"/>
  </w:num>
  <w:num w:numId="64">
    <w:abstractNumId w:val="139"/>
  </w:num>
  <w:num w:numId="65">
    <w:abstractNumId w:val="88"/>
  </w:num>
  <w:num w:numId="66">
    <w:abstractNumId w:val="115"/>
  </w:num>
  <w:num w:numId="67">
    <w:abstractNumId w:val="96"/>
  </w:num>
  <w:num w:numId="68">
    <w:abstractNumId w:val="122"/>
  </w:num>
  <w:num w:numId="69">
    <w:abstractNumId w:val="108"/>
  </w:num>
  <w:num w:numId="70">
    <w:abstractNumId w:val="160"/>
  </w:num>
  <w:num w:numId="71">
    <w:abstractNumId w:val="116"/>
  </w:num>
  <w:num w:numId="72">
    <w:abstractNumId w:val="107"/>
  </w:num>
  <w:num w:numId="73">
    <w:abstractNumId w:val="64"/>
  </w:num>
  <w:num w:numId="74">
    <w:abstractNumId w:val="136"/>
  </w:num>
  <w:num w:numId="75">
    <w:abstractNumId w:val="129"/>
  </w:num>
  <w:num w:numId="76">
    <w:abstractNumId w:val="59"/>
  </w:num>
  <w:num w:numId="77">
    <w:abstractNumId w:val="100"/>
  </w:num>
  <w:num w:numId="78">
    <w:abstractNumId w:val="156"/>
  </w:num>
  <w:num w:numId="79">
    <w:abstractNumId w:val="58"/>
  </w:num>
  <w:num w:numId="80">
    <w:abstractNumId w:val="118"/>
  </w:num>
  <w:num w:numId="81">
    <w:abstractNumId w:val="67"/>
  </w:num>
  <w:num w:numId="82">
    <w:abstractNumId w:val="124"/>
  </w:num>
  <w:num w:numId="83">
    <w:abstractNumId w:val="31"/>
  </w:num>
  <w:num w:numId="84">
    <w:abstractNumId w:val="83"/>
  </w:num>
  <w:num w:numId="85">
    <w:abstractNumId w:val="72"/>
  </w:num>
  <w:num w:numId="86">
    <w:abstractNumId w:val="77"/>
  </w:num>
  <w:num w:numId="87">
    <w:abstractNumId w:val="141"/>
  </w:num>
  <w:num w:numId="88">
    <w:abstractNumId w:val="57"/>
  </w:num>
  <w:num w:numId="89">
    <w:abstractNumId w:val="73"/>
  </w:num>
  <w:num w:numId="90">
    <w:abstractNumId w:val="142"/>
  </w:num>
  <w:num w:numId="91">
    <w:abstractNumId w:val="154"/>
  </w:num>
  <w:num w:numId="92">
    <w:abstractNumId w:val="119"/>
  </w:num>
  <w:num w:numId="93">
    <w:abstractNumId w:val="153"/>
  </w:num>
  <w:num w:numId="94">
    <w:abstractNumId w:val="105"/>
  </w:num>
  <w:num w:numId="95">
    <w:abstractNumId w:val="95"/>
  </w:num>
  <w:num w:numId="96">
    <w:abstractNumId w:val="65"/>
  </w:num>
  <w:num w:numId="97">
    <w:abstractNumId w:val="36"/>
  </w:num>
  <w:num w:numId="98">
    <w:abstractNumId w:val="89"/>
  </w:num>
  <w:num w:numId="99">
    <w:abstractNumId w:val="76"/>
  </w:num>
  <w:num w:numId="100">
    <w:abstractNumId w:val="44"/>
  </w:num>
  <w:num w:numId="101">
    <w:abstractNumId w:val="137"/>
  </w:num>
  <w:num w:numId="102">
    <w:abstractNumId w:val="148"/>
  </w:num>
  <w:num w:numId="103">
    <w:abstractNumId w:val="121"/>
  </w:num>
  <w:num w:numId="104">
    <w:abstractNumId w:val="39"/>
  </w:num>
  <w:num w:numId="105">
    <w:abstractNumId w:val="32"/>
  </w:num>
  <w:num w:numId="106">
    <w:abstractNumId w:val="66"/>
  </w:num>
  <w:num w:numId="107">
    <w:abstractNumId w:val="145"/>
  </w:num>
  <w:num w:numId="108">
    <w:abstractNumId w:val="37"/>
  </w:num>
  <w:num w:numId="109">
    <w:abstractNumId w:val="126"/>
  </w:num>
  <w:num w:numId="110">
    <w:abstractNumId w:val="38"/>
  </w:num>
  <w:num w:numId="111">
    <w:abstractNumId w:val="56"/>
  </w:num>
  <w:num w:numId="112">
    <w:abstractNumId w:val="152"/>
  </w:num>
  <w:num w:numId="113">
    <w:abstractNumId w:val="80"/>
  </w:num>
  <w:num w:numId="114">
    <w:abstractNumId w:val="127"/>
  </w:num>
  <w:num w:numId="115">
    <w:abstractNumId w:val="93"/>
  </w:num>
  <w:num w:numId="116">
    <w:abstractNumId w:val="101"/>
  </w:num>
  <w:num w:numId="117">
    <w:abstractNumId w:val="78"/>
  </w:num>
  <w:num w:numId="118">
    <w:abstractNumId w:val="147"/>
  </w:num>
  <w:num w:numId="119">
    <w:abstractNumId w:val="54"/>
  </w:num>
  <w:num w:numId="120">
    <w:abstractNumId w:val="161"/>
  </w:num>
  <w:num w:numId="121">
    <w:abstractNumId w:val="144"/>
  </w:num>
  <w:num w:numId="122">
    <w:abstractNumId w:val="91"/>
  </w:num>
  <w:num w:numId="123">
    <w:abstractNumId w:val="151"/>
  </w:num>
  <w:num w:numId="124">
    <w:abstractNumId w:val="149"/>
  </w:num>
  <w:num w:numId="125">
    <w:abstractNumId w:val="52"/>
  </w:num>
  <w:num w:numId="126">
    <w:abstractNumId w:val="111"/>
  </w:num>
  <w:num w:numId="127">
    <w:abstractNumId w:val="133"/>
  </w:num>
  <w:num w:numId="128">
    <w:abstractNumId w:val="143"/>
  </w:num>
  <w:num w:numId="129">
    <w:abstractNumId w:val="150"/>
  </w:num>
  <w:num w:numId="130">
    <w:abstractNumId w:val="150"/>
  </w:num>
  <w:num w:numId="131">
    <w:abstractNumId w:val="40"/>
  </w:num>
  <w:num w:numId="132">
    <w:abstractNumId w:val="47"/>
  </w:num>
  <w:num w:numId="133">
    <w:abstractNumId w:val="50"/>
  </w:num>
  <w:num w:numId="134">
    <w:abstractNumId w:val="106"/>
  </w:num>
  <w:num w:numId="135">
    <w:abstractNumId w:val="30"/>
  </w:num>
  <w:num w:numId="136">
    <w:abstractNumId w:val="149"/>
  </w:num>
  <w:num w:numId="137">
    <w:abstractNumId w:val="149"/>
  </w:num>
  <w:num w:numId="138">
    <w:abstractNumId w:val="149"/>
  </w:num>
  <w:num w:numId="139">
    <w:abstractNumId w:val="149"/>
  </w:num>
  <w:num w:numId="140">
    <w:abstractNumId w:val="21"/>
  </w:num>
  <w:num w:numId="141">
    <w:abstractNumId w:val="10"/>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rson w15:author="Shane Miller [2]">
    <w15:presenceInfo w15:providerId="None" w15:userId="Shane Miller"/>
  </w15:person>
  <w15:person w15:author="Shane Miller [3]">
    <w15:presenceInfo w15:providerId="Windows Live" w15:userId="3aa06a1c55e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27"/>
    <w:rsid w:val="00000589"/>
    <w:rsid w:val="00001915"/>
    <w:rsid w:val="000022F9"/>
    <w:rsid w:val="000024C1"/>
    <w:rsid w:val="00003A52"/>
    <w:rsid w:val="00003AE2"/>
    <w:rsid w:val="00003CBD"/>
    <w:rsid w:val="00003E94"/>
    <w:rsid w:val="000056AC"/>
    <w:rsid w:val="00005B22"/>
    <w:rsid w:val="00006759"/>
    <w:rsid w:val="00006AA7"/>
    <w:rsid w:val="00006B56"/>
    <w:rsid w:val="00007261"/>
    <w:rsid w:val="00007648"/>
    <w:rsid w:val="00007D86"/>
    <w:rsid w:val="00010572"/>
    <w:rsid w:val="00010BCD"/>
    <w:rsid w:val="00010E11"/>
    <w:rsid w:val="00010E22"/>
    <w:rsid w:val="000118FC"/>
    <w:rsid w:val="00011BA8"/>
    <w:rsid w:val="000132DB"/>
    <w:rsid w:val="00013C1A"/>
    <w:rsid w:val="000148F4"/>
    <w:rsid w:val="00015668"/>
    <w:rsid w:val="00016669"/>
    <w:rsid w:val="00016E49"/>
    <w:rsid w:val="00016ECB"/>
    <w:rsid w:val="000173EF"/>
    <w:rsid w:val="0002028B"/>
    <w:rsid w:val="000205F5"/>
    <w:rsid w:val="00020C70"/>
    <w:rsid w:val="0002119D"/>
    <w:rsid w:val="000211B1"/>
    <w:rsid w:val="00021281"/>
    <w:rsid w:val="000212BD"/>
    <w:rsid w:val="0002150A"/>
    <w:rsid w:val="00021FD9"/>
    <w:rsid w:val="00022007"/>
    <w:rsid w:val="00022171"/>
    <w:rsid w:val="00022505"/>
    <w:rsid w:val="000225EF"/>
    <w:rsid w:val="00022FC7"/>
    <w:rsid w:val="00024272"/>
    <w:rsid w:val="000242A4"/>
    <w:rsid w:val="000243C6"/>
    <w:rsid w:val="00024D12"/>
    <w:rsid w:val="00024E3E"/>
    <w:rsid w:val="0002534E"/>
    <w:rsid w:val="000254A4"/>
    <w:rsid w:val="000264A1"/>
    <w:rsid w:val="000264B8"/>
    <w:rsid w:val="00026F8A"/>
    <w:rsid w:val="000270CE"/>
    <w:rsid w:val="000274FD"/>
    <w:rsid w:val="00027C17"/>
    <w:rsid w:val="00030542"/>
    <w:rsid w:val="00030859"/>
    <w:rsid w:val="00030F1B"/>
    <w:rsid w:val="00031955"/>
    <w:rsid w:val="00031A22"/>
    <w:rsid w:val="00031C1D"/>
    <w:rsid w:val="000323E6"/>
    <w:rsid w:val="00032C6D"/>
    <w:rsid w:val="00033032"/>
    <w:rsid w:val="000332D2"/>
    <w:rsid w:val="000334EF"/>
    <w:rsid w:val="00033E92"/>
    <w:rsid w:val="00034A0A"/>
    <w:rsid w:val="00034C88"/>
    <w:rsid w:val="00035354"/>
    <w:rsid w:val="00035451"/>
    <w:rsid w:val="00036C67"/>
    <w:rsid w:val="00036DDB"/>
    <w:rsid w:val="00036DDC"/>
    <w:rsid w:val="00037B75"/>
    <w:rsid w:val="00037C12"/>
    <w:rsid w:val="00037FB4"/>
    <w:rsid w:val="00040911"/>
    <w:rsid w:val="00040935"/>
    <w:rsid w:val="000409FC"/>
    <w:rsid w:val="0004100A"/>
    <w:rsid w:val="0004186D"/>
    <w:rsid w:val="00041E43"/>
    <w:rsid w:val="00042527"/>
    <w:rsid w:val="00042756"/>
    <w:rsid w:val="00042B73"/>
    <w:rsid w:val="000437C2"/>
    <w:rsid w:val="00043B08"/>
    <w:rsid w:val="000442E4"/>
    <w:rsid w:val="00044AEF"/>
    <w:rsid w:val="000450F4"/>
    <w:rsid w:val="000451DA"/>
    <w:rsid w:val="00046D3D"/>
    <w:rsid w:val="00046F3C"/>
    <w:rsid w:val="00047890"/>
    <w:rsid w:val="00047A03"/>
    <w:rsid w:val="00047CC2"/>
    <w:rsid w:val="0005075B"/>
    <w:rsid w:val="00050851"/>
    <w:rsid w:val="00050CB1"/>
    <w:rsid w:val="00051040"/>
    <w:rsid w:val="00051B7A"/>
    <w:rsid w:val="000520E3"/>
    <w:rsid w:val="00052E0A"/>
    <w:rsid w:val="0005340A"/>
    <w:rsid w:val="00053C50"/>
    <w:rsid w:val="00054CD7"/>
    <w:rsid w:val="00054E01"/>
    <w:rsid w:val="00054E3E"/>
    <w:rsid w:val="00054E6B"/>
    <w:rsid w:val="00054F2A"/>
    <w:rsid w:val="0005526D"/>
    <w:rsid w:val="0005549C"/>
    <w:rsid w:val="00057046"/>
    <w:rsid w:val="000574E1"/>
    <w:rsid w:val="0006091B"/>
    <w:rsid w:val="00060BBD"/>
    <w:rsid w:val="00061F6E"/>
    <w:rsid w:val="00062723"/>
    <w:rsid w:val="00062C3D"/>
    <w:rsid w:val="00063A85"/>
    <w:rsid w:val="0006482A"/>
    <w:rsid w:val="00064FCE"/>
    <w:rsid w:val="00065128"/>
    <w:rsid w:val="0006556A"/>
    <w:rsid w:val="00066202"/>
    <w:rsid w:val="000662FA"/>
    <w:rsid w:val="00066536"/>
    <w:rsid w:val="00066B0C"/>
    <w:rsid w:val="00066CD0"/>
    <w:rsid w:val="00067C25"/>
    <w:rsid w:val="00067CC7"/>
    <w:rsid w:val="00067D4D"/>
    <w:rsid w:val="00067DE6"/>
    <w:rsid w:val="000701ED"/>
    <w:rsid w:val="000702B5"/>
    <w:rsid w:val="000704BE"/>
    <w:rsid w:val="0007094E"/>
    <w:rsid w:val="00070B3F"/>
    <w:rsid w:val="00070F20"/>
    <w:rsid w:val="00071AAD"/>
    <w:rsid w:val="00072109"/>
    <w:rsid w:val="00072111"/>
    <w:rsid w:val="000721C2"/>
    <w:rsid w:val="00072B8A"/>
    <w:rsid w:val="000745C3"/>
    <w:rsid w:val="0007533E"/>
    <w:rsid w:val="00075C5D"/>
    <w:rsid w:val="000761B7"/>
    <w:rsid w:val="000769D1"/>
    <w:rsid w:val="00076E49"/>
    <w:rsid w:val="00077745"/>
    <w:rsid w:val="00080790"/>
    <w:rsid w:val="000812AB"/>
    <w:rsid w:val="00081800"/>
    <w:rsid w:val="0008183C"/>
    <w:rsid w:val="00081BF4"/>
    <w:rsid w:val="000823A4"/>
    <w:rsid w:val="00083087"/>
    <w:rsid w:val="0008371A"/>
    <w:rsid w:val="00083B65"/>
    <w:rsid w:val="00083C24"/>
    <w:rsid w:val="00083D41"/>
    <w:rsid w:val="00083DA6"/>
    <w:rsid w:val="00084A41"/>
    <w:rsid w:val="000853CD"/>
    <w:rsid w:val="000854A8"/>
    <w:rsid w:val="00085B57"/>
    <w:rsid w:val="00086709"/>
    <w:rsid w:val="0008751D"/>
    <w:rsid w:val="00087557"/>
    <w:rsid w:val="0009022A"/>
    <w:rsid w:val="000903A2"/>
    <w:rsid w:val="00090B0C"/>
    <w:rsid w:val="00091A8A"/>
    <w:rsid w:val="000933B4"/>
    <w:rsid w:val="00093A6F"/>
    <w:rsid w:val="00093AA2"/>
    <w:rsid w:val="0009435C"/>
    <w:rsid w:val="00094BC2"/>
    <w:rsid w:val="00094DF2"/>
    <w:rsid w:val="0009527C"/>
    <w:rsid w:val="000955D3"/>
    <w:rsid w:val="00095751"/>
    <w:rsid w:val="00095A66"/>
    <w:rsid w:val="0009607C"/>
    <w:rsid w:val="00096248"/>
    <w:rsid w:val="000968CA"/>
    <w:rsid w:val="000973FE"/>
    <w:rsid w:val="00097513"/>
    <w:rsid w:val="00097B59"/>
    <w:rsid w:val="00097D52"/>
    <w:rsid w:val="00097E4B"/>
    <w:rsid w:val="000A030B"/>
    <w:rsid w:val="000A047B"/>
    <w:rsid w:val="000A0534"/>
    <w:rsid w:val="000A0945"/>
    <w:rsid w:val="000A0B45"/>
    <w:rsid w:val="000A18A2"/>
    <w:rsid w:val="000A1E17"/>
    <w:rsid w:val="000A26A5"/>
    <w:rsid w:val="000A26AD"/>
    <w:rsid w:val="000A280F"/>
    <w:rsid w:val="000A2B7A"/>
    <w:rsid w:val="000A3121"/>
    <w:rsid w:val="000A3782"/>
    <w:rsid w:val="000A398B"/>
    <w:rsid w:val="000A3A1C"/>
    <w:rsid w:val="000A3DBB"/>
    <w:rsid w:val="000A41D8"/>
    <w:rsid w:val="000A4897"/>
    <w:rsid w:val="000A500F"/>
    <w:rsid w:val="000A5F7F"/>
    <w:rsid w:val="000A66D1"/>
    <w:rsid w:val="000A68A9"/>
    <w:rsid w:val="000A6F26"/>
    <w:rsid w:val="000A75C0"/>
    <w:rsid w:val="000B0FD0"/>
    <w:rsid w:val="000B1492"/>
    <w:rsid w:val="000B230D"/>
    <w:rsid w:val="000B254E"/>
    <w:rsid w:val="000B2D9F"/>
    <w:rsid w:val="000B365C"/>
    <w:rsid w:val="000B377B"/>
    <w:rsid w:val="000B433F"/>
    <w:rsid w:val="000B470D"/>
    <w:rsid w:val="000B59F7"/>
    <w:rsid w:val="000B5BCE"/>
    <w:rsid w:val="000B6229"/>
    <w:rsid w:val="000B7094"/>
    <w:rsid w:val="000B7D60"/>
    <w:rsid w:val="000B7E70"/>
    <w:rsid w:val="000C00BC"/>
    <w:rsid w:val="000C04A8"/>
    <w:rsid w:val="000C085A"/>
    <w:rsid w:val="000C0962"/>
    <w:rsid w:val="000C0B17"/>
    <w:rsid w:val="000C0FCB"/>
    <w:rsid w:val="000C19CD"/>
    <w:rsid w:val="000C1BA8"/>
    <w:rsid w:val="000C1D9F"/>
    <w:rsid w:val="000C265F"/>
    <w:rsid w:val="000C33F6"/>
    <w:rsid w:val="000C368C"/>
    <w:rsid w:val="000C38F5"/>
    <w:rsid w:val="000C3ACC"/>
    <w:rsid w:val="000C3E66"/>
    <w:rsid w:val="000C41B9"/>
    <w:rsid w:val="000C4209"/>
    <w:rsid w:val="000C51D2"/>
    <w:rsid w:val="000C5537"/>
    <w:rsid w:val="000C57B1"/>
    <w:rsid w:val="000C5B6C"/>
    <w:rsid w:val="000C5DDF"/>
    <w:rsid w:val="000C667E"/>
    <w:rsid w:val="000C7F94"/>
    <w:rsid w:val="000D0191"/>
    <w:rsid w:val="000D073D"/>
    <w:rsid w:val="000D0927"/>
    <w:rsid w:val="000D0943"/>
    <w:rsid w:val="000D0E53"/>
    <w:rsid w:val="000D0EE5"/>
    <w:rsid w:val="000D1CE2"/>
    <w:rsid w:val="000D27E2"/>
    <w:rsid w:val="000D4F31"/>
    <w:rsid w:val="000D500A"/>
    <w:rsid w:val="000D5F38"/>
    <w:rsid w:val="000D62B7"/>
    <w:rsid w:val="000D6E4F"/>
    <w:rsid w:val="000D740D"/>
    <w:rsid w:val="000D7820"/>
    <w:rsid w:val="000D7E43"/>
    <w:rsid w:val="000E0480"/>
    <w:rsid w:val="000E0EA9"/>
    <w:rsid w:val="000E1D2E"/>
    <w:rsid w:val="000E2252"/>
    <w:rsid w:val="000E3105"/>
    <w:rsid w:val="000E3373"/>
    <w:rsid w:val="000E365C"/>
    <w:rsid w:val="000E38E2"/>
    <w:rsid w:val="000E3916"/>
    <w:rsid w:val="000E39C2"/>
    <w:rsid w:val="000E39D3"/>
    <w:rsid w:val="000E3BB4"/>
    <w:rsid w:val="000E4A05"/>
    <w:rsid w:val="000E4F77"/>
    <w:rsid w:val="000E56B6"/>
    <w:rsid w:val="000E58CD"/>
    <w:rsid w:val="000E6108"/>
    <w:rsid w:val="000E6487"/>
    <w:rsid w:val="000E6681"/>
    <w:rsid w:val="000E690A"/>
    <w:rsid w:val="000E7061"/>
    <w:rsid w:val="000E7339"/>
    <w:rsid w:val="000E76BA"/>
    <w:rsid w:val="000E7767"/>
    <w:rsid w:val="000E7AF4"/>
    <w:rsid w:val="000E7D8B"/>
    <w:rsid w:val="000F059F"/>
    <w:rsid w:val="000F0725"/>
    <w:rsid w:val="000F0AAB"/>
    <w:rsid w:val="000F0C47"/>
    <w:rsid w:val="000F21FE"/>
    <w:rsid w:val="000F2C44"/>
    <w:rsid w:val="000F2F4C"/>
    <w:rsid w:val="000F2FFF"/>
    <w:rsid w:val="000F3950"/>
    <w:rsid w:val="000F3BEF"/>
    <w:rsid w:val="000F3CAC"/>
    <w:rsid w:val="000F4823"/>
    <w:rsid w:val="000F5D84"/>
    <w:rsid w:val="000F5E21"/>
    <w:rsid w:val="000F7349"/>
    <w:rsid w:val="000F7E9E"/>
    <w:rsid w:val="00100BD8"/>
    <w:rsid w:val="0010228D"/>
    <w:rsid w:val="0010245D"/>
    <w:rsid w:val="00102679"/>
    <w:rsid w:val="00103711"/>
    <w:rsid w:val="00103DAC"/>
    <w:rsid w:val="00104032"/>
    <w:rsid w:val="0010462C"/>
    <w:rsid w:val="001059D7"/>
    <w:rsid w:val="00105DAD"/>
    <w:rsid w:val="001062AA"/>
    <w:rsid w:val="0010635F"/>
    <w:rsid w:val="001065D1"/>
    <w:rsid w:val="00106B2D"/>
    <w:rsid w:val="00106E56"/>
    <w:rsid w:val="00107637"/>
    <w:rsid w:val="00107777"/>
    <w:rsid w:val="00107A37"/>
    <w:rsid w:val="00107DAB"/>
    <w:rsid w:val="00107F99"/>
    <w:rsid w:val="001101A2"/>
    <w:rsid w:val="001107A0"/>
    <w:rsid w:val="0011083C"/>
    <w:rsid w:val="001125C4"/>
    <w:rsid w:val="00112DCA"/>
    <w:rsid w:val="00112EC7"/>
    <w:rsid w:val="0011308B"/>
    <w:rsid w:val="00113100"/>
    <w:rsid w:val="0011364D"/>
    <w:rsid w:val="00114001"/>
    <w:rsid w:val="00114413"/>
    <w:rsid w:val="001145EA"/>
    <w:rsid w:val="00114C4E"/>
    <w:rsid w:val="00114DDB"/>
    <w:rsid w:val="001162EC"/>
    <w:rsid w:val="00116A29"/>
    <w:rsid w:val="00116E6A"/>
    <w:rsid w:val="00116FD9"/>
    <w:rsid w:val="00117380"/>
    <w:rsid w:val="00117527"/>
    <w:rsid w:val="00120384"/>
    <w:rsid w:val="00120627"/>
    <w:rsid w:val="0012121F"/>
    <w:rsid w:val="00121321"/>
    <w:rsid w:val="001215C1"/>
    <w:rsid w:val="00122559"/>
    <w:rsid w:val="001225C1"/>
    <w:rsid w:val="001230C4"/>
    <w:rsid w:val="00123DDA"/>
    <w:rsid w:val="0012409E"/>
    <w:rsid w:val="00124F64"/>
    <w:rsid w:val="00125690"/>
    <w:rsid w:val="001261EC"/>
    <w:rsid w:val="00126402"/>
    <w:rsid w:val="001264A3"/>
    <w:rsid w:val="00126589"/>
    <w:rsid w:val="00126AD9"/>
    <w:rsid w:val="00127D96"/>
    <w:rsid w:val="001306BD"/>
    <w:rsid w:val="001306D0"/>
    <w:rsid w:val="00130CF0"/>
    <w:rsid w:val="00131AB5"/>
    <w:rsid w:val="00131CEE"/>
    <w:rsid w:val="001322F2"/>
    <w:rsid w:val="0013267B"/>
    <w:rsid w:val="00132D92"/>
    <w:rsid w:val="001345B9"/>
    <w:rsid w:val="001345C5"/>
    <w:rsid w:val="00134A56"/>
    <w:rsid w:val="00134F53"/>
    <w:rsid w:val="00135077"/>
    <w:rsid w:val="00135755"/>
    <w:rsid w:val="00135962"/>
    <w:rsid w:val="001364FD"/>
    <w:rsid w:val="00136976"/>
    <w:rsid w:val="00136CC0"/>
    <w:rsid w:val="001375CA"/>
    <w:rsid w:val="001376A9"/>
    <w:rsid w:val="00137B1E"/>
    <w:rsid w:val="00137DAF"/>
    <w:rsid w:val="00137F7C"/>
    <w:rsid w:val="00137FA5"/>
    <w:rsid w:val="00137FC9"/>
    <w:rsid w:val="00140044"/>
    <w:rsid w:val="00140381"/>
    <w:rsid w:val="00140ADE"/>
    <w:rsid w:val="00140D01"/>
    <w:rsid w:val="0014125B"/>
    <w:rsid w:val="001416A8"/>
    <w:rsid w:val="00142728"/>
    <w:rsid w:val="00142B3E"/>
    <w:rsid w:val="00142DB6"/>
    <w:rsid w:val="00143892"/>
    <w:rsid w:val="00144337"/>
    <w:rsid w:val="00145A48"/>
    <w:rsid w:val="00145C92"/>
    <w:rsid w:val="00145CF0"/>
    <w:rsid w:val="00145D27"/>
    <w:rsid w:val="00147008"/>
    <w:rsid w:val="0014757F"/>
    <w:rsid w:val="001477BD"/>
    <w:rsid w:val="001478C6"/>
    <w:rsid w:val="00147B53"/>
    <w:rsid w:val="00151544"/>
    <w:rsid w:val="001515D1"/>
    <w:rsid w:val="0015192C"/>
    <w:rsid w:val="00151B25"/>
    <w:rsid w:val="00153030"/>
    <w:rsid w:val="001531F5"/>
    <w:rsid w:val="001542E4"/>
    <w:rsid w:val="00154601"/>
    <w:rsid w:val="00154885"/>
    <w:rsid w:val="001559AF"/>
    <w:rsid w:val="00155B00"/>
    <w:rsid w:val="001563FB"/>
    <w:rsid w:val="0015648A"/>
    <w:rsid w:val="001569DA"/>
    <w:rsid w:val="00156E33"/>
    <w:rsid w:val="00157347"/>
    <w:rsid w:val="00157865"/>
    <w:rsid w:val="00157DB2"/>
    <w:rsid w:val="001601A9"/>
    <w:rsid w:val="00160D16"/>
    <w:rsid w:val="00160F0D"/>
    <w:rsid w:val="0016158C"/>
    <w:rsid w:val="00161959"/>
    <w:rsid w:val="00162012"/>
    <w:rsid w:val="00162077"/>
    <w:rsid w:val="00162205"/>
    <w:rsid w:val="00162340"/>
    <w:rsid w:val="001625A1"/>
    <w:rsid w:val="0016266D"/>
    <w:rsid w:val="00162929"/>
    <w:rsid w:val="00162988"/>
    <w:rsid w:val="00163A31"/>
    <w:rsid w:val="00163AD4"/>
    <w:rsid w:val="00164887"/>
    <w:rsid w:val="00165995"/>
    <w:rsid w:val="00165BFB"/>
    <w:rsid w:val="0016601C"/>
    <w:rsid w:val="00166074"/>
    <w:rsid w:val="00166427"/>
    <w:rsid w:val="001665B7"/>
    <w:rsid w:val="001666E9"/>
    <w:rsid w:val="00166890"/>
    <w:rsid w:val="00166A10"/>
    <w:rsid w:val="00166D69"/>
    <w:rsid w:val="00166E18"/>
    <w:rsid w:val="00167BBD"/>
    <w:rsid w:val="0017075F"/>
    <w:rsid w:val="00170F3C"/>
    <w:rsid w:val="0017183A"/>
    <w:rsid w:val="00172747"/>
    <w:rsid w:val="00172AE3"/>
    <w:rsid w:val="00172BF7"/>
    <w:rsid w:val="00172C32"/>
    <w:rsid w:val="00172DA5"/>
    <w:rsid w:val="001733AF"/>
    <w:rsid w:val="00173940"/>
    <w:rsid w:val="0017491F"/>
    <w:rsid w:val="00174CE4"/>
    <w:rsid w:val="001751C0"/>
    <w:rsid w:val="00175205"/>
    <w:rsid w:val="001756F3"/>
    <w:rsid w:val="00176B37"/>
    <w:rsid w:val="00176E03"/>
    <w:rsid w:val="00177049"/>
    <w:rsid w:val="001801D5"/>
    <w:rsid w:val="0018067C"/>
    <w:rsid w:val="0018072D"/>
    <w:rsid w:val="00180DA5"/>
    <w:rsid w:val="00180E9B"/>
    <w:rsid w:val="00180F53"/>
    <w:rsid w:val="00182057"/>
    <w:rsid w:val="00182CA8"/>
    <w:rsid w:val="00182D3F"/>
    <w:rsid w:val="00183589"/>
    <w:rsid w:val="0018414D"/>
    <w:rsid w:val="0018420C"/>
    <w:rsid w:val="00184285"/>
    <w:rsid w:val="00184503"/>
    <w:rsid w:val="00184E5D"/>
    <w:rsid w:val="0018503E"/>
    <w:rsid w:val="00185719"/>
    <w:rsid w:val="00185E69"/>
    <w:rsid w:val="00186EA8"/>
    <w:rsid w:val="00187842"/>
    <w:rsid w:val="0019077E"/>
    <w:rsid w:val="00191F84"/>
    <w:rsid w:val="001922EE"/>
    <w:rsid w:val="0019355A"/>
    <w:rsid w:val="00194A9C"/>
    <w:rsid w:val="00194ADF"/>
    <w:rsid w:val="00194E81"/>
    <w:rsid w:val="00194F3B"/>
    <w:rsid w:val="00195A14"/>
    <w:rsid w:val="00195C96"/>
    <w:rsid w:val="00196516"/>
    <w:rsid w:val="0019701E"/>
    <w:rsid w:val="00197722"/>
    <w:rsid w:val="00197CCE"/>
    <w:rsid w:val="00197D21"/>
    <w:rsid w:val="001A0A15"/>
    <w:rsid w:val="001A0F15"/>
    <w:rsid w:val="001A1243"/>
    <w:rsid w:val="001A22F0"/>
    <w:rsid w:val="001A2C84"/>
    <w:rsid w:val="001A2E00"/>
    <w:rsid w:val="001A343D"/>
    <w:rsid w:val="001A3689"/>
    <w:rsid w:val="001A3D6D"/>
    <w:rsid w:val="001A4247"/>
    <w:rsid w:val="001A4575"/>
    <w:rsid w:val="001A46D2"/>
    <w:rsid w:val="001A5885"/>
    <w:rsid w:val="001A58ED"/>
    <w:rsid w:val="001A5BDE"/>
    <w:rsid w:val="001A6494"/>
    <w:rsid w:val="001A66FE"/>
    <w:rsid w:val="001A6A4D"/>
    <w:rsid w:val="001A6F1A"/>
    <w:rsid w:val="001A708C"/>
    <w:rsid w:val="001A72D6"/>
    <w:rsid w:val="001A739D"/>
    <w:rsid w:val="001A7A14"/>
    <w:rsid w:val="001A7CA3"/>
    <w:rsid w:val="001B0398"/>
    <w:rsid w:val="001B0442"/>
    <w:rsid w:val="001B06EF"/>
    <w:rsid w:val="001B0877"/>
    <w:rsid w:val="001B0B5E"/>
    <w:rsid w:val="001B1093"/>
    <w:rsid w:val="001B10DB"/>
    <w:rsid w:val="001B13FF"/>
    <w:rsid w:val="001B201E"/>
    <w:rsid w:val="001B212A"/>
    <w:rsid w:val="001B28D5"/>
    <w:rsid w:val="001B295A"/>
    <w:rsid w:val="001B2DD8"/>
    <w:rsid w:val="001B2FDD"/>
    <w:rsid w:val="001B3EC2"/>
    <w:rsid w:val="001B45B1"/>
    <w:rsid w:val="001B4741"/>
    <w:rsid w:val="001B4ECE"/>
    <w:rsid w:val="001B4EE7"/>
    <w:rsid w:val="001B5C5A"/>
    <w:rsid w:val="001B5E63"/>
    <w:rsid w:val="001B6057"/>
    <w:rsid w:val="001B6143"/>
    <w:rsid w:val="001B6BA6"/>
    <w:rsid w:val="001B7654"/>
    <w:rsid w:val="001B7B46"/>
    <w:rsid w:val="001C12E4"/>
    <w:rsid w:val="001C1980"/>
    <w:rsid w:val="001C24E6"/>
    <w:rsid w:val="001C2551"/>
    <w:rsid w:val="001C2C7B"/>
    <w:rsid w:val="001C2FE8"/>
    <w:rsid w:val="001C3BBB"/>
    <w:rsid w:val="001C4463"/>
    <w:rsid w:val="001C44A6"/>
    <w:rsid w:val="001C4C47"/>
    <w:rsid w:val="001C4CF0"/>
    <w:rsid w:val="001C4FFB"/>
    <w:rsid w:val="001C555B"/>
    <w:rsid w:val="001C5AD1"/>
    <w:rsid w:val="001C6938"/>
    <w:rsid w:val="001C700B"/>
    <w:rsid w:val="001C7147"/>
    <w:rsid w:val="001C74DC"/>
    <w:rsid w:val="001C79BA"/>
    <w:rsid w:val="001C7B83"/>
    <w:rsid w:val="001D005F"/>
    <w:rsid w:val="001D0119"/>
    <w:rsid w:val="001D0328"/>
    <w:rsid w:val="001D0B94"/>
    <w:rsid w:val="001D1A7E"/>
    <w:rsid w:val="001D2261"/>
    <w:rsid w:val="001D25A0"/>
    <w:rsid w:val="001D2B7F"/>
    <w:rsid w:val="001D35AD"/>
    <w:rsid w:val="001D3648"/>
    <w:rsid w:val="001D3A1D"/>
    <w:rsid w:val="001D3A81"/>
    <w:rsid w:val="001D3CC2"/>
    <w:rsid w:val="001D4674"/>
    <w:rsid w:val="001D494B"/>
    <w:rsid w:val="001D49A1"/>
    <w:rsid w:val="001D4B46"/>
    <w:rsid w:val="001D4CD7"/>
    <w:rsid w:val="001D50D4"/>
    <w:rsid w:val="001D568D"/>
    <w:rsid w:val="001D56E9"/>
    <w:rsid w:val="001D5DE0"/>
    <w:rsid w:val="001D6523"/>
    <w:rsid w:val="001D7361"/>
    <w:rsid w:val="001E019F"/>
    <w:rsid w:val="001E06DA"/>
    <w:rsid w:val="001E0BE1"/>
    <w:rsid w:val="001E1DF3"/>
    <w:rsid w:val="001E2352"/>
    <w:rsid w:val="001E3120"/>
    <w:rsid w:val="001E3581"/>
    <w:rsid w:val="001E47E2"/>
    <w:rsid w:val="001F0820"/>
    <w:rsid w:val="001F0D76"/>
    <w:rsid w:val="001F2301"/>
    <w:rsid w:val="001F2B86"/>
    <w:rsid w:val="001F2D49"/>
    <w:rsid w:val="001F38A7"/>
    <w:rsid w:val="001F423E"/>
    <w:rsid w:val="001F43F2"/>
    <w:rsid w:val="001F4515"/>
    <w:rsid w:val="001F47BF"/>
    <w:rsid w:val="001F4A53"/>
    <w:rsid w:val="001F4C15"/>
    <w:rsid w:val="001F5581"/>
    <w:rsid w:val="001F5C04"/>
    <w:rsid w:val="001F7F1F"/>
    <w:rsid w:val="002000F5"/>
    <w:rsid w:val="00200909"/>
    <w:rsid w:val="00200BCF"/>
    <w:rsid w:val="00200D4E"/>
    <w:rsid w:val="00201B23"/>
    <w:rsid w:val="00201C94"/>
    <w:rsid w:val="00201E6C"/>
    <w:rsid w:val="00202B23"/>
    <w:rsid w:val="002036A5"/>
    <w:rsid w:val="00203DCB"/>
    <w:rsid w:val="0020427D"/>
    <w:rsid w:val="002042AE"/>
    <w:rsid w:val="00204683"/>
    <w:rsid w:val="00204EA4"/>
    <w:rsid w:val="00205D3D"/>
    <w:rsid w:val="00206121"/>
    <w:rsid w:val="00206637"/>
    <w:rsid w:val="002071E3"/>
    <w:rsid w:val="00207BF8"/>
    <w:rsid w:val="00207F49"/>
    <w:rsid w:val="00210F51"/>
    <w:rsid w:val="002123F9"/>
    <w:rsid w:val="00212793"/>
    <w:rsid w:val="00212A80"/>
    <w:rsid w:val="00213681"/>
    <w:rsid w:val="0021377D"/>
    <w:rsid w:val="002137D4"/>
    <w:rsid w:val="00213BF3"/>
    <w:rsid w:val="0021404F"/>
    <w:rsid w:val="002140F4"/>
    <w:rsid w:val="002149A5"/>
    <w:rsid w:val="002149FD"/>
    <w:rsid w:val="00214AF5"/>
    <w:rsid w:val="00214E10"/>
    <w:rsid w:val="00215673"/>
    <w:rsid w:val="00215946"/>
    <w:rsid w:val="00215ACB"/>
    <w:rsid w:val="002160F3"/>
    <w:rsid w:val="0021689F"/>
    <w:rsid w:val="00216CCD"/>
    <w:rsid w:val="0022023B"/>
    <w:rsid w:val="002209A5"/>
    <w:rsid w:val="00220F10"/>
    <w:rsid w:val="002211D9"/>
    <w:rsid w:val="00221A22"/>
    <w:rsid w:val="002224BE"/>
    <w:rsid w:val="00222505"/>
    <w:rsid w:val="002228F9"/>
    <w:rsid w:val="0022323D"/>
    <w:rsid w:val="00223931"/>
    <w:rsid w:val="00223AC7"/>
    <w:rsid w:val="00223BC9"/>
    <w:rsid w:val="002244A2"/>
    <w:rsid w:val="00224D18"/>
    <w:rsid w:val="00225465"/>
    <w:rsid w:val="00225F89"/>
    <w:rsid w:val="00226ECF"/>
    <w:rsid w:val="002270DE"/>
    <w:rsid w:val="002275D9"/>
    <w:rsid w:val="0022782A"/>
    <w:rsid w:val="0022791C"/>
    <w:rsid w:val="00227FDE"/>
    <w:rsid w:val="002305BF"/>
    <w:rsid w:val="0023074A"/>
    <w:rsid w:val="002311A6"/>
    <w:rsid w:val="002314EF"/>
    <w:rsid w:val="00231A19"/>
    <w:rsid w:val="00231CB0"/>
    <w:rsid w:val="00231D50"/>
    <w:rsid w:val="00231FA7"/>
    <w:rsid w:val="00232AFB"/>
    <w:rsid w:val="00233DAD"/>
    <w:rsid w:val="00234205"/>
    <w:rsid w:val="00234272"/>
    <w:rsid w:val="0023462C"/>
    <w:rsid w:val="0023533A"/>
    <w:rsid w:val="00235ECF"/>
    <w:rsid w:val="002362D0"/>
    <w:rsid w:val="00236669"/>
    <w:rsid w:val="00236D78"/>
    <w:rsid w:val="00236E30"/>
    <w:rsid w:val="00237896"/>
    <w:rsid w:val="00237F33"/>
    <w:rsid w:val="00240623"/>
    <w:rsid w:val="0024068F"/>
    <w:rsid w:val="0024121E"/>
    <w:rsid w:val="002414B5"/>
    <w:rsid w:val="00241F64"/>
    <w:rsid w:val="00242428"/>
    <w:rsid w:val="00242E6C"/>
    <w:rsid w:val="0024347B"/>
    <w:rsid w:val="00243637"/>
    <w:rsid w:val="0024377A"/>
    <w:rsid w:val="00243821"/>
    <w:rsid w:val="002439EA"/>
    <w:rsid w:val="00243C4D"/>
    <w:rsid w:val="00244115"/>
    <w:rsid w:val="00244CC2"/>
    <w:rsid w:val="0024555C"/>
    <w:rsid w:val="00245AFE"/>
    <w:rsid w:val="00246155"/>
    <w:rsid w:val="00246348"/>
    <w:rsid w:val="0024661E"/>
    <w:rsid w:val="002471B5"/>
    <w:rsid w:val="002473A4"/>
    <w:rsid w:val="00247E01"/>
    <w:rsid w:val="00250669"/>
    <w:rsid w:val="00250D93"/>
    <w:rsid w:val="002518A3"/>
    <w:rsid w:val="00252521"/>
    <w:rsid w:val="002527C6"/>
    <w:rsid w:val="002531E3"/>
    <w:rsid w:val="00254C6D"/>
    <w:rsid w:val="00254E4F"/>
    <w:rsid w:val="002558EA"/>
    <w:rsid w:val="00255981"/>
    <w:rsid w:val="00255FAD"/>
    <w:rsid w:val="00256E7E"/>
    <w:rsid w:val="002572F0"/>
    <w:rsid w:val="0025769E"/>
    <w:rsid w:val="002604BD"/>
    <w:rsid w:val="0026120E"/>
    <w:rsid w:val="002613A5"/>
    <w:rsid w:val="00261BD9"/>
    <w:rsid w:val="002622D6"/>
    <w:rsid w:val="00262933"/>
    <w:rsid w:val="00262B72"/>
    <w:rsid w:val="00262F72"/>
    <w:rsid w:val="002641E1"/>
    <w:rsid w:val="002649FD"/>
    <w:rsid w:val="0026531D"/>
    <w:rsid w:val="00265344"/>
    <w:rsid w:val="00265D11"/>
    <w:rsid w:val="00265EF6"/>
    <w:rsid w:val="00266117"/>
    <w:rsid w:val="002668F8"/>
    <w:rsid w:val="0026735B"/>
    <w:rsid w:val="002704C9"/>
    <w:rsid w:val="0027116F"/>
    <w:rsid w:val="002718EA"/>
    <w:rsid w:val="00271924"/>
    <w:rsid w:val="00271991"/>
    <w:rsid w:val="002735AC"/>
    <w:rsid w:val="0027397F"/>
    <w:rsid w:val="00273B1D"/>
    <w:rsid w:val="00274A55"/>
    <w:rsid w:val="00274B4B"/>
    <w:rsid w:val="00274E3C"/>
    <w:rsid w:val="00274FB1"/>
    <w:rsid w:val="0027532B"/>
    <w:rsid w:val="002753B1"/>
    <w:rsid w:val="00276424"/>
    <w:rsid w:val="00276451"/>
    <w:rsid w:val="0027646E"/>
    <w:rsid w:val="00276E6F"/>
    <w:rsid w:val="002805C8"/>
    <w:rsid w:val="002810D9"/>
    <w:rsid w:val="002814C1"/>
    <w:rsid w:val="002819EF"/>
    <w:rsid w:val="00281B3B"/>
    <w:rsid w:val="00282136"/>
    <w:rsid w:val="00282242"/>
    <w:rsid w:val="0028367C"/>
    <w:rsid w:val="00283EDE"/>
    <w:rsid w:val="00284A30"/>
    <w:rsid w:val="00285DA9"/>
    <w:rsid w:val="00285E8B"/>
    <w:rsid w:val="00286417"/>
    <w:rsid w:val="00286AF0"/>
    <w:rsid w:val="00287A2E"/>
    <w:rsid w:val="002904FA"/>
    <w:rsid w:val="002909E8"/>
    <w:rsid w:val="00290AA2"/>
    <w:rsid w:val="002914BD"/>
    <w:rsid w:val="002921E4"/>
    <w:rsid w:val="00292B77"/>
    <w:rsid w:val="00293324"/>
    <w:rsid w:val="0029392B"/>
    <w:rsid w:val="00293D24"/>
    <w:rsid w:val="00294065"/>
    <w:rsid w:val="00294313"/>
    <w:rsid w:val="00294C58"/>
    <w:rsid w:val="00294E08"/>
    <w:rsid w:val="002950EC"/>
    <w:rsid w:val="00295456"/>
    <w:rsid w:val="002956D4"/>
    <w:rsid w:val="00295815"/>
    <w:rsid w:val="0029671C"/>
    <w:rsid w:val="00296899"/>
    <w:rsid w:val="00297116"/>
    <w:rsid w:val="00297284"/>
    <w:rsid w:val="00297376"/>
    <w:rsid w:val="00297688"/>
    <w:rsid w:val="00297F35"/>
    <w:rsid w:val="002A17D9"/>
    <w:rsid w:val="002A208A"/>
    <w:rsid w:val="002A3B9A"/>
    <w:rsid w:val="002A4361"/>
    <w:rsid w:val="002A44CA"/>
    <w:rsid w:val="002A4A03"/>
    <w:rsid w:val="002A52A2"/>
    <w:rsid w:val="002A62B0"/>
    <w:rsid w:val="002A6343"/>
    <w:rsid w:val="002A67F2"/>
    <w:rsid w:val="002A6C32"/>
    <w:rsid w:val="002A728B"/>
    <w:rsid w:val="002A799A"/>
    <w:rsid w:val="002A7C7A"/>
    <w:rsid w:val="002B020D"/>
    <w:rsid w:val="002B04AC"/>
    <w:rsid w:val="002B058F"/>
    <w:rsid w:val="002B06D6"/>
    <w:rsid w:val="002B17B8"/>
    <w:rsid w:val="002B190B"/>
    <w:rsid w:val="002B1A07"/>
    <w:rsid w:val="002B1E99"/>
    <w:rsid w:val="002B2446"/>
    <w:rsid w:val="002B28C3"/>
    <w:rsid w:val="002B2BBC"/>
    <w:rsid w:val="002B2D0A"/>
    <w:rsid w:val="002B3206"/>
    <w:rsid w:val="002B3215"/>
    <w:rsid w:val="002B3306"/>
    <w:rsid w:val="002B37EA"/>
    <w:rsid w:val="002B3A8D"/>
    <w:rsid w:val="002B3ACC"/>
    <w:rsid w:val="002B4547"/>
    <w:rsid w:val="002B562E"/>
    <w:rsid w:val="002B5BBD"/>
    <w:rsid w:val="002B6160"/>
    <w:rsid w:val="002B6218"/>
    <w:rsid w:val="002B6C8A"/>
    <w:rsid w:val="002B7A6D"/>
    <w:rsid w:val="002C00C4"/>
    <w:rsid w:val="002C0955"/>
    <w:rsid w:val="002C0C50"/>
    <w:rsid w:val="002C0CD6"/>
    <w:rsid w:val="002C0D98"/>
    <w:rsid w:val="002C14E6"/>
    <w:rsid w:val="002C1B5F"/>
    <w:rsid w:val="002C1D9B"/>
    <w:rsid w:val="002C1EA8"/>
    <w:rsid w:val="002C252E"/>
    <w:rsid w:val="002C2BBA"/>
    <w:rsid w:val="002C39A1"/>
    <w:rsid w:val="002C5102"/>
    <w:rsid w:val="002C546E"/>
    <w:rsid w:val="002C5989"/>
    <w:rsid w:val="002C5C0C"/>
    <w:rsid w:val="002C6F3E"/>
    <w:rsid w:val="002D051C"/>
    <w:rsid w:val="002D0AA2"/>
    <w:rsid w:val="002D0B1A"/>
    <w:rsid w:val="002D1377"/>
    <w:rsid w:val="002D1527"/>
    <w:rsid w:val="002D156A"/>
    <w:rsid w:val="002D157A"/>
    <w:rsid w:val="002D1A2E"/>
    <w:rsid w:val="002D2632"/>
    <w:rsid w:val="002D3189"/>
    <w:rsid w:val="002D3AC5"/>
    <w:rsid w:val="002D42E9"/>
    <w:rsid w:val="002D4A3F"/>
    <w:rsid w:val="002D531E"/>
    <w:rsid w:val="002D5717"/>
    <w:rsid w:val="002D59C3"/>
    <w:rsid w:val="002D70C9"/>
    <w:rsid w:val="002D7728"/>
    <w:rsid w:val="002D7AF2"/>
    <w:rsid w:val="002D7FB6"/>
    <w:rsid w:val="002E035F"/>
    <w:rsid w:val="002E1234"/>
    <w:rsid w:val="002E124C"/>
    <w:rsid w:val="002E13DF"/>
    <w:rsid w:val="002E1606"/>
    <w:rsid w:val="002E2416"/>
    <w:rsid w:val="002E2560"/>
    <w:rsid w:val="002E292C"/>
    <w:rsid w:val="002E2BB3"/>
    <w:rsid w:val="002E4836"/>
    <w:rsid w:val="002E4C29"/>
    <w:rsid w:val="002E597B"/>
    <w:rsid w:val="002E5D21"/>
    <w:rsid w:val="002E625A"/>
    <w:rsid w:val="002E62D4"/>
    <w:rsid w:val="002E6804"/>
    <w:rsid w:val="002E7442"/>
    <w:rsid w:val="002E74AD"/>
    <w:rsid w:val="002E7F89"/>
    <w:rsid w:val="002F0492"/>
    <w:rsid w:val="002F0C9E"/>
    <w:rsid w:val="002F0CC6"/>
    <w:rsid w:val="002F1475"/>
    <w:rsid w:val="002F1A77"/>
    <w:rsid w:val="002F1E43"/>
    <w:rsid w:val="002F2291"/>
    <w:rsid w:val="002F28F9"/>
    <w:rsid w:val="002F334E"/>
    <w:rsid w:val="002F3B8E"/>
    <w:rsid w:val="002F474F"/>
    <w:rsid w:val="002F4E68"/>
    <w:rsid w:val="002F4FB4"/>
    <w:rsid w:val="002F5A61"/>
    <w:rsid w:val="002F5F84"/>
    <w:rsid w:val="002F68A4"/>
    <w:rsid w:val="002F68D7"/>
    <w:rsid w:val="002F6B06"/>
    <w:rsid w:val="002F6D6F"/>
    <w:rsid w:val="002F7020"/>
    <w:rsid w:val="002F74F5"/>
    <w:rsid w:val="002F77D1"/>
    <w:rsid w:val="00300360"/>
    <w:rsid w:val="0030058B"/>
    <w:rsid w:val="00300B81"/>
    <w:rsid w:val="0030108D"/>
    <w:rsid w:val="003012D9"/>
    <w:rsid w:val="003018F0"/>
    <w:rsid w:val="00302248"/>
    <w:rsid w:val="00302577"/>
    <w:rsid w:val="00302BFD"/>
    <w:rsid w:val="003032C3"/>
    <w:rsid w:val="0030360D"/>
    <w:rsid w:val="00303B36"/>
    <w:rsid w:val="00303EFF"/>
    <w:rsid w:val="003040FC"/>
    <w:rsid w:val="0030411A"/>
    <w:rsid w:val="003042FB"/>
    <w:rsid w:val="003043F2"/>
    <w:rsid w:val="003048D6"/>
    <w:rsid w:val="003049BD"/>
    <w:rsid w:val="00304DA3"/>
    <w:rsid w:val="00304F46"/>
    <w:rsid w:val="00305196"/>
    <w:rsid w:val="00305852"/>
    <w:rsid w:val="00305E53"/>
    <w:rsid w:val="00305F0C"/>
    <w:rsid w:val="003062CA"/>
    <w:rsid w:val="00306719"/>
    <w:rsid w:val="00306ACC"/>
    <w:rsid w:val="00306F08"/>
    <w:rsid w:val="0030734D"/>
    <w:rsid w:val="003112FD"/>
    <w:rsid w:val="00311887"/>
    <w:rsid w:val="003119E9"/>
    <w:rsid w:val="00312097"/>
    <w:rsid w:val="00312133"/>
    <w:rsid w:val="00312A0A"/>
    <w:rsid w:val="003141E8"/>
    <w:rsid w:val="0031425E"/>
    <w:rsid w:val="003142D8"/>
    <w:rsid w:val="0031491E"/>
    <w:rsid w:val="00314B03"/>
    <w:rsid w:val="0031500A"/>
    <w:rsid w:val="003157E1"/>
    <w:rsid w:val="00315D93"/>
    <w:rsid w:val="00317590"/>
    <w:rsid w:val="00317693"/>
    <w:rsid w:val="003178D1"/>
    <w:rsid w:val="00317C81"/>
    <w:rsid w:val="00320602"/>
    <w:rsid w:val="00320769"/>
    <w:rsid w:val="00320D0B"/>
    <w:rsid w:val="003212C6"/>
    <w:rsid w:val="003213BD"/>
    <w:rsid w:val="0032162A"/>
    <w:rsid w:val="0032177D"/>
    <w:rsid w:val="00321E19"/>
    <w:rsid w:val="00322870"/>
    <w:rsid w:val="00322DAA"/>
    <w:rsid w:val="00323859"/>
    <w:rsid w:val="00323E6F"/>
    <w:rsid w:val="00324700"/>
    <w:rsid w:val="003254AE"/>
    <w:rsid w:val="00325757"/>
    <w:rsid w:val="00325779"/>
    <w:rsid w:val="00325928"/>
    <w:rsid w:val="003259A5"/>
    <w:rsid w:val="0032618F"/>
    <w:rsid w:val="00326744"/>
    <w:rsid w:val="003268C6"/>
    <w:rsid w:val="00326A2E"/>
    <w:rsid w:val="00326FD0"/>
    <w:rsid w:val="00327384"/>
    <w:rsid w:val="0032738B"/>
    <w:rsid w:val="00327535"/>
    <w:rsid w:val="00327B7A"/>
    <w:rsid w:val="00327B8E"/>
    <w:rsid w:val="003300BB"/>
    <w:rsid w:val="0033025C"/>
    <w:rsid w:val="00330687"/>
    <w:rsid w:val="0033152B"/>
    <w:rsid w:val="003320EF"/>
    <w:rsid w:val="00332132"/>
    <w:rsid w:val="0033268B"/>
    <w:rsid w:val="00332781"/>
    <w:rsid w:val="00333205"/>
    <w:rsid w:val="00333476"/>
    <w:rsid w:val="00333594"/>
    <w:rsid w:val="00334824"/>
    <w:rsid w:val="0033513D"/>
    <w:rsid w:val="0033617F"/>
    <w:rsid w:val="003368CB"/>
    <w:rsid w:val="003378CD"/>
    <w:rsid w:val="00340341"/>
    <w:rsid w:val="003414BD"/>
    <w:rsid w:val="00341E02"/>
    <w:rsid w:val="003428A4"/>
    <w:rsid w:val="0034301D"/>
    <w:rsid w:val="003434D4"/>
    <w:rsid w:val="00343744"/>
    <w:rsid w:val="00343849"/>
    <w:rsid w:val="0034492D"/>
    <w:rsid w:val="00345457"/>
    <w:rsid w:val="003458DC"/>
    <w:rsid w:val="003461F1"/>
    <w:rsid w:val="00346B31"/>
    <w:rsid w:val="00346CC7"/>
    <w:rsid w:val="00346D1C"/>
    <w:rsid w:val="00347EFB"/>
    <w:rsid w:val="00347FD8"/>
    <w:rsid w:val="00351232"/>
    <w:rsid w:val="003514AE"/>
    <w:rsid w:val="00351A5E"/>
    <w:rsid w:val="00351DF1"/>
    <w:rsid w:val="00352244"/>
    <w:rsid w:val="00352857"/>
    <w:rsid w:val="003533B4"/>
    <w:rsid w:val="003538A2"/>
    <w:rsid w:val="00353A53"/>
    <w:rsid w:val="00353A7F"/>
    <w:rsid w:val="00353E04"/>
    <w:rsid w:val="003545F4"/>
    <w:rsid w:val="003548E0"/>
    <w:rsid w:val="00354AD4"/>
    <w:rsid w:val="00354DA7"/>
    <w:rsid w:val="0035517F"/>
    <w:rsid w:val="003552B6"/>
    <w:rsid w:val="003552C8"/>
    <w:rsid w:val="003553FA"/>
    <w:rsid w:val="0035580A"/>
    <w:rsid w:val="00355899"/>
    <w:rsid w:val="00355A89"/>
    <w:rsid w:val="00355E6D"/>
    <w:rsid w:val="003562F6"/>
    <w:rsid w:val="0035694F"/>
    <w:rsid w:val="00357099"/>
    <w:rsid w:val="003573BF"/>
    <w:rsid w:val="00357534"/>
    <w:rsid w:val="003579FE"/>
    <w:rsid w:val="003606CD"/>
    <w:rsid w:val="0036098B"/>
    <w:rsid w:val="0036129C"/>
    <w:rsid w:val="0036255F"/>
    <w:rsid w:val="00362E0E"/>
    <w:rsid w:val="00363131"/>
    <w:rsid w:val="00363343"/>
    <w:rsid w:val="0036349F"/>
    <w:rsid w:val="00364BC9"/>
    <w:rsid w:val="00364BDE"/>
    <w:rsid w:val="003659AB"/>
    <w:rsid w:val="00365CB1"/>
    <w:rsid w:val="00365D04"/>
    <w:rsid w:val="00366204"/>
    <w:rsid w:val="0036651C"/>
    <w:rsid w:val="00366F43"/>
    <w:rsid w:val="003674D4"/>
    <w:rsid w:val="00367BF8"/>
    <w:rsid w:val="003700A2"/>
    <w:rsid w:val="003700DC"/>
    <w:rsid w:val="0037044A"/>
    <w:rsid w:val="00370A72"/>
    <w:rsid w:val="00370C3F"/>
    <w:rsid w:val="00371D3F"/>
    <w:rsid w:val="0037235B"/>
    <w:rsid w:val="003725C3"/>
    <w:rsid w:val="003725E8"/>
    <w:rsid w:val="00372B5B"/>
    <w:rsid w:val="00372E25"/>
    <w:rsid w:val="00372E91"/>
    <w:rsid w:val="00373007"/>
    <w:rsid w:val="003731D9"/>
    <w:rsid w:val="00373435"/>
    <w:rsid w:val="00373D96"/>
    <w:rsid w:val="00374B87"/>
    <w:rsid w:val="00374C36"/>
    <w:rsid w:val="00375101"/>
    <w:rsid w:val="00375CD4"/>
    <w:rsid w:val="00376CEE"/>
    <w:rsid w:val="00376EF3"/>
    <w:rsid w:val="00376F4F"/>
    <w:rsid w:val="00377543"/>
    <w:rsid w:val="00377586"/>
    <w:rsid w:val="0038027C"/>
    <w:rsid w:val="0038050F"/>
    <w:rsid w:val="0038087B"/>
    <w:rsid w:val="003812CB"/>
    <w:rsid w:val="0038172C"/>
    <w:rsid w:val="00381EBE"/>
    <w:rsid w:val="00381F2F"/>
    <w:rsid w:val="003822F6"/>
    <w:rsid w:val="003825E3"/>
    <w:rsid w:val="003833C3"/>
    <w:rsid w:val="00383682"/>
    <w:rsid w:val="00383971"/>
    <w:rsid w:val="003851D3"/>
    <w:rsid w:val="00385A90"/>
    <w:rsid w:val="00385D20"/>
    <w:rsid w:val="00385EF7"/>
    <w:rsid w:val="003860C0"/>
    <w:rsid w:val="00386132"/>
    <w:rsid w:val="0038615F"/>
    <w:rsid w:val="003861A7"/>
    <w:rsid w:val="00386527"/>
    <w:rsid w:val="003876D0"/>
    <w:rsid w:val="00387832"/>
    <w:rsid w:val="00387C7C"/>
    <w:rsid w:val="0039013A"/>
    <w:rsid w:val="00390BB6"/>
    <w:rsid w:val="00390FE0"/>
    <w:rsid w:val="0039146E"/>
    <w:rsid w:val="003916D1"/>
    <w:rsid w:val="00391739"/>
    <w:rsid w:val="00391B9D"/>
    <w:rsid w:val="0039201B"/>
    <w:rsid w:val="0039207B"/>
    <w:rsid w:val="003924E8"/>
    <w:rsid w:val="0039260B"/>
    <w:rsid w:val="00392C6C"/>
    <w:rsid w:val="00392E08"/>
    <w:rsid w:val="00393D6E"/>
    <w:rsid w:val="00393DC1"/>
    <w:rsid w:val="00394AA6"/>
    <w:rsid w:val="00394BDF"/>
    <w:rsid w:val="003958F1"/>
    <w:rsid w:val="003962BB"/>
    <w:rsid w:val="003967D8"/>
    <w:rsid w:val="00396993"/>
    <w:rsid w:val="00397A96"/>
    <w:rsid w:val="003A091D"/>
    <w:rsid w:val="003A09CD"/>
    <w:rsid w:val="003A0DE4"/>
    <w:rsid w:val="003A1785"/>
    <w:rsid w:val="003A2A16"/>
    <w:rsid w:val="003A42B5"/>
    <w:rsid w:val="003A46D6"/>
    <w:rsid w:val="003A552A"/>
    <w:rsid w:val="003A5B48"/>
    <w:rsid w:val="003A5F5A"/>
    <w:rsid w:val="003A6E10"/>
    <w:rsid w:val="003A7191"/>
    <w:rsid w:val="003A7F47"/>
    <w:rsid w:val="003B0536"/>
    <w:rsid w:val="003B0A71"/>
    <w:rsid w:val="003B0B14"/>
    <w:rsid w:val="003B0FBF"/>
    <w:rsid w:val="003B1476"/>
    <w:rsid w:val="003B2BCF"/>
    <w:rsid w:val="003B2DC5"/>
    <w:rsid w:val="003B3E5C"/>
    <w:rsid w:val="003B3FC1"/>
    <w:rsid w:val="003B4689"/>
    <w:rsid w:val="003B4E66"/>
    <w:rsid w:val="003B5595"/>
    <w:rsid w:val="003B6294"/>
    <w:rsid w:val="003B7A23"/>
    <w:rsid w:val="003B7FE8"/>
    <w:rsid w:val="003C078A"/>
    <w:rsid w:val="003C12DF"/>
    <w:rsid w:val="003C16F3"/>
    <w:rsid w:val="003C1886"/>
    <w:rsid w:val="003C2318"/>
    <w:rsid w:val="003C23DF"/>
    <w:rsid w:val="003C23E1"/>
    <w:rsid w:val="003C290E"/>
    <w:rsid w:val="003C4B25"/>
    <w:rsid w:val="003C532E"/>
    <w:rsid w:val="003C548A"/>
    <w:rsid w:val="003C59DE"/>
    <w:rsid w:val="003C6870"/>
    <w:rsid w:val="003C71C7"/>
    <w:rsid w:val="003C7A67"/>
    <w:rsid w:val="003C7E5D"/>
    <w:rsid w:val="003D0515"/>
    <w:rsid w:val="003D058C"/>
    <w:rsid w:val="003D0650"/>
    <w:rsid w:val="003D0EF4"/>
    <w:rsid w:val="003D1808"/>
    <w:rsid w:val="003D23BD"/>
    <w:rsid w:val="003D2808"/>
    <w:rsid w:val="003D28E1"/>
    <w:rsid w:val="003D2D86"/>
    <w:rsid w:val="003D399F"/>
    <w:rsid w:val="003D41EA"/>
    <w:rsid w:val="003D42B6"/>
    <w:rsid w:val="003D4966"/>
    <w:rsid w:val="003D51F2"/>
    <w:rsid w:val="003D65BB"/>
    <w:rsid w:val="003D6B33"/>
    <w:rsid w:val="003D721F"/>
    <w:rsid w:val="003D7678"/>
    <w:rsid w:val="003D7B96"/>
    <w:rsid w:val="003E124A"/>
    <w:rsid w:val="003E398B"/>
    <w:rsid w:val="003E3E32"/>
    <w:rsid w:val="003E446C"/>
    <w:rsid w:val="003E499D"/>
    <w:rsid w:val="003E4D1D"/>
    <w:rsid w:val="003E5106"/>
    <w:rsid w:val="003E5125"/>
    <w:rsid w:val="003E5424"/>
    <w:rsid w:val="003E5725"/>
    <w:rsid w:val="003E5B12"/>
    <w:rsid w:val="003E5B5E"/>
    <w:rsid w:val="003E699C"/>
    <w:rsid w:val="003E6F33"/>
    <w:rsid w:val="003E7A8B"/>
    <w:rsid w:val="003E7DD8"/>
    <w:rsid w:val="003F01D7"/>
    <w:rsid w:val="003F045A"/>
    <w:rsid w:val="003F0AD6"/>
    <w:rsid w:val="003F10F7"/>
    <w:rsid w:val="003F1426"/>
    <w:rsid w:val="003F1B42"/>
    <w:rsid w:val="003F1F55"/>
    <w:rsid w:val="003F2269"/>
    <w:rsid w:val="003F2311"/>
    <w:rsid w:val="003F244D"/>
    <w:rsid w:val="003F2CD8"/>
    <w:rsid w:val="003F2EC2"/>
    <w:rsid w:val="003F311E"/>
    <w:rsid w:val="003F337D"/>
    <w:rsid w:val="003F396A"/>
    <w:rsid w:val="003F3F8B"/>
    <w:rsid w:val="003F4D6D"/>
    <w:rsid w:val="003F4E6F"/>
    <w:rsid w:val="003F514B"/>
    <w:rsid w:val="003F514E"/>
    <w:rsid w:val="003F5895"/>
    <w:rsid w:val="003F685E"/>
    <w:rsid w:val="003F75E3"/>
    <w:rsid w:val="004021E8"/>
    <w:rsid w:val="00403736"/>
    <w:rsid w:val="00404533"/>
    <w:rsid w:val="00404DCC"/>
    <w:rsid w:val="00404F97"/>
    <w:rsid w:val="00404FEF"/>
    <w:rsid w:val="0040554A"/>
    <w:rsid w:val="00405A00"/>
    <w:rsid w:val="00405E3D"/>
    <w:rsid w:val="00405F9D"/>
    <w:rsid w:val="00406915"/>
    <w:rsid w:val="0040755E"/>
    <w:rsid w:val="00407796"/>
    <w:rsid w:val="00407F28"/>
    <w:rsid w:val="0041034E"/>
    <w:rsid w:val="0041040E"/>
    <w:rsid w:val="00410450"/>
    <w:rsid w:val="0041106D"/>
    <w:rsid w:val="004114E1"/>
    <w:rsid w:val="0041159C"/>
    <w:rsid w:val="00411A3D"/>
    <w:rsid w:val="004120EA"/>
    <w:rsid w:val="00412AC8"/>
    <w:rsid w:val="00412C0A"/>
    <w:rsid w:val="00413DDC"/>
    <w:rsid w:val="00414418"/>
    <w:rsid w:val="00414709"/>
    <w:rsid w:val="00414A19"/>
    <w:rsid w:val="00415CF6"/>
    <w:rsid w:val="004161F6"/>
    <w:rsid w:val="00416210"/>
    <w:rsid w:val="00416417"/>
    <w:rsid w:val="00416D0C"/>
    <w:rsid w:val="00417676"/>
    <w:rsid w:val="00417CBD"/>
    <w:rsid w:val="00417D48"/>
    <w:rsid w:val="0042101C"/>
    <w:rsid w:val="00421AE2"/>
    <w:rsid w:val="00421B19"/>
    <w:rsid w:val="00421EBE"/>
    <w:rsid w:val="00422535"/>
    <w:rsid w:val="00423585"/>
    <w:rsid w:val="004238BA"/>
    <w:rsid w:val="0042393D"/>
    <w:rsid w:val="00424229"/>
    <w:rsid w:val="0042532B"/>
    <w:rsid w:val="004258FA"/>
    <w:rsid w:val="0042591F"/>
    <w:rsid w:val="004273FC"/>
    <w:rsid w:val="00427DA5"/>
    <w:rsid w:val="0043085E"/>
    <w:rsid w:val="0043086E"/>
    <w:rsid w:val="00431162"/>
    <w:rsid w:val="004324FC"/>
    <w:rsid w:val="00432F88"/>
    <w:rsid w:val="00433161"/>
    <w:rsid w:val="00433956"/>
    <w:rsid w:val="00434B50"/>
    <w:rsid w:val="00434B64"/>
    <w:rsid w:val="00435D9F"/>
    <w:rsid w:val="00436103"/>
    <w:rsid w:val="00436334"/>
    <w:rsid w:val="00436346"/>
    <w:rsid w:val="004365E8"/>
    <w:rsid w:val="00437122"/>
    <w:rsid w:val="004377CB"/>
    <w:rsid w:val="00440538"/>
    <w:rsid w:val="0044064D"/>
    <w:rsid w:val="004407B6"/>
    <w:rsid w:val="0044102E"/>
    <w:rsid w:val="00441448"/>
    <w:rsid w:val="0044159D"/>
    <w:rsid w:val="00441FE6"/>
    <w:rsid w:val="00442017"/>
    <w:rsid w:val="00442A5F"/>
    <w:rsid w:val="00442AEA"/>
    <w:rsid w:val="0044330C"/>
    <w:rsid w:val="0044417B"/>
    <w:rsid w:val="00444B8A"/>
    <w:rsid w:val="00444D27"/>
    <w:rsid w:val="004458E4"/>
    <w:rsid w:val="00446E5E"/>
    <w:rsid w:val="004473D9"/>
    <w:rsid w:val="00447ACF"/>
    <w:rsid w:val="00447B4B"/>
    <w:rsid w:val="004501AF"/>
    <w:rsid w:val="004510D6"/>
    <w:rsid w:val="00451485"/>
    <w:rsid w:val="004518F6"/>
    <w:rsid w:val="004521C4"/>
    <w:rsid w:val="0045254C"/>
    <w:rsid w:val="00452DD4"/>
    <w:rsid w:val="004532CA"/>
    <w:rsid w:val="00455994"/>
    <w:rsid w:val="004559F1"/>
    <w:rsid w:val="00455A7F"/>
    <w:rsid w:val="004569BD"/>
    <w:rsid w:val="00456BA3"/>
    <w:rsid w:val="00456F6E"/>
    <w:rsid w:val="00457671"/>
    <w:rsid w:val="0046085E"/>
    <w:rsid w:val="00460D6B"/>
    <w:rsid w:val="0046108D"/>
    <w:rsid w:val="00462D54"/>
    <w:rsid w:val="0046332D"/>
    <w:rsid w:val="00463ED7"/>
    <w:rsid w:val="00464A02"/>
    <w:rsid w:val="00464F7F"/>
    <w:rsid w:val="004652AA"/>
    <w:rsid w:val="00465589"/>
    <w:rsid w:val="0046602C"/>
    <w:rsid w:val="004667B7"/>
    <w:rsid w:val="00466E7B"/>
    <w:rsid w:val="00466F55"/>
    <w:rsid w:val="0046798C"/>
    <w:rsid w:val="004679C5"/>
    <w:rsid w:val="004719E9"/>
    <w:rsid w:val="00471BD9"/>
    <w:rsid w:val="00472399"/>
    <w:rsid w:val="00472744"/>
    <w:rsid w:val="00472E02"/>
    <w:rsid w:val="004731F5"/>
    <w:rsid w:val="004734D2"/>
    <w:rsid w:val="00474188"/>
    <w:rsid w:val="00474D73"/>
    <w:rsid w:val="00474DB1"/>
    <w:rsid w:val="00474F62"/>
    <w:rsid w:val="00475238"/>
    <w:rsid w:val="00475817"/>
    <w:rsid w:val="00475B1D"/>
    <w:rsid w:val="00475B61"/>
    <w:rsid w:val="004764E1"/>
    <w:rsid w:val="00476D81"/>
    <w:rsid w:val="00477430"/>
    <w:rsid w:val="004776F4"/>
    <w:rsid w:val="00477C4F"/>
    <w:rsid w:val="00477E37"/>
    <w:rsid w:val="004801A8"/>
    <w:rsid w:val="004808DF"/>
    <w:rsid w:val="0048121F"/>
    <w:rsid w:val="004816F8"/>
    <w:rsid w:val="0048271F"/>
    <w:rsid w:val="004838DD"/>
    <w:rsid w:val="00483B27"/>
    <w:rsid w:val="00484408"/>
    <w:rsid w:val="00484533"/>
    <w:rsid w:val="00484E0C"/>
    <w:rsid w:val="0048522B"/>
    <w:rsid w:val="00485567"/>
    <w:rsid w:val="00485699"/>
    <w:rsid w:val="0048582F"/>
    <w:rsid w:val="00486317"/>
    <w:rsid w:val="00486C19"/>
    <w:rsid w:val="00486DD4"/>
    <w:rsid w:val="004870D0"/>
    <w:rsid w:val="0048789C"/>
    <w:rsid w:val="00490423"/>
    <w:rsid w:val="00490730"/>
    <w:rsid w:val="004917BF"/>
    <w:rsid w:val="00491CAF"/>
    <w:rsid w:val="00492238"/>
    <w:rsid w:val="004924F6"/>
    <w:rsid w:val="00492A21"/>
    <w:rsid w:val="004932C3"/>
    <w:rsid w:val="00493621"/>
    <w:rsid w:val="00493DA3"/>
    <w:rsid w:val="00494092"/>
    <w:rsid w:val="00494516"/>
    <w:rsid w:val="00494BF9"/>
    <w:rsid w:val="00494D97"/>
    <w:rsid w:val="00495A07"/>
    <w:rsid w:val="00495B84"/>
    <w:rsid w:val="00495D2C"/>
    <w:rsid w:val="004967A6"/>
    <w:rsid w:val="00497BB8"/>
    <w:rsid w:val="00497E33"/>
    <w:rsid w:val="004A0556"/>
    <w:rsid w:val="004A1774"/>
    <w:rsid w:val="004A24C8"/>
    <w:rsid w:val="004A330D"/>
    <w:rsid w:val="004A36FB"/>
    <w:rsid w:val="004A391E"/>
    <w:rsid w:val="004A3A05"/>
    <w:rsid w:val="004A3D0B"/>
    <w:rsid w:val="004A4144"/>
    <w:rsid w:val="004A427B"/>
    <w:rsid w:val="004A4C6C"/>
    <w:rsid w:val="004A5615"/>
    <w:rsid w:val="004A5748"/>
    <w:rsid w:val="004A6163"/>
    <w:rsid w:val="004A674E"/>
    <w:rsid w:val="004A67D5"/>
    <w:rsid w:val="004A6C71"/>
    <w:rsid w:val="004A6E8F"/>
    <w:rsid w:val="004B0594"/>
    <w:rsid w:val="004B0638"/>
    <w:rsid w:val="004B1239"/>
    <w:rsid w:val="004B13E3"/>
    <w:rsid w:val="004B1534"/>
    <w:rsid w:val="004B2065"/>
    <w:rsid w:val="004B2202"/>
    <w:rsid w:val="004B235B"/>
    <w:rsid w:val="004B2C47"/>
    <w:rsid w:val="004B33B2"/>
    <w:rsid w:val="004B4713"/>
    <w:rsid w:val="004B4839"/>
    <w:rsid w:val="004B641A"/>
    <w:rsid w:val="004B719C"/>
    <w:rsid w:val="004B7380"/>
    <w:rsid w:val="004B79B2"/>
    <w:rsid w:val="004C0245"/>
    <w:rsid w:val="004C0931"/>
    <w:rsid w:val="004C0AD3"/>
    <w:rsid w:val="004C1975"/>
    <w:rsid w:val="004C1CC1"/>
    <w:rsid w:val="004C21D9"/>
    <w:rsid w:val="004C284B"/>
    <w:rsid w:val="004C2A0F"/>
    <w:rsid w:val="004C2D81"/>
    <w:rsid w:val="004C2FDC"/>
    <w:rsid w:val="004C3AD9"/>
    <w:rsid w:val="004C3D80"/>
    <w:rsid w:val="004C448C"/>
    <w:rsid w:val="004C61B6"/>
    <w:rsid w:val="004C65F9"/>
    <w:rsid w:val="004C7359"/>
    <w:rsid w:val="004C7851"/>
    <w:rsid w:val="004C7B2B"/>
    <w:rsid w:val="004D02C9"/>
    <w:rsid w:val="004D02E6"/>
    <w:rsid w:val="004D0958"/>
    <w:rsid w:val="004D0D72"/>
    <w:rsid w:val="004D1013"/>
    <w:rsid w:val="004D119F"/>
    <w:rsid w:val="004D11FD"/>
    <w:rsid w:val="004D1485"/>
    <w:rsid w:val="004D1683"/>
    <w:rsid w:val="004D1A32"/>
    <w:rsid w:val="004D2450"/>
    <w:rsid w:val="004D31B2"/>
    <w:rsid w:val="004D3479"/>
    <w:rsid w:val="004D3858"/>
    <w:rsid w:val="004D3D61"/>
    <w:rsid w:val="004D61C8"/>
    <w:rsid w:val="004D6CF7"/>
    <w:rsid w:val="004D738D"/>
    <w:rsid w:val="004D75AD"/>
    <w:rsid w:val="004D78C0"/>
    <w:rsid w:val="004E0176"/>
    <w:rsid w:val="004E035D"/>
    <w:rsid w:val="004E1494"/>
    <w:rsid w:val="004E229C"/>
    <w:rsid w:val="004E25C1"/>
    <w:rsid w:val="004E2E13"/>
    <w:rsid w:val="004E3C2D"/>
    <w:rsid w:val="004E3E2F"/>
    <w:rsid w:val="004E40FE"/>
    <w:rsid w:val="004E4294"/>
    <w:rsid w:val="004E4687"/>
    <w:rsid w:val="004E4C13"/>
    <w:rsid w:val="004E53F8"/>
    <w:rsid w:val="004E577F"/>
    <w:rsid w:val="004E5ACE"/>
    <w:rsid w:val="004E5C3E"/>
    <w:rsid w:val="004E7CA2"/>
    <w:rsid w:val="004F00EF"/>
    <w:rsid w:val="004F092B"/>
    <w:rsid w:val="004F133E"/>
    <w:rsid w:val="004F1FAF"/>
    <w:rsid w:val="004F2AE7"/>
    <w:rsid w:val="004F2C9B"/>
    <w:rsid w:val="004F33D7"/>
    <w:rsid w:val="004F3921"/>
    <w:rsid w:val="004F452D"/>
    <w:rsid w:val="004F4536"/>
    <w:rsid w:val="004F5671"/>
    <w:rsid w:val="004F5A58"/>
    <w:rsid w:val="004F6D70"/>
    <w:rsid w:val="004F6F84"/>
    <w:rsid w:val="004F78F5"/>
    <w:rsid w:val="005008E8"/>
    <w:rsid w:val="00500ECD"/>
    <w:rsid w:val="00501FF1"/>
    <w:rsid w:val="005026CA"/>
    <w:rsid w:val="00502804"/>
    <w:rsid w:val="00503A0B"/>
    <w:rsid w:val="00503A30"/>
    <w:rsid w:val="00504142"/>
    <w:rsid w:val="00504171"/>
    <w:rsid w:val="005059CA"/>
    <w:rsid w:val="005061B5"/>
    <w:rsid w:val="00506892"/>
    <w:rsid w:val="00507840"/>
    <w:rsid w:val="005078AC"/>
    <w:rsid w:val="00510653"/>
    <w:rsid w:val="005108B4"/>
    <w:rsid w:val="00510BA5"/>
    <w:rsid w:val="00510DC7"/>
    <w:rsid w:val="00510DEE"/>
    <w:rsid w:val="005111BB"/>
    <w:rsid w:val="00511DFC"/>
    <w:rsid w:val="00511E66"/>
    <w:rsid w:val="00512732"/>
    <w:rsid w:val="005134CC"/>
    <w:rsid w:val="0051364E"/>
    <w:rsid w:val="005137DA"/>
    <w:rsid w:val="005143C1"/>
    <w:rsid w:val="00514CF8"/>
    <w:rsid w:val="00514EF4"/>
    <w:rsid w:val="005158A2"/>
    <w:rsid w:val="005158DE"/>
    <w:rsid w:val="00516CB7"/>
    <w:rsid w:val="00517878"/>
    <w:rsid w:val="00517B07"/>
    <w:rsid w:val="00517BC3"/>
    <w:rsid w:val="0052047E"/>
    <w:rsid w:val="0052059F"/>
    <w:rsid w:val="00520698"/>
    <w:rsid w:val="0052085A"/>
    <w:rsid w:val="00521B76"/>
    <w:rsid w:val="00522415"/>
    <w:rsid w:val="005229CD"/>
    <w:rsid w:val="005236FC"/>
    <w:rsid w:val="0052412B"/>
    <w:rsid w:val="00524D46"/>
    <w:rsid w:val="0052526E"/>
    <w:rsid w:val="005252BC"/>
    <w:rsid w:val="00525531"/>
    <w:rsid w:val="00526AC0"/>
    <w:rsid w:val="00526B4F"/>
    <w:rsid w:val="0052715E"/>
    <w:rsid w:val="005272A6"/>
    <w:rsid w:val="00527469"/>
    <w:rsid w:val="0052774A"/>
    <w:rsid w:val="00527F63"/>
    <w:rsid w:val="00530183"/>
    <w:rsid w:val="00530329"/>
    <w:rsid w:val="0053077F"/>
    <w:rsid w:val="00530D6D"/>
    <w:rsid w:val="00530E7E"/>
    <w:rsid w:val="0053108F"/>
    <w:rsid w:val="005316DF"/>
    <w:rsid w:val="005317E5"/>
    <w:rsid w:val="00531AB4"/>
    <w:rsid w:val="0053290F"/>
    <w:rsid w:val="0053291A"/>
    <w:rsid w:val="0053304A"/>
    <w:rsid w:val="0053376B"/>
    <w:rsid w:val="00533EE4"/>
    <w:rsid w:val="0053508A"/>
    <w:rsid w:val="00536505"/>
    <w:rsid w:val="00536808"/>
    <w:rsid w:val="00536B0E"/>
    <w:rsid w:val="005370EC"/>
    <w:rsid w:val="00537938"/>
    <w:rsid w:val="00537973"/>
    <w:rsid w:val="0054066B"/>
    <w:rsid w:val="00540A48"/>
    <w:rsid w:val="00540B79"/>
    <w:rsid w:val="00541027"/>
    <w:rsid w:val="005418E5"/>
    <w:rsid w:val="005420B9"/>
    <w:rsid w:val="00542BB5"/>
    <w:rsid w:val="005431CA"/>
    <w:rsid w:val="005434A8"/>
    <w:rsid w:val="00543EAF"/>
    <w:rsid w:val="00543EB3"/>
    <w:rsid w:val="005443B0"/>
    <w:rsid w:val="005444C2"/>
    <w:rsid w:val="00544BD1"/>
    <w:rsid w:val="00544C7F"/>
    <w:rsid w:val="00544E83"/>
    <w:rsid w:val="00545081"/>
    <w:rsid w:val="005451D5"/>
    <w:rsid w:val="00545741"/>
    <w:rsid w:val="00545B76"/>
    <w:rsid w:val="0054712D"/>
    <w:rsid w:val="00547234"/>
    <w:rsid w:val="00547E66"/>
    <w:rsid w:val="00550D56"/>
    <w:rsid w:val="00550F35"/>
    <w:rsid w:val="0055194A"/>
    <w:rsid w:val="00551BE2"/>
    <w:rsid w:val="00552752"/>
    <w:rsid w:val="00553449"/>
    <w:rsid w:val="00553A3D"/>
    <w:rsid w:val="00553B0D"/>
    <w:rsid w:val="00553B88"/>
    <w:rsid w:val="0055441C"/>
    <w:rsid w:val="005544CE"/>
    <w:rsid w:val="005545B1"/>
    <w:rsid w:val="005552E0"/>
    <w:rsid w:val="00555F75"/>
    <w:rsid w:val="005563E3"/>
    <w:rsid w:val="00556575"/>
    <w:rsid w:val="00556C5E"/>
    <w:rsid w:val="00557054"/>
    <w:rsid w:val="00557465"/>
    <w:rsid w:val="00557F9A"/>
    <w:rsid w:val="0056003C"/>
    <w:rsid w:val="00560306"/>
    <w:rsid w:val="00560908"/>
    <w:rsid w:val="00560924"/>
    <w:rsid w:val="005612CD"/>
    <w:rsid w:val="00561C91"/>
    <w:rsid w:val="00562921"/>
    <w:rsid w:val="00562D52"/>
    <w:rsid w:val="005637FA"/>
    <w:rsid w:val="00563ABC"/>
    <w:rsid w:val="00563AE4"/>
    <w:rsid w:val="00563E3F"/>
    <w:rsid w:val="0056465B"/>
    <w:rsid w:val="00564768"/>
    <w:rsid w:val="0056485C"/>
    <w:rsid w:val="0056569B"/>
    <w:rsid w:val="0056655C"/>
    <w:rsid w:val="00566DE3"/>
    <w:rsid w:val="00567158"/>
    <w:rsid w:val="00567F3E"/>
    <w:rsid w:val="00567FBA"/>
    <w:rsid w:val="00570618"/>
    <w:rsid w:val="005707D1"/>
    <w:rsid w:val="00570A8B"/>
    <w:rsid w:val="00571BBF"/>
    <w:rsid w:val="00571C29"/>
    <w:rsid w:val="00571E7E"/>
    <w:rsid w:val="00571F37"/>
    <w:rsid w:val="005721C6"/>
    <w:rsid w:val="00572BE0"/>
    <w:rsid w:val="00572E9D"/>
    <w:rsid w:val="0057384E"/>
    <w:rsid w:val="00573AE2"/>
    <w:rsid w:val="005741FD"/>
    <w:rsid w:val="00574454"/>
    <w:rsid w:val="00574674"/>
    <w:rsid w:val="0057607B"/>
    <w:rsid w:val="00576D1B"/>
    <w:rsid w:val="00577335"/>
    <w:rsid w:val="005777DD"/>
    <w:rsid w:val="00577E74"/>
    <w:rsid w:val="00577FC4"/>
    <w:rsid w:val="0058084D"/>
    <w:rsid w:val="00580A0C"/>
    <w:rsid w:val="00580A2D"/>
    <w:rsid w:val="00581FEE"/>
    <w:rsid w:val="00583384"/>
    <w:rsid w:val="005838C1"/>
    <w:rsid w:val="00583A92"/>
    <w:rsid w:val="005840B0"/>
    <w:rsid w:val="0058455D"/>
    <w:rsid w:val="0058598B"/>
    <w:rsid w:val="00585CFE"/>
    <w:rsid w:val="00585E52"/>
    <w:rsid w:val="00586313"/>
    <w:rsid w:val="0058644B"/>
    <w:rsid w:val="005868C3"/>
    <w:rsid w:val="00586AC7"/>
    <w:rsid w:val="00586FEB"/>
    <w:rsid w:val="005877BD"/>
    <w:rsid w:val="005905B4"/>
    <w:rsid w:val="005905B6"/>
    <w:rsid w:val="00590F20"/>
    <w:rsid w:val="005910CB"/>
    <w:rsid w:val="005919CF"/>
    <w:rsid w:val="00592B4A"/>
    <w:rsid w:val="00593258"/>
    <w:rsid w:val="005934AE"/>
    <w:rsid w:val="0059377C"/>
    <w:rsid w:val="005944BD"/>
    <w:rsid w:val="00594A3B"/>
    <w:rsid w:val="00594EC2"/>
    <w:rsid w:val="00595B7A"/>
    <w:rsid w:val="00596034"/>
    <w:rsid w:val="0059655A"/>
    <w:rsid w:val="0059666F"/>
    <w:rsid w:val="0059714F"/>
    <w:rsid w:val="00597D9D"/>
    <w:rsid w:val="005A0F3E"/>
    <w:rsid w:val="005A1821"/>
    <w:rsid w:val="005A1F9D"/>
    <w:rsid w:val="005A273C"/>
    <w:rsid w:val="005A2D78"/>
    <w:rsid w:val="005A3FD9"/>
    <w:rsid w:val="005A5AA6"/>
    <w:rsid w:val="005A5ABF"/>
    <w:rsid w:val="005A6242"/>
    <w:rsid w:val="005A6968"/>
    <w:rsid w:val="005A76FB"/>
    <w:rsid w:val="005A78CE"/>
    <w:rsid w:val="005A7B98"/>
    <w:rsid w:val="005B0989"/>
    <w:rsid w:val="005B0B4D"/>
    <w:rsid w:val="005B0C49"/>
    <w:rsid w:val="005B0DC5"/>
    <w:rsid w:val="005B0E48"/>
    <w:rsid w:val="005B1517"/>
    <w:rsid w:val="005B19F6"/>
    <w:rsid w:val="005B26C4"/>
    <w:rsid w:val="005B2A4B"/>
    <w:rsid w:val="005B2FA2"/>
    <w:rsid w:val="005B408C"/>
    <w:rsid w:val="005B481B"/>
    <w:rsid w:val="005B4DB4"/>
    <w:rsid w:val="005B567D"/>
    <w:rsid w:val="005B56AF"/>
    <w:rsid w:val="005B586C"/>
    <w:rsid w:val="005B5CB7"/>
    <w:rsid w:val="005B6BBB"/>
    <w:rsid w:val="005B6E95"/>
    <w:rsid w:val="005B710A"/>
    <w:rsid w:val="005B73B8"/>
    <w:rsid w:val="005B7A9B"/>
    <w:rsid w:val="005C013F"/>
    <w:rsid w:val="005C0302"/>
    <w:rsid w:val="005C04E8"/>
    <w:rsid w:val="005C0761"/>
    <w:rsid w:val="005C08A3"/>
    <w:rsid w:val="005C0E08"/>
    <w:rsid w:val="005C0E10"/>
    <w:rsid w:val="005C0E3F"/>
    <w:rsid w:val="005C0FEC"/>
    <w:rsid w:val="005C1053"/>
    <w:rsid w:val="005C197A"/>
    <w:rsid w:val="005C1A27"/>
    <w:rsid w:val="005C258A"/>
    <w:rsid w:val="005C2807"/>
    <w:rsid w:val="005C29AE"/>
    <w:rsid w:val="005C2C61"/>
    <w:rsid w:val="005C3161"/>
    <w:rsid w:val="005C37A0"/>
    <w:rsid w:val="005C42A6"/>
    <w:rsid w:val="005C4B5A"/>
    <w:rsid w:val="005C57F0"/>
    <w:rsid w:val="005C5B79"/>
    <w:rsid w:val="005C6660"/>
    <w:rsid w:val="005C687D"/>
    <w:rsid w:val="005C7B07"/>
    <w:rsid w:val="005C7BD7"/>
    <w:rsid w:val="005C7E52"/>
    <w:rsid w:val="005D0347"/>
    <w:rsid w:val="005D0C3F"/>
    <w:rsid w:val="005D1C42"/>
    <w:rsid w:val="005D1EEF"/>
    <w:rsid w:val="005D1F10"/>
    <w:rsid w:val="005D2494"/>
    <w:rsid w:val="005D27A9"/>
    <w:rsid w:val="005D27C7"/>
    <w:rsid w:val="005D3DEE"/>
    <w:rsid w:val="005D4B71"/>
    <w:rsid w:val="005D4E8A"/>
    <w:rsid w:val="005D55F4"/>
    <w:rsid w:val="005D6068"/>
    <w:rsid w:val="005D64DC"/>
    <w:rsid w:val="005D6A74"/>
    <w:rsid w:val="005D71D4"/>
    <w:rsid w:val="005D724A"/>
    <w:rsid w:val="005D7A81"/>
    <w:rsid w:val="005E037E"/>
    <w:rsid w:val="005E0693"/>
    <w:rsid w:val="005E0766"/>
    <w:rsid w:val="005E0B58"/>
    <w:rsid w:val="005E1A9E"/>
    <w:rsid w:val="005E386D"/>
    <w:rsid w:val="005E4C9E"/>
    <w:rsid w:val="005E55CC"/>
    <w:rsid w:val="005E5989"/>
    <w:rsid w:val="005E7438"/>
    <w:rsid w:val="005F0058"/>
    <w:rsid w:val="005F0862"/>
    <w:rsid w:val="005F0D25"/>
    <w:rsid w:val="005F144B"/>
    <w:rsid w:val="005F1895"/>
    <w:rsid w:val="005F2E49"/>
    <w:rsid w:val="005F3648"/>
    <w:rsid w:val="005F404B"/>
    <w:rsid w:val="005F412B"/>
    <w:rsid w:val="005F4424"/>
    <w:rsid w:val="005F63C5"/>
    <w:rsid w:val="005F6E32"/>
    <w:rsid w:val="005F763D"/>
    <w:rsid w:val="005F7A34"/>
    <w:rsid w:val="006000FE"/>
    <w:rsid w:val="00600B55"/>
    <w:rsid w:val="006016CE"/>
    <w:rsid w:val="0060221B"/>
    <w:rsid w:val="006023D9"/>
    <w:rsid w:val="006036E2"/>
    <w:rsid w:val="00603DBC"/>
    <w:rsid w:val="00603F22"/>
    <w:rsid w:val="00603F51"/>
    <w:rsid w:val="006046A5"/>
    <w:rsid w:val="006046A9"/>
    <w:rsid w:val="006046EF"/>
    <w:rsid w:val="00604A80"/>
    <w:rsid w:val="00604F95"/>
    <w:rsid w:val="0060576E"/>
    <w:rsid w:val="00605A8D"/>
    <w:rsid w:val="00606229"/>
    <w:rsid w:val="006078EC"/>
    <w:rsid w:val="0061037E"/>
    <w:rsid w:val="0061098B"/>
    <w:rsid w:val="00611227"/>
    <w:rsid w:val="00611865"/>
    <w:rsid w:val="00611A48"/>
    <w:rsid w:val="006122ED"/>
    <w:rsid w:val="006123A1"/>
    <w:rsid w:val="0061290F"/>
    <w:rsid w:val="00612CEA"/>
    <w:rsid w:val="00612CF9"/>
    <w:rsid w:val="00612ECD"/>
    <w:rsid w:val="0061537B"/>
    <w:rsid w:val="00615664"/>
    <w:rsid w:val="00615B50"/>
    <w:rsid w:val="00615C58"/>
    <w:rsid w:val="00615C8B"/>
    <w:rsid w:val="00615F63"/>
    <w:rsid w:val="00616593"/>
    <w:rsid w:val="00616844"/>
    <w:rsid w:val="00620269"/>
    <w:rsid w:val="00620B46"/>
    <w:rsid w:val="00620C4E"/>
    <w:rsid w:val="00621411"/>
    <w:rsid w:val="0062173E"/>
    <w:rsid w:val="00621BF6"/>
    <w:rsid w:val="0062201C"/>
    <w:rsid w:val="00623056"/>
    <w:rsid w:val="006230E1"/>
    <w:rsid w:val="0062358E"/>
    <w:rsid w:val="00623857"/>
    <w:rsid w:val="00623AC2"/>
    <w:rsid w:val="00623B37"/>
    <w:rsid w:val="00624925"/>
    <w:rsid w:val="00626007"/>
    <w:rsid w:val="00626022"/>
    <w:rsid w:val="00626428"/>
    <w:rsid w:val="00626502"/>
    <w:rsid w:val="006269E5"/>
    <w:rsid w:val="00626EB0"/>
    <w:rsid w:val="006271EE"/>
    <w:rsid w:val="00627578"/>
    <w:rsid w:val="00630171"/>
    <w:rsid w:val="00630472"/>
    <w:rsid w:val="006307C2"/>
    <w:rsid w:val="00630DE4"/>
    <w:rsid w:val="006314F2"/>
    <w:rsid w:val="00631C2C"/>
    <w:rsid w:val="006322A8"/>
    <w:rsid w:val="00632E78"/>
    <w:rsid w:val="00632EF8"/>
    <w:rsid w:val="00632F39"/>
    <w:rsid w:val="00632F6E"/>
    <w:rsid w:val="006330C4"/>
    <w:rsid w:val="00633473"/>
    <w:rsid w:val="006334D8"/>
    <w:rsid w:val="006343B5"/>
    <w:rsid w:val="00636140"/>
    <w:rsid w:val="00637F0C"/>
    <w:rsid w:val="00637FDE"/>
    <w:rsid w:val="006406D8"/>
    <w:rsid w:val="00640943"/>
    <w:rsid w:val="00640DC5"/>
    <w:rsid w:val="00640EEA"/>
    <w:rsid w:val="0064141A"/>
    <w:rsid w:val="00642822"/>
    <w:rsid w:val="00642CEC"/>
    <w:rsid w:val="00643603"/>
    <w:rsid w:val="006439C4"/>
    <w:rsid w:val="00643B3E"/>
    <w:rsid w:val="00643C3D"/>
    <w:rsid w:val="00644250"/>
    <w:rsid w:val="00644A50"/>
    <w:rsid w:val="006453D8"/>
    <w:rsid w:val="00645A63"/>
    <w:rsid w:val="00645BBA"/>
    <w:rsid w:val="00645FFE"/>
    <w:rsid w:val="0064601C"/>
    <w:rsid w:val="00646058"/>
    <w:rsid w:val="00646753"/>
    <w:rsid w:val="00646A01"/>
    <w:rsid w:val="006477EC"/>
    <w:rsid w:val="006479F5"/>
    <w:rsid w:val="0065024B"/>
    <w:rsid w:val="0065043A"/>
    <w:rsid w:val="00650746"/>
    <w:rsid w:val="00650B68"/>
    <w:rsid w:val="00650C13"/>
    <w:rsid w:val="006519CD"/>
    <w:rsid w:val="0065227C"/>
    <w:rsid w:val="00652816"/>
    <w:rsid w:val="00652F1D"/>
    <w:rsid w:val="00652F4E"/>
    <w:rsid w:val="006530AB"/>
    <w:rsid w:val="006534ED"/>
    <w:rsid w:val="0065358A"/>
    <w:rsid w:val="006535F2"/>
    <w:rsid w:val="006537B1"/>
    <w:rsid w:val="00654E99"/>
    <w:rsid w:val="0065566A"/>
    <w:rsid w:val="00656033"/>
    <w:rsid w:val="00656335"/>
    <w:rsid w:val="00656F79"/>
    <w:rsid w:val="00657F79"/>
    <w:rsid w:val="00660229"/>
    <w:rsid w:val="006604E7"/>
    <w:rsid w:val="006606BF"/>
    <w:rsid w:val="006607A2"/>
    <w:rsid w:val="006625D2"/>
    <w:rsid w:val="00662CA6"/>
    <w:rsid w:val="00662FA0"/>
    <w:rsid w:val="00663652"/>
    <w:rsid w:val="00663BD0"/>
    <w:rsid w:val="0066476A"/>
    <w:rsid w:val="00664901"/>
    <w:rsid w:val="00665091"/>
    <w:rsid w:val="006650E8"/>
    <w:rsid w:val="00665C0F"/>
    <w:rsid w:val="00666A07"/>
    <w:rsid w:val="00667E39"/>
    <w:rsid w:val="00667E40"/>
    <w:rsid w:val="00670414"/>
    <w:rsid w:val="0067045F"/>
    <w:rsid w:val="00670552"/>
    <w:rsid w:val="00670744"/>
    <w:rsid w:val="00670DAC"/>
    <w:rsid w:val="00670F18"/>
    <w:rsid w:val="0067134E"/>
    <w:rsid w:val="0067191F"/>
    <w:rsid w:val="00671AE4"/>
    <w:rsid w:val="00671B67"/>
    <w:rsid w:val="00671D6C"/>
    <w:rsid w:val="00672125"/>
    <w:rsid w:val="006727D2"/>
    <w:rsid w:val="00672A10"/>
    <w:rsid w:val="00672C14"/>
    <w:rsid w:val="00672C94"/>
    <w:rsid w:val="00672CE7"/>
    <w:rsid w:val="00672EFA"/>
    <w:rsid w:val="0067333F"/>
    <w:rsid w:val="00673607"/>
    <w:rsid w:val="0067384F"/>
    <w:rsid w:val="006739AA"/>
    <w:rsid w:val="00675622"/>
    <w:rsid w:val="00675996"/>
    <w:rsid w:val="00675D2C"/>
    <w:rsid w:val="00675EB3"/>
    <w:rsid w:val="00675F18"/>
    <w:rsid w:val="00676872"/>
    <w:rsid w:val="006769E6"/>
    <w:rsid w:val="00677215"/>
    <w:rsid w:val="00677FD3"/>
    <w:rsid w:val="00680C4D"/>
    <w:rsid w:val="006810F2"/>
    <w:rsid w:val="00681147"/>
    <w:rsid w:val="00681534"/>
    <w:rsid w:val="00681DCC"/>
    <w:rsid w:val="006830C4"/>
    <w:rsid w:val="00683121"/>
    <w:rsid w:val="006835C6"/>
    <w:rsid w:val="006837FA"/>
    <w:rsid w:val="006844E6"/>
    <w:rsid w:val="0068495F"/>
    <w:rsid w:val="00684B56"/>
    <w:rsid w:val="006850FA"/>
    <w:rsid w:val="0068562B"/>
    <w:rsid w:val="006857D2"/>
    <w:rsid w:val="00685E73"/>
    <w:rsid w:val="006869BA"/>
    <w:rsid w:val="00686EA4"/>
    <w:rsid w:val="00687AD2"/>
    <w:rsid w:val="00687C9D"/>
    <w:rsid w:val="00687FB3"/>
    <w:rsid w:val="00690582"/>
    <w:rsid w:val="00690D2B"/>
    <w:rsid w:val="00691235"/>
    <w:rsid w:val="00691A9A"/>
    <w:rsid w:val="00692501"/>
    <w:rsid w:val="0069305D"/>
    <w:rsid w:val="00693553"/>
    <w:rsid w:val="00693CE6"/>
    <w:rsid w:val="0069447B"/>
    <w:rsid w:val="00694CFA"/>
    <w:rsid w:val="00694F26"/>
    <w:rsid w:val="006952DB"/>
    <w:rsid w:val="00695597"/>
    <w:rsid w:val="00695F0E"/>
    <w:rsid w:val="00697457"/>
    <w:rsid w:val="006A00AA"/>
    <w:rsid w:val="006A0591"/>
    <w:rsid w:val="006A0D7B"/>
    <w:rsid w:val="006A0F17"/>
    <w:rsid w:val="006A1079"/>
    <w:rsid w:val="006A1F61"/>
    <w:rsid w:val="006A2586"/>
    <w:rsid w:val="006A2AE5"/>
    <w:rsid w:val="006A3161"/>
    <w:rsid w:val="006A36AD"/>
    <w:rsid w:val="006A3ABB"/>
    <w:rsid w:val="006A4CB4"/>
    <w:rsid w:val="006A4FA3"/>
    <w:rsid w:val="006A58BC"/>
    <w:rsid w:val="006A5D85"/>
    <w:rsid w:val="006A6382"/>
    <w:rsid w:val="006B0147"/>
    <w:rsid w:val="006B042C"/>
    <w:rsid w:val="006B0F8C"/>
    <w:rsid w:val="006B2060"/>
    <w:rsid w:val="006B2263"/>
    <w:rsid w:val="006B2339"/>
    <w:rsid w:val="006B29C9"/>
    <w:rsid w:val="006B2D6F"/>
    <w:rsid w:val="006B301F"/>
    <w:rsid w:val="006B3267"/>
    <w:rsid w:val="006B37F0"/>
    <w:rsid w:val="006B3ACB"/>
    <w:rsid w:val="006B45A3"/>
    <w:rsid w:val="006B4BC3"/>
    <w:rsid w:val="006B54F1"/>
    <w:rsid w:val="006B5C59"/>
    <w:rsid w:val="006B6FE3"/>
    <w:rsid w:val="006B73A4"/>
    <w:rsid w:val="006B7619"/>
    <w:rsid w:val="006B7E0B"/>
    <w:rsid w:val="006C0624"/>
    <w:rsid w:val="006C0FA5"/>
    <w:rsid w:val="006C1D19"/>
    <w:rsid w:val="006C2004"/>
    <w:rsid w:val="006C20B3"/>
    <w:rsid w:val="006C21BF"/>
    <w:rsid w:val="006C29BC"/>
    <w:rsid w:val="006C35D7"/>
    <w:rsid w:val="006C3AA5"/>
    <w:rsid w:val="006C3CE8"/>
    <w:rsid w:val="006C3D47"/>
    <w:rsid w:val="006C3F4D"/>
    <w:rsid w:val="006C406F"/>
    <w:rsid w:val="006C4149"/>
    <w:rsid w:val="006C4279"/>
    <w:rsid w:val="006C4528"/>
    <w:rsid w:val="006C48ED"/>
    <w:rsid w:val="006C4C76"/>
    <w:rsid w:val="006C4F90"/>
    <w:rsid w:val="006C590C"/>
    <w:rsid w:val="006C5FEE"/>
    <w:rsid w:val="006C6A3D"/>
    <w:rsid w:val="006C6C68"/>
    <w:rsid w:val="006C74A7"/>
    <w:rsid w:val="006C7CB2"/>
    <w:rsid w:val="006C7FBF"/>
    <w:rsid w:val="006D015A"/>
    <w:rsid w:val="006D0850"/>
    <w:rsid w:val="006D0F27"/>
    <w:rsid w:val="006D1B4A"/>
    <w:rsid w:val="006D1BB4"/>
    <w:rsid w:val="006D204E"/>
    <w:rsid w:val="006D2F82"/>
    <w:rsid w:val="006D3426"/>
    <w:rsid w:val="006D35A5"/>
    <w:rsid w:val="006D4FED"/>
    <w:rsid w:val="006D51EF"/>
    <w:rsid w:val="006D543E"/>
    <w:rsid w:val="006D5865"/>
    <w:rsid w:val="006D5DEA"/>
    <w:rsid w:val="006D6A07"/>
    <w:rsid w:val="006D6D31"/>
    <w:rsid w:val="006D75E2"/>
    <w:rsid w:val="006D7FF4"/>
    <w:rsid w:val="006E006C"/>
    <w:rsid w:val="006E06BA"/>
    <w:rsid w:val="006E0D46"/>
    <w:rsid w:val="006E20E7"/>
    <w:rsid w:val="006E23CA"/>
    <w:rsid w:val="006E29AC"/>
    <w:rsid w:val="006E395C"/>
    <w:rsid w:val="006E39C8"/>
    <w:rsid w:val="006E39D7"/>
    <w:rsid w:val="006E3A27"/>
    <w:rsid w:val="006E3B20"/>
    <w:rsid w:val="006E4525"/>
    <w:rsid w:val="006E4655"/>
    <w:rsid w:val="006E5549"/>
    <w:rsid w:val="006E5A33"/>
    <w:rsid w:val="006E5C84"/>
    <w:rsid w:val="006E5ED4"/>
    <w:rsid w:val="006E64AD"/>
    <w:rsid w:val="006E6AC1"/>
    <w:rsid w:val="006E742E"/>
    <w:rsid w:val="006E7746"/>
    <w:rsid w:val="006E7772"/>
    <w:rsid w:val="006E7985"/>
    <w:rsid w:val="006F0167"/>
    <w:rsid w:val="006F0ADA"/>
    <w:rsid w:val="006F18EF"/>
    <w:rsid w:val="006F1B4A"/>
    <w:rsid w:val="006F2C1E"/>
    <w:rsid w:val="006F3599"/>
    <w:rsid w:val="006F3750"/>
    <w:rsid w:val="006F3D29"/>
    <w:rsid w:val="006F4B15"/>
    <w:rsid w:val="006F505E"/>
    <w:rsid w:val="006F5DAC"/>
    <w:rsid w:val="006F6520"/>
    <w:rsid w:val="006F65F8"/>
    <w:rsid w:val="006F6957"/>
    <w:rsid w:val="006F6CFB"/>
    <w:rsid w:val="006F70F1"/>
    <w:rsid w:val="006F7CFA"/>
    <w:rsid w:val="007001C1"/>
    <w:rsid w:val="007006A2"/>
    <w:rsid w:val="00700816"/>
    <w:rsid w:val="007008FB"/>
    <w:rsid w:val="007009D0"/>
    <w:rsid w:val="0070168D"/>
    <w:rsid w:val="007017F2"/>
    <w:rsid w:val="007019DB"/>
    <w:rsid w:val="007026B7"/>
    <w:rsid w:val="00702AF6"/>
    <w:rsid w:val="007032BB"/>
    <w:rsid w:val="00703E4C"/>
    <w:rsid w:val="0070427B"/>
    <w:rsid w:val="00705244"/>
    <w:rsid w:val="00705686"/>
    <w:rsid w:val="00705D1E"/>
    <w:rsid w:val="00705F92"/>
    <w:rsid w:val="007060BB"/>
    <w:rsid w:val="00706DC7"/>
    <w:rsid w:val="00706E69"/>
    <w:rsid w:val="007078AB"/>
    <w:rsid w:val="00707BBD"/>
    <w:rsid w:val="00710439"/>
    <w:rsid w:val="00710898"/>
    <w:rsid w:val="00711083"/>
    <w:rsid w:val="00711116"/>
    <w:rsid w:val="0071116B"/>
    <w:rsid w:val="00711295"/>
    <w:rsid w:val="00711AD9"/>
    <w:rsid w:val="00711FA5"/>
    <w:rsid w:val="00712447"/>
    <w:rsid w:val="0071270E"/>
    <w:rsid w:val="0071328F"/>
    <w:rsid w:val="00713AD2"/>
    <w:rsid w:val="00713CD9"/>
    <w:rsid w:val="00714A5D"/>
    <w:rsid w:val="00715534"/>
    <w:rsid w:val="007159A1"/>
    <w:rsid w:val="00715F08"/>
    <w:rsid w:val="007160E6"/>
    <w:rsid w:val="0071622B"/>
    <w:rsid w:val="0071671F"/>
    <w:rsid w:val="00717029"/>
    <w:rsid w:val="00717251"/>
    <w:rsid w:val="00717337"/>
    <w:rsid w:val="007177CF"/>
    <w:rsid w:val="00720039"/>
    <w:rsid w:val="00720F2A"/>
    <w:rsid w:val="0072101F"/>
    <w:rsid w:val="00721730"/>
    <w:rsid w:val="00721D4B"/>
    <w:rsid w:val="00722E69"/>
    <w:rsid w:val="00723496"/>
    <w:rsid w:val="007239D6"/>
    <w:rsid w:val="00723E3E"/>
    <w:rsid w:val="00724379"/>
    <w:rsid w:val="00725290"/>
    <w:rsid w:val="00725D56"/>
    <w:rsid w:val="00725F2D"/>
    <w:rsid w:val="00725FD8"/>
    <w:rsid w:val="00726040"/>
    <w:rsid w:val="00726080"/>
    <w:rsid w:val="00727F49"/>
    <w:rsid w:val="007318C0"/>
    <w:rsid w:val="00731D27"/>
    <w:rsid w:val="0073299C"/>
    <w:rsid w:val="00733102"/>
    <w:rsid w:val="00733F89"/>
    <w:rsid w:val="00734027"/>
    <w:rsid w:val="0073489B"/>
    <w:rsid w:val="00734B46"/>
    <w:rsid w:val="00734D99"/>
    <w:rsid w:val="007352CD"/>
    <w:rsid w:val="00735723"/>
    <w:rsid w:val="00735CB2"/>
    <w:rsid w:val="00736A5C"/>
    <w:rsid w:val="00736DAB"/>
    <w:rsid w:val="0073705B"/>
    <w:rsid w:val="007370F9"/>
    <w:rsid w:val="007371CC"/>
    <w:rsid w:val="00737EB3"/>
    <w:rsid w:val="00740035"/>
    <w:rsid w:val="00740698"/>
    <w:rsid w:val="00740767"/>
    <w:rsid w:val="00740D26"/>
    <w:rsid w:val="00740D3C"/>
    <w:rsid w:val="00741081"/>
    <w:rsid w:val="00741827"/>
    <w:rsid w:val="00741B4D"/>
    <w:rsid w:val="00741B51"/>
    <w:rsid w:val="0074202C"/>
    <w:rsid w:val="007425A2"/>
    <w:rsid w:val="00742CE5"/>
    <w:rsid w:val="00742F45"/>
    <w:rsid w:val="007430BD"/>
    <w:rsid w:val="00743ABB"/>
    <w:rsid w:val="0074490D"/>
    <w:rsid w:val="00744C43"/>
    <w:rsid w:val="00745354"/>
    <w:rsid w:val="00745ABD"/>
    <w:rsid w:val="00745CB8"/>
    <w:rsid w:val="00745CC5"/>
    <w:rsid w:val="0074601D"/>
    <w:rsid w:val="00746719"/>
    <w:rsid w:val="0074693A"/>
    <w:rsid w:val="007469B7"/>
    <w:rsid w:val="00746CF8"/>
    <w:rsid w:val="0074759C"/>
    <w:rsid w:val="007477DE"/>
    <w:rsid w:val="00750E44"/>
    <w:rsid w:val="00750EB7"/>
    <w:rsid w:val="00751230"/>
    <w:rsid w:val="00751467"/>
    <w:rsid w:val="00751F28"/>
    <w:rsid w:val="0075207D"/>
    <w:rsid w:val="00752105"/>
    <w:rsid w:val="007521A4"/>
    <w:rsid w:val="007534D7"/>
    <w:rsid w:val="00753F93"/>
    <w:rsid w:val="007541DF"/>
    <w:rsid w:val="00754E3B"/>
    <w:rsid w:val="00755413"/>
    <w:rsid w:val="00755A22"/>
    <w:rsid w:val="00755FB6"/>
    <w:rsid w:val="007562F9"/>
    <w:rsid w:val="00756B9F"/>
    <w:rsid w:val="00756EEF"/>
    <w:rsid w:val="00760F59"/>
    <w:rsid w:val="0076168E"/>
    <w:rsid w:val="0076199D"/>
    <w:rsid w:val="00761F7F"/>
    <w:rsid w:val="007627E8"/>
    <w:rsid w:val="00762CF0"/>
    <w:rsid w:val="0076315F"/>
    <w:rsid w:val="007634EB"/>
    <w:rsid w:val="00763799"/>
    <w:rsid w:val="007641EF"/>
    <w:rsid w:val="007644E4"/>
    <w:rsid w:val="00764D32"/>
    <w:rsid w:val="00764E54"/>
    <w:rsid w:val="0076542B"/>
    <w:rsid w:val="00765B4A"/>
    <w:rsid w:val="00765BEF"/>
    <w:rsid w:val="00765E04"/>
    <w:rsid w:val="00766529"/>
    <w:rsid w:val="007665F2"/>
    <w:rsid w:val="00766F16"/>
    <w:rsid w:val="007671B7"/>
    <w:rsid w:val="00767893"/>
    <w:rsid w:val="007679AB"/>
    <w:rsid w:val="0077039D"/>
    <w:rsid w:val="007703BC"/>
    <w:rsid w:val="007704E7"/>
    <w:rsid w:val="007705F2"/>
    <w:rsid w:val="007709FF"/>
    <w:rsid w:val="00770F8D"/>
    <w:rsid w:val="00771219"/>
    <w:rsid w:val="00771306"/>
    <w:rsid w:val="007714B6"/>
    <w:rsid w:val="00771660"/>
    <w:rsid w:val="0077179B"/>
    <w:rsid w:val="007719F1"/>
    <w:rsid w:val="00771A94"/>
    <w:rsid w:val="00771F2D"/>
    <w:rsid w:val="007722B5"/>
    <w:rsid w:val="0077271B"/>
    <w:rsid w:val="00772B24"/>
    <w:rsid w:val="00773263"/>
    <w:rsid w:val="007739A0"/>
    <w:rsid w:val="00773A2A"/>
    <w:rsid w:val="00773BE5"/>
    <w:rsid w:val="00774078"/>
    <w:rsid w:val="007744A1"/>
    <w:rsid w:val="00774D6E"/>
    <w:rsid w:val="00775030"/>
    <w:rsid w:val="00775E3B"/>
    <w:rsid w:val="00775FDF"/>
    <w:rsid w:val="00776571"/>
    <w:rsid w:val="00776CA7"/>
    <w:rsid w:val="007775B9"/>
    <w:rsid w:val="00777703"/>
    <w:rsid w:val="00777933"/>
    <w:rsid w:val="00780846"/>
    <w:rsid w:val="00781E63"/>
    <w:rsid w:val="00782FB3"/>
    <w:rsid w:val="00783055"/>
    <w:rsid w:val="00785666"/>
    <w:rsid w:val="007863D3"/>
    <w:rsid w:val="00786B7D"/>
    <w:rsid w:val="00786ED4"/>
    <w:rsid w:val="007873FB"/>
    <w:rsid w:val="00787EA7"/>
    <w:rsid w:val="00790219"/>
    <w:rsid w:val="007909DF"/>
    <w:rsid w:val="00791178"/>
    <w:rsid w:val="0079168A"/>
    <w:rsid w:val="00791845"/>
    <w:rsid w:val="00791B61"/>
    <w:rsid w:val="00791D46"/>
    <w:rsid w:val="00791F5C"/>
    <w:rsid w:val="007940FE"/>
    <w:rsid w:val="00794521"/>
    <w:rsid w:val="007950E9"/>
    <w:rsid w:val="00795C4A"/>
    <w:rsid w:val="00796033"/>
    <w:rsid w:val="007960C4"/>
    <w:rsid w:val="007962DB"/>
    <w:rsid w:val="00796D92"/>
    <w:rsid w:val="00796F6F"/>
    <w:rsid w:val="007976BA"/>
    <w:rsid w:val="00797748"/>
    <w:rsid w:val="00797FFB"/>
    <w:rsid w:val="007A00B1"/>
    <w:rsid w:val="007A08D4"/>
    <w:rsid w:val="007A08DE"/>
    <w:rsid w:val="007A0994"/>
    <w:rsid w:val="007A1554"/>
    <w:rsid w:val="007A15B5"/>
    <w:rsid w:val="007A1FD2"/>
    <w:rsid w:val="007A27B7"/>
    <w:rsid w:val="007A2E43"/>
    <w:rsid w:val="007A2FA6"/>
    <w:rsid w:val="007A34C5"/>
    <w:rsid w:val="007A375D"/>
    <w:rsid w:val="007A4006"/>
    <w:rsid w:val="007A41B9"/>
    <w:rsid w:val="007A448D"/>
    <w:rsid w:val="007A5386"/>
    <w:rsid w:val="007A5837"/>
    <w:rsid w:val="007A5B30"/>
    <w:rsid w:val="007A5D0E"/>
    <w:rsid w:val="007A5F46"/>
    <w:rsid w:val="007A61A4"/>
    <w:rsid w:val="007A662B"/>
    <w:rsid w:val="007A6868"/>
    <w:rsid w:val="007A6CEB"/>
    <w:rsid w:val="007A73A7"/>
    <w:rsid w:val="007A7BE3"/>
    <w:rsid w:val="007B01A3"/>
    <w:rsid w:val="007B02B5"/>
    <w:rsid w:val="007B045E"/>
    <w:rsid w:val="007B06DF"/>
    <w:rsid w:val="007B0DC5"/>
    <w:rsid w:val="007B11D8"/>
    <w:rsid w:val="007B12BE"/>
    <w:rsid w:val="007B1818"/>
    <w:rsid w:val="007B1E01"/>
    <w:rsid w:val="007B1FD3"/>
    <w:rsid w:val="007B24FA"/>
    <w:rsid w:val="007B44FB"/>
    <w:rsid w:val="007B5308"/>
    <w:rsid w:val="007B531A"/>
    <w:rsid w:val="007B5A3B"/>
    <w:rsid w:val="007B5AE2"/>
    <w:rsid w:val="007B5B10"/>
    <w:rsid w:val="007B5CA0"/>
    <w:rsid w:val="007B620A"/>
    <w:rsid w:val="007B62CB"/>
    <w:rsid w:val="007B63AA"/>
    <w:rsid w:val="007B68F7"/>
    <w:rsid w:val="007B6927"/>
    <w:rsid w:val="007B7064"/>
    <w:rsid w:val="007B7375"/>
    <w:rsid w:val="007B782F"/>
    <w:rsid w:val="007B7BEB"/>
    <w:rsid w:val="007C012F"/>
    <w:rsid w:val="007C0309"/>
    <w:rsid w:val="007C0427"/>
    <w:rsid w:val="007C1403"/>
    <w:rsid w:val="007C16C9"/>
    <w:rsid w:val="007C18AB"/>
    <w:rsid w:val="007C1A1F"/>
    <w:rsid w:val="007C1E69"/>
    <w:rsid w:val="007C1F37"/>
    <w:rsid w:val="007C2090"/>
    <w:rsid w:val="007C24A9"/>
    <w:rsid w:val="007C265C"/>
    <w:rsid w:val="007C3179"/>
    <w:rsid w:val="007C3337"/>
    <w:rsid w:val="007C3495"/>
    <w:rsid w:val="007C3766"/>
    <w:rsid w:val="007C4274"/>
    <w:rsid w:val="007C6A01"/>
    <w:rsid w:val="007C6A48"/>
    <w:rsid w:val="007C6BAD"/>
    <w:rsid w:val="007C7303"/>
    <w:rsid w:val="007C76CB"/>
    <w:rsid w:val="007C7E32"/>
    <w:rsid w:val="007D0012"/>
    <w:rsid w:val="007D00AE"/>
    <w:rsid w:val="007D0190"/>
    <w:rsid w:val="007D0530"/>
    <w:rsid w:val="007D1A18"/>
    <w:rsid w:val="007D2E68"/>
    <w:rsid w:val="007D2FD3"/>
    <w:rsid w:val="007D3137"/>
    <w:rsid w:val="007D334C"/>
    <w:rsid w:val="007D36C4"/>
    <w:rsid w:val="007D38A5"/>
    <w:rsid w:val="007D3EAF"/>
    <w:rsid w:val="007D40D1"/>
    <w:rsid w:val="007D46F2"/>
    <w:rsid w:val="007D486D"/>
    <w:rsid w:val="007D4A0E"/>
    <w:rsid w:val="007D4C94"/>
    <w:rsid w:val="007D634E"/>
    <w:rsid w:val="007D6626"/>
    <w:rsid w:val="007D6D8A"/>
    <w:rsid w:val="007D7377"/>
    <w:rsid w:val="007D7E98"/>
    <w:rsid w:val="007E08E1"/>
    <w:rsid w:val="007E0F48"/>
    <w:rsid w:val="007E11A3"/>
    <w:rsid w:val="007E1AFC"/>
    <w:rsid w:val="007E224D"/>
    <w:rsid w:val="007E2303"/>
    <w:rsid w:val="007E23F0"/>
    <w:rsid w:val="007E2DB0"/>
    <w:rsid w:val="007E34B2"/>
    <w:rsid w:val="007E368B"/>
    <w:rsid w:val="007E40D1"/>
    <w:rsid w:val="007E427F"/>
    <w:rsid w:val="007E5052"/>
    <w:rsid w:val="007E5681"/>
    <w:rsid w:val="007E5881"/>
    <w:rsid w:val="007E61D8"/>
    <w:rsid w:val="007E69D1"/>
    <w:rsid w:val="007E6E5A"/>
    <w:rsid w:val="007E6E65"/>
    <w:rsid w:val="007E7334"/>
    <w:rsid w:val="007E7695"/>
    <w:rsid w:val="007E76E5"/>
    <w:rsid w:val="007E7D1C"/>
    <w:rsid w:val="007F01D8"/>
    <w:rsid w:val="007F0D90"/>
    <w:rsid w:val="007F0E24"/>
    <w:rsid w:val="007F115C"/>
    <w:rsid w:val="007F18A7"/>
    <w:rsid w:val="007F19BE"/>
    <w:rsid w:val="007F1DEF"/>
    <w:rsid w:val="007F2154"/>
    <w:rsid w:val="007F21CA"/>
    <w:rsid w:val="007F2B85"/>
    <w:rsid w:val="007F2E1B"/>
    <w:rsid w:val="007F315A"/>
    <w:rsid w:val="007F367D"/>
    <w:rsid w:val="007F3958"/>
    <w:rsid w:val="007F3CE2"/>
    <w:rsid w:val="007F443A"/>
    <w:rsid w:val="007F5384"/>
    <w:rsid w:val="007F5692"/>
    <w:rsid w:val="007F5AD1"/>
    <w:rsid w:val="007F5C7D"/>
    <w:rsid w:val="007F606A"/>
    <w:rsid w:val="007F6074"/>
    <w:rsid w:val="007F618F"/>
    <w:rsid w:val="007F6A66"/>
    <w:rsid w:val="007F6B6F"/>
    <w:rsid w:val="007F713C"/>
    <w:rsid w:val="007F767D"/>
    <w:rsid w:val="007F7797"/>
    <w:rsid w:val="0080019B"/>
    <w:rsid w:val="00800917"/>
    <w:rsid w:val="00800D94"/>
    <w:rsid w:val="008015F6"/>
    <w:rsid w:val="00801FC9"/>
    <w:rsid w:val="00801FEB"/>
    <w:rsid w:val="008020AE"/>
    <w:rsid w:val="008026C6"/>
    <w:rsid w:val="00802862"/>
    <w:rsid w:val="0080288E"/>
    <w:rsid w:val="00802ECD"/>
    <w:rsid w:val="00804198"/>
    <w:rsid w:val="00804355"/>
    <w:rsid w:val="0080438E"/>
    <w:rsid w:val="00804B6F"/>
    <w:rsid w:val="00804B8C"/>
    <w:rsid w:val="00804ED0"/>
    <w:rsid w:val="00804F6E"/>
    <w:rsid w:val="0080538E"/>
    <w:rsid w:val="0080720C"/>
    <w:rsid w:val="00807560"/>
    <w:rsid w:val="0080777B"/>
    <w:rsid w:val="00807BE2"/>
    <w:rsid w:val="00807EF0"/>
    <w:rsid w:val="00810540"/>
    <w:rsid w:val="00810674"/>
    <w:rsid w:val="00810D23"/>
    <w:rsid w:val="00810D9D"/>
    <w:rsid w:val="00812081"/>
    <w:rsid w:val="00812738"/>
    <w:rsid w:val="00812F09"/>
    <w:rsid w:val="00813B6E"/>
    <w:rsid w:val="00813D9B"/>
    <w:rsid w:val="0081436B"/>
    <w:rsid w:val="008145AF"/>
    <w:rsid w:val="00814A5E"/>
    <w:rsid w:val="00814F2C"/>
    <w:rsid w:val="008153B3"/>
    <w:rsid w:val="0081627E"/>
    <w:rsid w:val="00816306"/>
    <w:rsid w:val="008164FF"/>
    <w:rsid w:val="0081789B"/>
    <w:rsid w:val="00820287"/>
    <w:rsid w:val="008207C9"/>
    <w:rsid w:val="00820BC3"/>
    <w:rsid w:val="00821CA2"/>
    <w:rsid w:val="00821EDF"/>
    <w:rsid w:val="00822014"/>
    <w:rsid w:val="008220DF"/>
    <w:rsid w:val="0082262C"/>
    <w:rsid w:val="0082297D"/>
    <w:rsid w:val="00822A08"/>
    <w:rsid w:val="00824529"/>
    <w:rsid w:val="008247C4"/>
    <w:rsid w:val="00824CE9"/>
    <w:rsid w:val="00824F25"/>
    <w:rsid w:val="00825388"/>
    <w:rsid w:val="00825C8D"/>
    <w:rsid w:val="008264A1"/>
    <w:rsid w:val="008266D5"/>
    <w:rsid w:val="00826CCC"/>
    <w:rsid w:val="00826D03"/>
    <w:rsid w:val="0083078F"/>
    <w:rsid w:val="00830805"/>
    <w:rsid w:val="00830895"/>
    <w:rsid w:val="008310A5"/>
    <w:rsid w:val="00831304"/>
    <w:rsid w:val="00831BB1"/>
    <w:rsid w:val="00832606"/>
    <w:rsid w:val="00832B7E"/>
    <w:rsid w:val="00833A40"/>
    <w:rsid w:val="0083403C"/>
    <w:rsid w:val="00835367"/>
    <w:rsid w:val="0083706F"/>
    <w:rsid w:val="008370F0"/>
    <w:rsid w:val="0083725D"/>
    <w:rsid w:val="008372E4"/>
    <w:rsid w:val="0083734B"/>
    <w:rsid w:val="00837451"/>
    <w:rsid w:val="00837503"/>
    <w:rsid w:val="00837CE9"/>
    <w:rsid w:val="008400EC"/>
    <w:rsid w:val="00840441"/>
    <w:rsid w:val="008408DA"/>
    <w:rsid w:val="00840955"/>
    <w:rsid w:val="00840E73"/>
    <w:rsid w:val="008414AB"/>
    <w:rsid w:val="008414D2"/>
    <w:rsid w:val="00841684"/>
    <w:rsid w:val="00841E50"/>
    <w:rsid w:val="008421ED"/>
    <w:rsid w:val="0084283C"/>
    <w:rsid w:val="00842861"/>
    <w:rsid w:val="00842D25"/>
    <w:rsid w:val="00843271"/>
    <w:rsid w:val="008435F8"/>
    <w:rsid w:val="00843698"/>
    <w:rsid w:val="008436C4"/>
    <w:rsid w:val="00844E20"/>
    <w:rsid w:val="00845038"/>
    <w:rsid w:val="0084508D"/>
    <w:rsid w:val="008458F0"/>
    <w:rsid w:val="008459B8"/>
    <w:rsid w:val="00845FA0"/>
    <w:rsid w:val="0084619D"/>
    <w:rsid w:val="00846774"/>
    <w:rsid w:val="00846DAD"/>
    <w:rsid w:val="00846DF8"/>
    <w:rsid w:val="0084732A"/>
    <w:rsid w:val="008474AE"/>
    <w:rsid w:val="00847ADB"/>
    <w:rsid w:val="00850002"/>
    <w:rsid w:val="008500EA"/>
    <w:rsid w:val="00850211"/>
    <w:rsid w:val="00850237"/>
    <w:rsid w:val="008505E8"/>
    <w:rsid w:val="00850A1E"/>
    <w:rsid w:val="00850EB6"/>
    <w:rsid w:val="00851321"/>
    <w:rsid w:val="00851F6F"/>
    <w:rsid w:val="008524A2"/>
    <w:rsid w:val="008524EA"/>
    <w:rsid w:val="00852A7E"/>
    <w:rsid w:val="00852F63"/>
    <w:rsid w:val="0085396C"/>
    <w:rsid w:val="00853EBD"/>
    <w:rsid w:val="00854330"/>
    <w:rsid w:val="00854C62"/>
    <w:rsid w:val="00854E03"/>
    <w:rsid w:val="008553FE"/>
    <w:rsid w:val="008555D8"/>
    <w:rsid w:val="00855A86"/>
    <w:rsid w:val="0085656A"/>
    <w:rsid w:val="008576DD"/>
    <w:rsid w:val="008576EF"/>
    <w:rsid w:val="00857740"/>
    <w:rsid w:val="00857DD1"/>
    <w:rsid w:val="0086105A"/>
    <w:rsid w:val="00862365"/>
    <w:rsid w:val="00862CD0"/>
    <w:rsid w:val="00862DE3"/>
    <w:rsid w:val="00863207"/>
    <w:rsid w:val="0086395E"/>
    <w:rsid w:val="008639C6"/>
    <w:rsid w:val="00863D1D"/>
    <w:rsid w:val="00864572"/>
    <w:rsid w:val="00864612"/>
    <w:rsid w:val="00865266"/>
    <w:rsid w:val="008653B7"/>
    <w:rsid w:val="0086611A"/>
    <w:rsid w:val="0086675A"/>
    <w:rsid w:val="008668BC"/>
    <w:rsid w:val="0087051F"/>
    <w:rsid w:val="00870A72"/>
    <w:rsid w:val="00871907"/>
    <w:rsid w:val="008725C9"/>
    <w:rsid w:val="00873AC1"/>
    <w:rsid w:val="00874B16"/>
    <w:rsid w:val="00875463"/>
    <w:rsid w:val="008757C9"/>
    <w:rsid w:val="00875AB7"/>
    <w:rsid w:val="00875D3F"/>
    <w:rsid w:val="00875EA5"/>
    <w:rsid w:val="00876EBC"/>
    <w:rsid w:val="00876F03"/>
    <w:rsid w:val="0087758D"/>
    <w:rsid w:val="008779DB"/>
    <w:rsid w:val="00880A61"/>
    <w:rsid w:val="00880B13"/>
    <w:rsid w:val="00880C9F"/>
    <w:rsid w:val="00881067"/>
    <w:rsid w:val="008816E3"/>
    <w:rsid w:val="008819E0"/>
    <w:rsid w:val="00881F8A"/>
    <w:rsid w:val="00882850"/>
    <w:rsid w:val="00882A05"/>
    <w:rsid w:val="00882CFF"/>
    <w:rsid w:val="0088492C"/>
    <w:rsid w:val="00884A73"/>
    <w:rsid w:val="00885311"/>
    <w:rsid w:val="008856AA"/>
    <w:rsid w:val="00885AE0"/>
    <w:rsid w:val="008866EC"/>
    <w:rsid w:val="0088690D"/>
    <w:rsid w:val="00886E31"/>
    <w:rsid w:val="00887BAB"/>
    <w:rsid w:val="00887BB8"/>
    <w:rsid w:val="0089015F"/>
    <w:rsid w:val="008903DD"/>
    <w:rsid w:val="00890CC7"/>
    <w:rsid w:val="00890CE9"/>
    <w:rsid w:val="00890F43"/>
    <w:rsid w:val="00891346"/>
    <w:rsid w:val="00892213"/>
    <w:rsid w:val="0089242E"/>
    <w:rsid w:val="00892B00"/>
    <w:rsid w:val="00892CDB"/>
    <w:rsid w:val="0089399D"/>
    <w:rsid w:val="00894500"/>
    <w:rsid w:val="0089470D"/>
    <w:rsid w:val="0089515F"/>
    <w:rsid w:val="008957B7"/>
    <w:rsid w:val="00895EEB"/>
    <w:rsid w:val="00896B31"/>
    <w:rsid w:val="008971E1"/>
    <w:rsid w:val="00897625"/>
    <w:rsid w:val="00897ACB"/>
    <w:rsid w:val="008A075B"/>
    <w:rsid w:val="008A07AD"/>
    <w:rsid w:val="008A12BA"/>
    <w:rsid w:val="008A136F"/>
    <w:rsid w:val="008A178D"/>
    <w:rsid w:val="008A1B3D"/>
    <w:rsid w:val="008A1DFC"/>
    <w:rsid w:val="008A1EBA"/>
    <w:rsid w:val="008A2C58"/>
    <w:rsid w:val="008A2F93"/>
    <w:rsid w:val="008A31D7"/>
    <w:rsid w:val="008A334C"/>
    <w:rsid w:val="008A3B5B"/>
    <w:rsid w:val="008A50AC"/>
    <w:rsid w:val="008A554A"/>
    <w:rsid w:val="008A5664"/>
    <w:rsid w:val="008A59C3"/>
    <w:rsid w:val="008A5F18"/>
    <w:rsid w:val="008A61F1"/>
    <w:rsid w:val="008A6CBF"/>
    <w:rsid w:val="008A7502"/>
    <w:rsid w:val="008A75E4"/>
    <w:rsid w:val="008A7A38"/>
    <w:rsid w:val="008A7BCA"/>
    <w:rsid w:val="008B0252"/>
    <w:rsid w:val="008B0757"/>
    <w:rsid w:val="008B1035"/>
    <w:rsid w:val="008B120C"/>
    <w:rsid w:val="008B129B"/>
    <w:rsid w:val="008B263C"/>
    <w:rsid w:val="008B2A12"/>
    <w:rsid w:val="008B2A97"/>
    <w:rsid w:val="008B3776"/>
    <w:rsid w:val="008B3AA7"/>
    <w:rsid w:val="008B3C07"/>
    <w:rsid w:val="008B4569"/>
    <w:rsid w:val="008B46CA"/>
    <w:rsid w:val="008B47E5"/>
    <w:rsid w:val="008B4975"/>
    <w:rsid w:val="008B4DF9"/>
    <w:rsid w:val="008B55E2"/>
    <w:rsid w:val="008B63FA"/>
    <w:rsid w:val="008B6603"/>
    <w:rsid w:val="008B6981"/>
    <w:rsid w:val="008B69B0"/>
    <w:rsid w:val="008B7727"/>
    <w:rsid w:val="008B7D85"/>
    <w:rsid w:val="008B7ED4"/>
    <w:rsid w:val="008C0AC7"/>
    <w:rsid w:val="008C19C9"/>
    <w:rsid w:val="008C1CA0"/>
    <w:rsid w:val="008C24EA"/>
    <w:rsid w:val="008C2EA9"/>
    <w:rsid w:val="008C3E8F"/>
    <w:rsid w:val="008C4763"/>
    <w:rsid w:val="008C4ACB"/>
    <w:rsid w:val="008C5491"/>
    <w:rsid w:val="008C6C31"/>
    <w:rsid w:val="008C6DEA"/>
    <w:rsid w:val="008C6F6C"/>
    <w:rsid w:val="008C764E"/>
    <w:rsid w:val="008C7B28"/>
    <w:rsid w:val="008C7CE9"/>
    <w:rsid w:val="008D0485"/>
    <w:rsid w:val="008D079C"/>
    <w:rsid w:val="008D112C"/>
    <w:rsid w:val="008D17BC"/>
    <w:rsid w:val="008D1820"/>
    <w:rsid w:val="008D1B06"/>
    <w:rsid w:val="008D1B24"/>
    <w:rsid w:val="008D1CAE"/>
    <w:rsid w:val="008D1CC4"/>
    <w:rsid w:val="008D2934"/>
    <w:rsid w:val="008D29FB"/>
    <w:rsid w:val="008D311D"/>
    <w:rsid w:val="008D3E90"/>
    <w:rsid w:val="008D491D"/>
    <w:rsid w:val="008D4F70"/>
    <w:rsid w:val="008D59DD"/>
    <w:rsid w:val="008D6844"/>
    <w:rsid w:val="008D692B"/>
    <w:rsid w:val="008D700F"/>
    <w:rsid w:val="008D704D"/>
    <w:rsid w:val="008D7484"/>
    <w:rsid w:val="008E0E1D"/>
    <w:rsid w:val="008E17D6"/>
    <w:rsid w:val="008E1A28"/>
    <w:rsid w:val="008E1E68"/>
    <w:rsid w:val="008E3DB3"/>
    <w:rsid w:val="008E431B"/>
    <w:rsid w:val="008E4733"/>
    <w:rsid w:val="008E50F9"/>
    <w:rsid w:val="008E576C"/>
    <w:rsid w:val="008E57FE"/>
    <w:rsid w:val="008E5C03"/>
    <w:rsid w:val="008E5DAC"/>
    <w:rsid w:val="008E5F88"/>
    <w:rsid w:val="008E66CD"/>
    <w:rsid w:val="008E720B"/>
    <w:rsid w:val="008F04CF"/>
    <w:rsid w:val="008F0AE5"/>
    <w:rsid w:val="008F0CED"/>
    <w:rsid w:val="008F1036"/>
    <w:rsid w:val="008F13BE"/>
    <w:rsid w:val="008F29E7"/>
    <w:rsid w:val="008F2AD0"/>
    <w:rsid w:val="008F2C4E"/>
    <w:rsid w:val="008F2FE1"/>
    <w:rsid w:val="008F3387"/>
    <w:rsid w:val="008F3B71"/>
    <w:rsid w:val="008F42BE"/>
    <w:rsid w:val="008F4CAA"/>
    <w:rsid w:val="008F5F50"/>
    <w:rsid w:val="008F647D"/>
    <w:rsid w:val="008F6935"/>
    <w:rsid w:val="008F6EBE"/>
    <w:rsid w:val="008F7111"/>
    <w:rsid w:val="008F71C2"/>
    <w:rsid w:val="008F71E2"/>
    <w:rsid w:val="008F74EF"/>
    <w:rsid w:val="008F7801"/>
    <w:rsid w:val="008F7C3C"/>
    <w:rsid w:val="00903081"/>
    <w:rsid w:val="00903357"/>
    <w:rsid w:val="009034E2"/>
    <w:rsid w:val="0090375F"/>
    <w:rsid w:val="00903EB4"/>
    <w:rsid w:val="0090407A"/>
    <w:rsid w:val="00904BF0"/>
    <w:rsid w:val="00905A9F"/>
    <w:rsid w:val="00906302"/>
    <w:rsid w:val="00906455"/>
    <w:rsid w:val="00906577"/>
    <w:rsid w:val="00906849"/>
    <w:rsid w:val="00906E86"/>
    <w:rsid w:val="009073D5"/>
    <w:rsid w:val="009079A7"/>
    <w:rsid w:val="009105EB"/>
    <w:rsid w:val="009105FB"/>
    <w:rsid w:val="00910877"/>
    <w:rsid w:val="0091140E"/>
    <w:rsid w:val="00911D79"/>
    <w:rsid w:val="0091208A"/>
    <w:rsid w:val="009124B4"/>
    <w:rsid w:val="009128AB"/>
    <w:rsid w:val="0091345F"/>
    <w:rsid w:val="00915061"/>
    <w:rsid w:val="0091519A"/>
    <w:rsid w:val="00916278"/>
    <w:rsid w:val="00916FDA"/>
    <w:rsid w:val="00917366"/>
    <w:rsid w:val="0091764E"/>
    <w:rsid w:val="00917CAE"/>
    <w:rsid w:val="009205CB"/>
    <w:rsid w:val="009210B1"/>
    <w:rsid w:val="00921C57"/>
    <w:rsid w:val="009230B9"/>
    <w:rsid w:val="0092397A"/>
    <w:rsid w:val="009239BE"/>
    <w:rsid w:val="009241D3"/>
    <w:rsid w:val="00924481"/>
    <w:rsid w:val="00924502"/>
    <w:rsid w:val="009249A2"/>
    <w:rsid w:val="00925CBD"/>
    <w:rsid w:val="00927686"/>
    <w:rsid w:val="00927B5E"/>
    <w:rsid w:val="00930090"/>
    <w:rsid w:val="009303A0"/>
    <w:rsid w:val="00930AC6"/>
    <w:rsid w:val="00930F88"/>
    <w:rsid w:val="0093117B"/>
    <w:rsid w:val="00931500"/>
    <w:rsid w:val="009315EC"/>
    <w:rsid w:val="00931F27"/>
    <w:rsid w:val="00932135"/>
    <w:rsid w:val="00932927"/>
    <w:rsid w:val="00933091"/>
    <w:rsid w:val="00933309"/>
    <w:rsid w:val="00933B3D"/>
    <w:rsid w:val="0093520A"/>
    <w:rsid w:val="0093521E"/>
    <w:rsid w:val="00935689"/>
    <w:rsid w:val="009357A8"/>
    <w:rsid w:val="00935EC8"/>
    <w:rsid w:val="00935F4F"/>
    <w:rsid w:val="009367CF"/>
    <w:rsid w:val="0093711E"/>
    <w:rsid w:val="00937420"/>
    <w:rsid w:val="00937814"/>
    <w:rsid w:val="00937BF5"/>
    <w:rsid w:val="0094041B"/>
    <w:rsid w:val="00941644"/>
    <w:rsid w:val="009424B2"/>
    <w:rsid w:val="00942BF7"/>
    <w:rsid w:val="00943094"/>
    <w:rsid w:val="0094412C"/>
    <w:rsid w:val="00944A6B"/>
    <w:rsid w:val="00944F8C"/>
    <w:rsid w:val="00945056"/>
    <w:rsid w:val="0094521C"/>
    <w:rsid w:val="0094534E"/>
    <w:rsid w:val="009453D0"/>
    <w:rsid w:val="009456FA"/>
    <w:rsid w:val="009458FC"/>
    <w:rsid w:val="00946385"/>
    <w:rsid w:val="009468AB"/>
    <w:rsid w:val="0094778D"/>
    <w:rsid w:val="009478EF"/>
    <w:rsid w:val="00947F6A"/>
    <w:rsid w:val="00950336"/>
    <w:rsid w:val="00950F24"/>
    <w:rsid w:val="0095178B"/>
    <w:rsid w:val="00951BD4"/>
    <w:rsid w:val="00951FF6"/>
    <w:rsid w:val="0095247E"/>
    <w:rsid w:val="00952519"/>
    <w:rsid w:val="0095261E"/>
    <w:rsid w:val="00952C20"/>
    <w:rsid w:val="00952D13"/>
    <w:rsid w:val="00952FFA"/>
    <w:rsid w:val="00953D26"/>
    <w:rsid w:val="00953D6E"/>
    <w:rsid w:val="00953DE4"/>
    <w:rsid w:val="0095427C"/>
    <w:rsid w:val="009542D6"/>
    <w:rsid w:val="00954317"/>
    <w:rsid w:val="00954446"/>
    <w:rsid w:val="009548ED"/>
    <w:rsid w:val="00955F52"/>
    <w:rsid w:val="00956889"/>
    <w:rsid w:val="00956CE7"/>
    <w:rsid w:val="009570F5"/>
    <w:rsid w:val="009574B3"/>
    <w:rsid w:val="0095784F"/>
    <w:rsid w:val="009603C6"/>
    <w:rsid w:val="00960936"/>
    <w:rsid w:val="00960DD7"/>
    <w:rsid w:val="00961112"/>
    <w:rsid w:val="0096232B"/>
    <w:rsid w:val="00962E95"/>
    <w:rsid w:val="00963A3F"/>
    <w:rsid w:val="00963F09"/>
    <w:rsid w:val="009647E9"/>
    <w:rsid w:val="00964A60"/>
    <w:rsid w:val="00965272"/>
    <w:rsid w:val="00965946"/>
    <w:rsid w:val="00965B1E"/>
    <w:rsid w:val="00965B65"/>
    <w:rsid w:val="00965F0C"/>
    <w:rsid w:val="00965FC1"/>
    <w:rsid w:val="00966021"/>
    <w:rsid w:val="00966AB3"/>
    <w:rsid w:val="009671B2"/>
    <w:rsid w:val="00970165"/>
    <w:rsid w:val="00970D34"/>
    <w:rsid w:val="009711F8"/>
    <w:rsid w:val="00971FF0"/>
    <w:rsid w:val="009722FC"/>
    <w:rsid w:val="00972566"/>
    <w:rsid w:val="00972712"/>
    <w:rsid w:val="00972806"/>
    <w:rsid w:val="009730A7"/>
    <w:rsid w:val="00973338"/>
    <w:rsid w:val="00974176"/>
    <w:rsid w:val="009744BF"/>
    <w:rsid w:val="0097456A"/>
    <w:rsid w:val="0097470A"/>
    <w:rsid w:val="00974783"/>
    <w:rsid w:val="00975330"/>
    <w:rsid w:val="0097550A"/>
    <w:rsid w:val="0097635E"/>
    <w:rsid w:val="00976B55"/>
    <w:rsid w:val="00976EEB"/>
    <w:rsid w:val="0097701F"/>
    <w:rsid w:val="0097713D"/>
    <w:rsid w:val="00977EAD"/>
    <w:rsid w:val="009800C7"/>
    <w:rsid w:val="009807AF"/>
    <w:rsid w:val="00980956"/>
    <w:rsid w:val="00980DA9"/>
    <w:rsid w:val="00980F95"/>
    <w:rsid w:val="0098129A"/>
    <w:rsid w:val="00981A52"/>
    <w:rsid w:val="00982557"/>
    <w:rsid w:val="00982A21"/>
    <w:rsid w:val="00983F1B"/>
    <w:rsid w:val="0098425F"/>
    <w:rsid w:val="00984998"/>
    <w:rsid w:val="00986419"/>
    <w:rsid w:val="009868D8"/>
    <w:rsid w:val="00986A71"/>
    <w:rsid w:val="009904FC"/>
    <w:rsid w:val="00991B94"/>
    <w:rsid w:val="00991CE7"/>
    <w:rsid w:val="009922D1"/>
    <w:rsid w:val="00993673"/>
    <w:rsid w:val="0099376D"/>
    <w:rsid w:val="00994EC3"/>
    <w:rsid w:val="00994F7E"/>
    <w:rsid w:val="0099518F"/>
    <w:rsid w:val="0099524B"/>
    <w:rsid w:val="009956D6"/>
    <w:rsid w:val="00995C8E"/>
    <w:rsid w:val="00996042"/>
    <w:rsid w:val="009963A0"/>
    <w:rsid w:val="00996AEC"/>
    <w:rsid w:val="00997AAF"/>
    <w:rsid w:val="009A0148"/>
    <w:rsid w:val="009A02A8"/>
    <w:rsid w:val="009A0442"/>
    <w:rsid w:val="009A0C87"/>
    <w:rsid w:val="009A0E80"/>
    <w:rsid w:val="009A1A31"/>
    <w:rsid w:val="009A2C25"/>
    <w:rsid w:val="009A3020"/>
    <w:rsid w:val="009A3841"/>
    <w:rsid w:val="009A3ADF"/>
    <w:rsid w:val="009A3F96"/>
    <w:rsid w:val="009A451A"/>
    <w:rsid w:val="009A4838"/>
    <w:rsid w:val="009A58FE"/>
    <w:rsid w:val="009A5ED2"/>
    <w:rsid w:val="009A617E"/>
    <w:rsid w:val="009A6AD2"/>
    <w:rsid w:val="009A761B"/>
    <w:rsid w:val="009A76A5"/>
    <w:rsid w:val="009A7F4E"/>
    <w:rsid w:val="009B0ED4"/>
    <w:rsid w:val="009B1C95"/>
    <w:rsid w:val="009B309F"/>
    <w:rsid w:val="009B3602"/>
    <w:rsid w:val="009B3B46"/>
    <w:rsid w:val="009B3D98"/>
    <w:rsid w:val="009B46DD"/>
    <w:rsid w:val="009B5212"/>
    <w:rsid w:val="009B5310"/>
    <w:rsid w:val="009B5A97"/>
    <w:rsid w:val="009B604C"/>
    <w:rsid w:val="009B6088"/>
    <w:rsid w:val="009B6561"/>
    <w:rsid w:val="009B66AC"/>
    <w:rsid w:val="009B67BB"/>
    <w:rsid w:val="009B68F4"/>
    <w:rsid w:val="009B6A9F"/>
    <w:rsid w:val="009C03DF"/>
    <w:rsid w:val="009C0A53"/>
    <w:rsid w:val="009C0D0A"/>
    <w:rsid w:val="009C10BD"/>
    <w:rsid w:val="009C1313"/>
    <w:rsid w:val="009C1820"/>
    <w:rsid w:val="009C1A80"/>
    <w:rsid w:val="009C1CAF"/>
    <w:rsid w:val="009C21F0"/>
    <w:rsid w:val="009C28EE"/>
    <w:rsid w:val="009C2B6B"/>
    <w:rsid w:val="009C3724"/>
    <w:rsid w:val="009C411E"/>
    <w:rsid w:val="009C4355"/>
    <w:rsid w:val="009C438E"/>
    <w:rsid w:val="009C47E6"/>
    <w:rsid w:val="009C520A"/>
    <w:rsid w:val="009C6A86"/>
    <w:rsid w:val="009C6AB5"/>
    <w:rsid w:val="009C6C20"/>
    <w:rsid w:val="009C75B4"/>
    <w:rsid w:val="009D039B"/>
    <w:rsid w:val="009D03EB"/>
    <w:rsid w:val="009D04AB"/>
    <w:rsid w:val="009D081C"/>
    <w:rsid w:val="009D09C1"/>
    <w:rsid w:val="009D0FF8"/>
    <w:rsid w:val="009D10D9"/>
    <w:rsid w:val="009D160E"/>
    <w:rsid w:val="009D1809"/>
    <w:rsid w:val="009D24EC"/>
    <w:rsid w:val="009D3203"/>
    <w:rsid w:val="009D4C8A"/>
    <w:rsid w:val="009D4D03"/>
    <w:rsid w:val="009D5DB5"/>
    <w:rsid w:val="009D5DCC"/>
    <w:rsid w:val="009D68A9"/>
    <w:rsid w:val="009D6B90"/>
    <w:rsid w:val="009D7931"/>
    <w:rsid w:val="009D7C69"/>
    <w:rsid w:val="009E02C8"/>
    <w:rsid w:val="009E046B"/>
    <w:rsid w:val="009E1041"/>
    <w:rsid w:val="009E10A7"/>
    <w:rsid w:val="009E231E"/>
    <w:rsid w:val="009E2857"/>
    <w:rsid w:val="009E2DF3"/>
    <w:rsid w:val="009E38B1"/>
    <w:rsid w:val="009E3ADA"/>
    <w:rsid w:val="009E42F9"/>
    <w:rsid w:val="009E4396"/>
    <w:rsid w:val="009E4542"/>
    <w:rsid w:val="009E4CB1"/>
    <w:rsid w:val="009E4D3E"/>
    <w:rsid w:val="009E520E"/>
    <w:rsid w:val="009E532A"/>
    <w:rsid w:val="009E534D"/>
    <w:rsid w:val="009E561A"/>
    <w:rsid w:val="009E5BAA"/>
    <w:rsid w:val="009E614E"/>
    <w:rsid w:val="009E66F8"/>
    <w:rsid w:val="009E67A5"/>
    <w:rsid w:val="009E6D74"/>
    <w:rsid w:val="009E6ED0"/>
    <w:rsid w:val="009E7179"/>
    <w:rsid w:val="009E778F"/>
    <w:rsid w:val="009E7CBD"/>
    <w:rsid w:val="009E7CFF"/>
    <w:rsid w:val="009F05B1"/>
    <w:rsid w:val="009F05DE"/>
    <w:rsid w:val="009F0D4B"/>
    <w:rsid w:val="009F100F"/>
    <w:rsid w:val="009F12F5"/>
    <w:rsid w:val="009F1CFA"/>
    <w:rsid w:val="009F2021"/>
    <w:rsid w:val="009F292D"/>
    <w:rsid w:val="009F2968"/>
    <w:rsid w:val="009F2D25"/>
    <w:rsid w:val="009F43C3"/>
    <w:rsid w:val="009F47F6"/>
    <w:rsid w:val="009F4DCB"/>
    <w:rsid w:val="009F51AC"/>
    <w:rsid w:val="009F55E8"/>
    <w:rsid w:val="009F62A8"/>
    <w:rsid w:val="009F6328"/>
    <w:rsid w:val="009F6BD6"/>
    <w:rsid w:val="009F6C6B"/>
    <w:rsid w:val="009F6E7D"/>
    <w:rsid w:val="009F6FE2"/>
    <w:rsid w:val="009F77A4"/>
    <w:rsid w:val="009F7824"/>
    <w:rsid w:val="00A00504"/>
    <w:rsid w:val="00A008E8"/>
    <w:rsid w:val="00A01093"/>
    <w:rsid w:val="00A01A89"/>
    <w:rsid w:val="00A026A6"/>
    <w:rsid w:val="00A02B93"/>
    <w:rsid w:val="00A02FEB"/>
    <w:rsid w:val="00A0309D"/>
    <w:rsid w:val="00A03871"/>
    <w:rsid w:val="00A0474B"/>
    <w:rsid w:val="00A049B8"/>
    <w:rsid w:val="00A0584A"/>
    <w:rsid w:val="00A05C26"/>
    <w:rsid w:val="00A06453"/>
    <w:rsid w:val="00A0649A"/>
    <w:rsid w:val="00A06897"/>
    <w:rsid w:val="00A06C2C"/>
    <w:rsid w:val="00A06D2E"/>
    <w:rsid w:val="00A070C8"/>
    <w:rsid w:val="00A0749F"/>
    <w:rsid w:val="00A101C6"/>
    <w:rsid w:val="00A105FC"/>
    <w:rsid w:val="00A10642"/>
    <w:rsid w:val="00A1076D"/>
    <w:rsid w:val="00A10CDE"/>
    <w:rsid w:val="00A11E1A"/>
    <w:rsid w:val="00A12441"/>
    <w:rsid w:val="00A132C7"/>
    <w:rsid w:val="00A134F7"/>
    <w:rsid w:val="00A13D91"/>
    <w:rsid w:val="00A13EDB"/>
    <w:rsid w:val="00A1478E"/>
    <w:rsid w:val="00A147EB"/>
    <w:rsid w:val="00A14A3D"/>
    <w:rsid w:val="00A14B21"/>
    <w:rsid w:val="00A1610D"/>
    <w:rsid w:val="00A1696B"/>
    <w:rsid w:val="00A20464"/>
    <w:rsid w:val="00A204B3"/>
    <w:rsid w:val="00A20524"/>
    <w:rsid w:val="00A209F8"/>
    <w:rsid w:val="00A20CEE"/>
    <w:rsid w:val="00A217B9"/>
    <w:rsid w:val="00A22421"/>
    <w:rsid w:val="00A22B04"/>
    <w:rsid w:val="00A22BED"/>
    <w:rsid w:val="00A234F0"/>
    <w:rsid w:val="00A235E4"/>
    <w:rsid w:val="00A23D3C"/>
    <w:rsid w:val="00A23EF0"/>
    <w:rsid w:val="00A24371"/>
    <w:rsid w:val="00A24784"/>
    <w:rsid w:val="00A248B8"/>
    <w:rsid w:val="00A24BB8"/>
    <w:rsid w:val="00A24F3E"/>
    <w:rsid w:val="00A24F68"/>
    <w:rsid w:val="00A2556C"/>
    <w:rsid w:val="00A2613B"/>
    <w:rsid w:val="00A26981"/>
    <w:rsid w:val="00A26A8C"/>
    <w:rsid w:val="00A2708A"/>
    <w:rsid w:val="00A2719E"/>
    <w:rsid w:val="00A272CE"/>
    <w:rsid w:val="00A27482"/>
    <w:rsid w:val="00A277C8"/>
    <w:rsid w:val="00A3012D"/>
    <w:rsid w:val="00A30EEF"/>
    <w:rsid w:val="00A31ADC"/>
    <w:rsid w:val="00A31DB7"/>
    <w:rsid w:val="00A32932"/>
    <w:rsid w:val="00A32A18"/>
    <w:rsid w:val="00A34AEC"/>
    <w:rsid w:val="00A35012"/>
    <w:rsid w:val="00A356E1"/>
    <w:rsid w:val="00A35729"/>
    <w:rsid w:val="00A36263"/>
    <w:rsid w:val="00A36368"/>
    <w:rsid w:val="00A36709"/>
    <w:rsid w:val="00A372B8"/>
    <w:rsid w:val="00A37358"/>
    <w:rsid w:val="00A377EB"/>
    <w:rsid w:val="00A37C67"/>
    <w:rsid w:val="00A37FFA"/>
    <w:rsid w:val="00A40811"/>
    <w:rsid w:val="00A40DAF"/>
    <w:rsid w:val="00A41C4E"/>
    <w:rsid w:val="00A41F69"/>
    <w:rsid w:val="00A42894"/>
    <w:rsid w:val="00A42E70"/>
    <w:rsid w:val="00A42EFB"/>
    <w:rsid w:val="00A43851"/>
    <w:rsid w:val="00A43917"/>
    <w:rsid w:val="00A4392B"/>
    <w:rsid w:val="00A43EB5"/>
    <w:rsid w:val="00A4424B"/>
    <w:rsid w:val="00A454DC"/>
    <w:rsid w:val="00A4687D"/>
    <w:rsid w:val="00A46CB6"/>
    <w:rsid w:val="00A503D9"/>
    <w:rsid w:val="00A50486"/>
    <w:rsid w:val="00A5134E"/>
    <w:rsid w:val="00A51C88"/>
    <w:rsid w:val="00A522D4"/>
    <w:rsid w:val="00A538A7"/>
    <w:rsid w:val="00A542CF"/>
    <w:rsid w:val="00A54580"/>
    <w:rsid w:val="00A54CCF"/>
    <w:rsid w:val="00A54DD5"/>
    <w:rsid w:val="00A566E6"/>
    <w:rsid w:val="00A568DE"/>
    <w:rsid w:val="00A56915"/>
    <w:rsid w:val="00A56994"/>
    <w:rsid w:val="00A579EC"/>
    <w:rsid w:val="00A57D87"/>
    <w:rsid w:val="00A57F01"/>
    <w:rsid w:val="00A60300"/>
    <w:rsid w:val="00A60E59"/>
    <w:rsid w:val="00A61B40"/>
    <w:rsid w:val="00A61BDF"/>
    <w:rsid w:val="00A61BE4"/>
    <w:rsid w:val="00A6219E"/>
    <w:rsid w:val="00A623D7"/>
    <w:rsid w:val="00A630EA"/>
    <w:rsid w:val="00A635F1"/>
    <w:rsid w:val="00A63B5E"/>
    <w:rsid w:val="00A63CE7"/>
    <w:rsid w:val="00A642D0"/>
    <w:rsid w:val="00A64877"/>
    <w:rsid w:val="00A653DC"/>
    <w:rsid w:val="00A6617A"/>
    <w:rsid w:val="00A6627A"/>
    <w:rsid w:val="00A674ED"/>
    <w:rsid w:val="00A67B58"/>
    <w:rsid w:val="00A67DB2"/>
    <w:rsid w:val="00A701B2"/>
    <w:rsid w:val="00A706D8"/>
    <w:rsid w:val="00A706FF"/>
    <w:rsid w:val="00A71A5E"/>
    <w:rsid w:val="00A731B4"/>
    <w:rsid w:val="00A735E8"/>
    <w:rsid w:val="00A741B5"/>
    <w:rsid w:val="00A749D4"/>
    <w:rsid w:val="00A74B21"/>
    <w:rsid w:val="00A74CC7"/>
    <w:rsid w:val="00A75045"/>
    <w:rsid w:val="00A7525F"/>
    <w:rsid w:val="00A75535"/>
    <w:rsid w:val="00A75815"/>
    <w:rsid w:val="00A76534"/>
    <w:rsid w:val="00A776EF"/>
    <w:rsid w:val="00A80F83"/>
    <w:rsid w:val="00A81076"/>
    <w:rsid w:val="00A814B9"/>
    <w:rsid w:val="00A814DA"/>
    <w:rsid w:val="00A81DB8"/>
    <w:rsid w:val="00A81FC8"/>
    <w:rsid w:val="00A82C42"/>
    <w:rsid w:val="00A8365B"/>
    <w:rsid w:val="00A83D0C"/>
    <w:rsid w:val="00A847CC"/>
    <w:rsid w:val="00A849C9"/>
    <w:rsid w:val="00A84D1C"/>
    <w:rsid w:val="00A8653C"/>
    <w:rsid w:val="00A8727D"/>
    <w:rsid w:val="00A8750F"/>
    <w:rsid w:val="00A87A76"/>
    <w:rsid w:val="00A87D7A"/>
    <w:rsid w:val="00A9053E"/>
    <w:rsid w:val="00A90C77"/>
    <w:rsid w:val="00A912F6"/>
    <w:rsid w:val="00A913F9"/>
    <w:rsid w:val="00A91484"/>
    <w:rsid w:val="00A91EA5"/>
    <w:rsid w:val="00A92D38"/>
    <w:rsid w:val="00A92D7A"/>
    <w:rsid w:val="00A9330E"/>
    <w:rsid w:val="00A93C5D"/>
    <w:rsid w:val="00A94B80"/>
    <w:rsid w:val="00A94EA5"/>
    <w:rsid w:val="00A95CB1"/>
    <w:rsid w:val="00A96E18"/>
    <w:rsid w:val="00A96F36"/>
    <w:rsid w:val="00A97311"/>
    <w:rsid w:val="00A97563"/>
    <w:rsid w:val="00AA019B"/>
    <w:rsid w:val="00AA01A1"/>
    <w:rsid w:val="00AA0692"/>
    <w:rsid w:val="00AA1622"/>
    <w:rsid w:val="00AA1FBE"/>
    <w:rsid w:val="00AA21B4"/>
    <w:rsid w:val="00AA2995"/>
    <w:rsid w:val="00AA2CC6"/>
    <w:rsid w:val="00AA4143"/>
    <w:rsid w:val="00AA49AA"/>
    <w:rsid w:val="00AA4DA1"/>
    <w:rsid w:val="00AA5EED"/>
    <w:rsid w:val="00AA6C99"/>
    <w:rsid w:val="00AA71B7"/>
    <w:rsid w:val="00AA76B0"/>
    <w:rsid w:val="00AB05A4"/>
    <w:rsid w:val="00AB19B7"/>
    <w:rsid w:val="00AB20EB"/>
    <w:rsid w:val="00AB2626"/>
    <w:rsid w:val="00AB2BCA"/>
    <w:rsid w:val="00AB329E"/>
    <w:rsid w:val="00AB3C48"/>
    <w:rsid w:val="00AB44CC"/>
    <w:rsid w:val="00AB4824"/>
    <w:rsid w:val="00AB4890"/>
    <w:rsid w:val="00AB48EF"/>
    <w:rsid w:val="00AB4F86"/>
    <w:rsid w:val="00AB552B"/>
    <w:rsid w:val="00AB56BA"/>
    <w:rsid w:val="00AB5B2F"/>
    <w:rsid w:val="00AB6627"/>
    <w:rsid w:val="00AB66E4"/>
    <w:rsid w:val="00AB6C2E"/>
    <w:rsid w:val="00AB6D18"/>
    <w:rsid w:val="00AB7A53"/>
    <w:rsid w:val="00AC00CB"/>
    <w:rsid w:val="00AC18B2"/>
    <w:rsid w:val="00AC1E52"/>
    <w:rsid w:val="00AC20E1"/>
    <w:rsid w:val="00AC2164"/>
    <w:rsid w:val="00AC2B5C"/>
    <w:rsid w:val="00AC2FEF"/>
    <w:rsid w:val="00AC453D"/>
    <w:rsid w:val="00AC617F"/>
    <w:rsid w:val="00AC6181"/>
    <w:rsid w:val="00AC63F3"/>
    <w:rsid w:val="00AC661A"/>
    <w:rsid w:val="00AC6859"/>
    <w:rsid w:val="00AC69D0"/>
    <w:rsid w:val="00AC6FDA"/>
    <w:rsid w:val="00AC790E"/>
    <w:rsid w:val="00AD0B64"/>
    <w:rsid w:val="00AD0CE0"/>
    <w:rsid w:val="00AD1588"/>
    <w:rsid w:val="00AD1621"/>
    <w:rsid w:val="00AD227F"/>
    <w:rsid w:val="00AD2E0B"/>
    <w:rsid w:val="00AD33CC"/>
    <w:rsid w:val="00AD3906"/>
    <w:rsid w:val="00AD4038"/>
    <w:rsid w:val="00AD423D"/>
    <w:rsid w:val="00AD4A2D"/>
    <w:rsid w:val="00AD4ED6"/>
    <w:rsid w:val="00AD56D9"/>
    <w:rsid w:val="00AD5F7C"/>
    <w:rsid w:val="00AD67C1"/>
    <w:rsid w:val="00AD755F"/>
    <w:rsid w:val="00AD7F34"/>
    <w:rsid w:val="00AE019E"/>
    <w:rsid w:val="00AE01F7"/>
    <w:rsid w:val="00AE1490"/>
    <w:rsid w:val="00AE164F"/>
    <w:rsid w:val="00AE24ED"/>
    <w:rsid w:val="00AE2C2C"/>
    <w:rsid w:val="00AE2D1C"/>
    <w:rsid w:val="00AE3159"/>
    <w:rsid w:val="00AE3F4B"/>
    <w:rsid w:val="00AE40B4"/>
    <w:rsid w:val="00AE4805"/>
    <w:rsid w:val="00AE4BB1"/>
    <w:rsid w:val="00AE4F2B"/>
    <w:rsid w:val="00AE5FE2"/>
    <w:rsid w:val="00AE62A4"/>
    <w:rsid w:val="00AE7BD4"/>
    <w:rsid w:val="00AE7DFE"/>
    <w:rsid w:val="00AF0422"/>
    <w:rsid w:val="00AF0DF8"/>
    <w:rsid w:val="00AF10E3"/>
    <w:rsid w:val="00AF1591"/>
    <w:rsid w:val="00AF1E92"/>
    <w:rsid w:val="00AF259D"/>
    <w:rsid w:val="00AF2A71"/>
    <w:rsid w:val="00AF39DB"/>
    <w:rsid w:val="00AF3A1C"/>
    <w:rsid w:val="00AF4AF8"/>
    <w:rsid w:val="00AF4D2B"/>
    <w:rsid w:val="00AF552E"/>
    <w:rsid w:val="00AF5A34"/>
    <w:rsid w:val="00AF5C98"/>
    <w:rsid w:val="00AF6226"/>
    <w:rsid w:val="00AF62FD"/>
    <w:rsid w:val="00AF68CB"/>
    <w:rsid w:val="00AF69D6"/>
    <w:rsid w:val="00AF6F5C"/>
    <w:rsid w:val="00AF738A"/>
    <w:rsid w:val="00AF7BE8"/>
    <w:rsid w:val="00B00394"/>
    <w:rsid w:val="00B00548"/>
    <w:rsid w:val="00B00849"/>
    <w:rsid w:val="00B00D9D"/>
    <w:rsid w:val="00B013AD"/>
    <w:rsid w:val="00B01706"/>
    <w:rsid w:val="00B01CE7"/>
    <w:rsid w:val="00B01F38"/>
    <w:rsid w:val="00B020C3"/>
    <w:rsid w:val="00B0254E"/>
    <w:rsid w:val="00B031B3"/>
    <w:rsid w:val="00B032E7"/>
    <w:rsid w:val="00B03FE4"/>
    <w:rsid w:val="00B0471A"/>
    <w:rsid w:val="00B049C8"/>
    <w:rsid w:val="00B04B0F"/>
    <w:rsid w:val="00B0537B"/>
    <w:rsid w:val="00B05E95"/>
    <w:rsid w:val="00B061AE"/>
    <w:rsid w:val="00B065BF"/>
    <w:rsid w:val="00B06DA0"/>
    <w:rsid w:val="00B073CF"/>
    <w:rsid w:val="00B07A4F"/>
    <w:rsid w:val="00B10787"/>
    <w:rsid w:val="00B114B0"/>
    <w:rsid w:val="00B114CC"/>
    <w:rsid w:val="00B11FE8"/>
    <w:rsid w:val="00B127E2"/>
    <w:rsid w:val="00B12C01"/>
    <w:rsid w:val="00B1340A"/>
    <w:rsid w:val="00B13888"/>
    <w:rsid w:val="00B13AAC"/>
    <w:rsid w:val="00B14648"/>
    <w:rsid w:val="00B149FC"/>
    <w:rsid w:val="00B14A22"/>
    <w:rsid w:val="00B14F78"/>
    <w:rsid w:val="00B157EC"/>
    <w:rsid w:val="00B1590E"/>
    <w:rsid w:val="00B16BC3"/>
    <w:rsid w:val="00B16C55"/>
    <w:rsid w:val="00B16FC4"/>
    <w:rsid w:val="00B1777C"/>
    <w:rsid w:val="00B17B10"/>
    <w:rsid w:val="00B201E7"/>
    <w:rsid w:val="00B201FB"/>
    <w:rsid w:val="00B21917"/>
    <w:rsid w:val="00B21CF5"/>
    <w:rsid w:val="00B226D6"/>
    <w:rsid w:val="00B22DE3"/>
    <w:rsid w:val="00B233C3"/>
    <w:rsid w:val="00B238B6"/>
    <w:rsid w:val="00B23AAD"/>
    <w:rsid w:val="00B24876"/>
    <w:rsid w:val="00B2495C"/>
    <w:rsid w:val="00B2591A"/>
    <w:rsid w:val="00B27367"/>
    <w:rsid w:val="00B27543"/>
    <w:rsid w:val="00B30472"/>
    <w:rsid w:val="00B31551"/>
    <w:rsid w:val="00B31813"/>
    <w:rsid w:val="00B31D59"/>
    <w:rsid w:val="00B31DB2"/>
    <w:rsid w:val="00B3200C"/>
    <w:rsid w:val="00B3296A"/>
    <w:rsid w:val="00B32B8F"/>
    <w:rsid w:val="00B3320C"/>
    <w:rsid w:val="00B332C2"/>
    <w:rsid w:val="00B33C51"/>
    <w:rsid w:val="00B34A80"/>
    <w:rsid w:val="00B34C24"/>
    <w:rsid w:val="00B35074"/>
    <w:rsid w:val="00B356C5"/>
    <w:rsid w:val="00B356EB"/>
    <w:rsid w:val="00B359C4"/>
    <w:rsid w:val="00B368F7"/>
    <w:rsid w:val="00B37859"/>
    <w:rsid w:val="00B4001F"/>
    <w:rsid w:val="00B40520"/>
    <w:rsid w:val="00B405E3"/>
    <w:rsid w:val="00B40BA9"/>
    <w:rsid w:val="00B40C12"/>
    <w:rsid w:val="00B40CA4"/>
    <w:rsid w:val="00B41374"/>
    <w:rsid w:val="00B41E6E"/>
    <w:rsid w:val="00B42BA3"/>
    <w:rsid w:val="00B42DDA"/>
    <w:rsid w:val="00B434D4"/>
    <w:rsid w:val="00B44D6E"/>
    <w:rsid w:val="00B45A3A"/>
    <w:rsid w:val="00B45D2A"/>
    <w:rsid w:val="00B4624D"/>
    <w:rsid w:val="00B47135"/>
    <w:rsid w:val="00B5057F"/>
    <w:rsid w:val="00B51942"/>
    <w:rsid w:val="00B51C8C"/>
    <w:rsid w:val="00B524DA"/>
    <w:rsid w:val="00B52CD2"/>
    <w:rsid w:val="00B53B61"/>
    <w:rsid w:val="00B53CAD"/>
    <w:rsid w:val="00B53E18"/>
    <w:rsid w:val="00B54260"/>
    <w:rsid w:val="00B54836"/>
    <w:rsid w:val="00B54D8A"/>
    <w:rsid w:val="00B54F30"/>
    <w:rsid w:val="00B55425"/>
    <w:rsid w:val="00B55B0B"/>
    <w:rsid w:val="00B563CE"/>
    <w:rsid w:val="00B57043"/>
    <w:rsid w:val="00B576C7"/>
    <w:rsid w:val="00B57954"/>
    <w:rsid w:val="00B57F38"/>
    <w:rsid w:val="00B6099F"/>
    <w:rsid w:val="00B61118"/>
    <w:rsid w:val="00B62432"/>
    <w:rsid w:val="00B62B01"/>
    <w:rsid w:val="00B62E26"/>
    <w:rsid w:val="00B63025"/>
    <w:rsid w:val="00B6306C"/>
    <w:rsid w:val="00B63D47"/>
    <w:rsid w:val="00B63DF8"/>
    <w:rsid w:val="00B63EFD"/>
    <w:rsid w:val="00B640FF"/>
    <w:rsid w:val="00B64F8A"/>
    <w:rsid w:val="00B65405"/>
    <w:rsid w:val="00B654E1"/>
    <w:rsid w:val="00B6596E"/>
    <w:rsid w:val="00B6599B"/>
    <w:rsid w:val="00B66098"/>
    <w:rsid w:val="00B66109"/>
    <w:rsid w:val="00B6698B"/>
    <w:rsid w:val="00B66E97"/>
    <w:rsid w:val="00B6794B"/>
    <w:rsid w:val="00B6797D"/>
    <w:rsid w:val="00B7127E"/>
    <w:rsid w:val="00B71AE0"/>
    <w:rsid w:val="00B7401B"/>
    <w:rsid w:val="00B74920"/>
    <w:rsid w:val="00B74BC4"/>
    <w:rsid w:val="00B75D30"/>
    <w:rsid w:val="00B76308"/>
    <w:rsid w:val="00B76496"/>
    <w:rsid w:val="00B767AB"/>
    <w:rsid w:val="00B76AE6"/>
    <w:rsid w:val="00B77432"/>
    <w:rsid w:val="00B77593"/>
    <w:rsid w:val="00B77CD1"/>
    <w:rsid w:val="00B77D2E"/>
    <w:rsid w:val="00B77D35"/>
    <w:rsid w:val="00B802E6"/>
    <w:rsid w:val="00B80367"/>
    <w:rsid w:val="00B8078C"/>
    <w:rsid w:val="00B80A2D"/>
    <w:rsid w:val="00B814F3"/>
    <w:rsid w:val="00B819D1"/>
    <w:rsid w:val="00B81A1D"/>
    <w:rsid w:val="00B81DAC"/>
    <w:rsid w:val="00B820F2"/>
    <w:rsid w:val="00B82CB4"/>
    <w:rsid w:val="00B839CC"/>
    <w:rsid w:val="00B83ACC"/>
    <w:rsid w:val="00B83D88"/>
    <w:rsid w:val="00B83E6D"/>
    <w:rsid w:val="00B8410C"/>
    <w:rsid w:val="00B84136"/>
    <w:rsid w:val="00B84C69"/>
    <w:rsid w:val="00B8500A"/>
    <w:rsid w:val="00B850B3"/>
    <w:rsid w:val="00B857A8"/>
    <w:rsid w:val="00B85E61"/>
    <w:rsid w:val="00B86702"/>
    <w:rsid w:val="00B8692E"/>
    <w:rsid w:val="00B875D6"/>
    <w:rsid w:val="00B8779F"/>
    <w:rsid w:val="00B878AF"/>
    <w:rsid w:val="00B87B3D"/>
    <w:rsid w:val="00B87FBD"/>
    <w:rsid w:val="00B90083"/>
    <w:rsid w:val="00B90479"/>
    <w:rsid w:val="00B9050F"/>
    <w:rsid w:val="00B9077A"/>
    <w:rsid w:val="00B90A08"/>
    <w:rsid w:val="00B90E61"/>
    <w:rsid w:val="00B91073"/>
    <w:rsid w:val="00B91162"/>
    <w:rsid w:val="00B91642"/>
    <w:rsid w:val="00B91DC0"/>
    <w:rsid w:val="00B91FEA"/>
    <w:rsid w:val="00B920BB"/>
    <w:rsid w:val="00B92A44"/>
    <w:rsid w:val="00B92C98"/>
    <w:rsid w:val="00B92EC2"/>
    <w:rsid w:val="00B93755"/>
    <w:rsid w:val="00B93B46"/>
    <w:rsid w:val="00B93E19"/>
    <w:rsid w:val="00B9421F"/>
    <w:rsid w:val="00B94DE7"/>
    <w:rsid w:val="00B953F3"/>
    <w:rsid w:val="00B958EC"/>
    <w:rsid w:val="00B95BBB"/>
    <w:rsid w:val="00B96046"/>
    <w:rsid w:val="00B969A5"/>
    <w:rsid w:val="00B9730E"/>
    <w:rsid w:val="00B974D7"/>
    <w:rsid w:val="00B97538"/>
    <w:rsid w:val="00B978E8"/>
    <w:rsid w:val="00B97F27"/>
    <w:rsid w:val="00BA0213"/>
    <w:rsid w:val="00BA0226"/>
    <w:rsid w:val="00BA0798"/>
    <w:rsid w:val="00BA14C0"/>
    <w:rsid w:val="00BA17F9"/>
    <w:rsid w:val="00BA2154"/>
    <w:rsid w:val="00BA270F"/>
    <w:rsid w:val="00BA3F00"/>
    <w:rsid w:val="00BA3FA4"/>
    <w:rsid w:val="00BA4712"/>
    <w:rsid w:val="00BA5581"/>
    <w:rsid w:val="00BA5AA5"/>
    <w:rsid w:val="00BA647F"/>
    <w:rsid w:val="00BA6547"/>
    <w:rsid w:val="00BA6F05"/>
    <w:rsid w:val="00BA70CF"/>
    <w:rsid w:val="00BA74C8"/>
    <w:rsid w:val="00BA74DB"/>
    <w:rsid w:val="00BA760C"/>
    <w:rsid w:val="00BA7EB9"/>
    <w:rsid w:val="00BB092F"/>
    <w:rsid w:val="00BB0D88"/>
    <w:rsid w:val="00BB104C"/>
    <w:rsid w:val="00BB1065"/>
    <w:rsid w:val="00BB16E5"/>
    <w:rsid w:val="00BB1BA4"/>
    <w:rsid w:val="00BB223D"/>
    <w:rsid w:val="00BB2D6A"/>
    <w:rsid w:val="00BB3B0B"/>
    <w:rsid w:val="00BB3BDB"/>
    <w:rsid w:val="00BB3CB4"/>
    <w:rsid w:val="00BB420D"/>
    <w:rsid w:val="00BB56B6"/>
    <w:rsid w:val="00BB6743"/>
    <w:rsid w:val="00BB7A1C"/>
    <w:rsid w:val="00BB7D55"/>
    <w:rsid w:val="00BB7F92"/>
    <w:rsid w:val="00BC0143"/>
    <w:rsid w:val="00BC07A6"/>
    <w:rsid w:val="00BC0C08"/>
    <w:rsid w:val="00BC0E32"/>
    <w:rsid w:val="00BC126D"/>
    <w:rsid w:val="00BC249F"/>
    <w:rsid w:val="00BC2992"/>
    <w:rsid w:val="00BC35EC"/>
    <w:rsid w:val="00BC3FE0"/>
    <w:rsid w:val="00BC4319"/>
    <w:rsid w:val="00BC4FF6"/>
    <w:rsid w:val="00BC50C6"/>
    <w:rsid w:val="00BC539C"/>
    <w:rsid w:val="00BC5766"/>
    <w:rsid w:val="00BC5F23"/>
    <w:rsid w:val="00BC6B5A"/>
    <w:rsid w:val="00BC6FE6"/>
    <w:rsid w:val="00BD0787"/>
    <w:rsid w:val="00BD0E23"/>
    <w:rsid w:val="00BD1195"/>
    <w:rsid w:val="00BD1278"/>
    <w:rsid w:val="00BD19F8"/>
    <w:rsid w:val="00BD1D45"/>
    <w:rsid w:val="00BD2E70"/>
    <w:rsid w:val="00BD45D3"/>
    <w:rsid w:val="00BD4963"/>
    <w:rsid w:val="00BD550A"/>
    <w:rsid w:val="00BD68DE"/>
    <w:rsid w:val="00BD6DF0"/>
    <w:rsid w:val="00BD6FB4"/>
    <w:rsid w:val="00BD701A"/>
    <w:rsid w:val="00BE0899"/>
    <w:rsid w:val="00BE0FE7"/>
    <w:rsid w:val="00BE1404"/>
    <w:rsid w:val="00BE1575"/>
    <w:rsid w:val="00BE1B1B"/>
    <w:rsid w:val="00BE1F78"/>
    <w:rsid w:val="00BE2903"/>
    <w:rsid w:val="00BE319B"/>
    <w:rsid w:val="00BE35CB"/>
    <w:rsid w:val="00BE48B8"/>
    <w:rsid w:val="00BE4EA8"/>
    <w:rsid w:val="00BE4EAB"/>
    <w:rsid w:val="00BE7C7E"/>
    <w:rsid w:val="00BF00E2"/>
    <w:rsid w:val="00BF06CE"/>
    <w:rsid w:val="00BF103B"/>
    <w:rsid w:val="00BF164A"/>
    <w:rsid w:val="00BF17BE"/>
    <w:rsid w:val="00BF1C1E"/>
    <w:rsid w:val="00BF2014"/>
    <w:rsid w:val="00BF213D"/>
    <w:rsid w:val="00BF2556"/>
    <w:rsid w:val="00BF2FE2"/>
    <w:rsid w:val="00BF3176"/>
    <w:rsid w:val="00BF3ABD"/>
    <w:rsid w:val="00BF3CE8"/>
    <w:rsid w:val="00BF4262"/>
    <w:rsid w:val="00BF5139"/>
    <w:rsid w:val="00BF517F"/>
    <w:rsid w:val="00BF528C"/>
    <w:rsid w:val="00BF5417"/>
    <w:rsid w:val="00BF5748"/>
    <w:rsid w:val="00BF5BED"/>
    <w:rsid w:val="00BF6B32"/>
    <w:rsid w:val="00C0038E"/>
    <w:rsid w:val="00C00BDC"/>
    <w:rsid w:val="00C00D90"/>
    <w:rsid w:val="00C011C2"/>
    <w:rsid w:val="00C01C4F"/>
    <w:rsid w:val="00C01CC4"/>
    <w:rsid w:val="00C02002"/>
    <w:rsid w:val="00C026DE"/>
    <w:rsid w:val="00C027D8"/>
    <w:rsid w:val="00C02AB5"/>
    <w:rsid w:val="00C02D9E"/>
    <w:rsid w:val="00C033A4"/>
    <w:rsid w:val="00C04C3C"/>
    <w:rsid w:val="00C04CE6"/>
    <w:rsid w:val="00C04E73"/>
    <w:rsid w:val="00C051B1"/>
    <w:rsid w:val="00C055DF"/>
    <w:rsid w:val="00C05DAA"/>
    <w:rsid w:val="00C06007"/>
    <w:rsid w:val="00C0670E"/>
    <w:rsid w:val="00C06CC5"/>
    <w:rsid w:val="00C07147"/>
    <w:rsid w:val="00C07236"/>
    <w:rsid w:val="00C074EE"/>
    <w:rsid w:val="00C0762E"/>
    <w:rsid w:val="00C0799A"/>
    <w:rsid w:val="00C07AA5"/>
    <w:rsid w:val="00C07CB5"/>
    <w:rsid w:val="00C07E7A"/>
    <w:rsid w:val="00C104C5"/>
    <w:rsid w:val="00C106A3"/>
    <w:rsid w:val="00C10D60"/>
    <w:rsid w:val="00C10E41"/>
    <w:rsid w:val="00C11A0C"/>
    <w:rsid w:val="00C12486"/>
    <w:rsid w:val="00C127CF"/>
    <w:rsid w:val="00C12E7D"/>
    <w:rsid w:val="00C134F4"/>
    <w:rsid w:val="00C13F0A"/>
    <w:rsid w:val="00C142FD"/>
    <w:rsid w:val="00C1451C"/>
    <w:rsid w:val="00C145E6"/>
    <w:rsid w:val="00C1480F"/>
    <w:rsid w:val="00C14904"/>
    <w:rsid w:val="00C14A42"/>
    <w:rsid w:val="00C15136"/>
    <w:rsid w:val="00C15582"/>
    <w:rsid w:val="00C16D3C"/>
    <w:rsid w:val="00C17084"/>
    <w:rsid w:val="00C17766"/>
    <w:rsid w:val="00C17CC9"/>
    <w:rsid w:val="00C17EBB"/>
    <w:rsid w:val="00C209FD"/>
    <w:rsid w:val="00C2130F"/>
    <w:rsid w:val="00C21320"/>
    <w:rsid w:val="00C21441"/>
    <w:rsid w:val="00C21702"/>
    <w:rsid w:val="00C2206F"/>
    <w:rsid w:val="00C220B2"/>
    <w:rsid w:val="00C22325"/>
    <w:rsid w:val="00C2375F"/>
    <w:rsid w:val="00C23E85"/>
    <w:rsid w:val="00C24021"/>
    <w:rsid w:val="00C248A3"/>
    <w:rsid w:val="00C25870"/>
    <w:rsid w:val="00C25C24"/>
    <w:rsid w:val="00C26FC8"/>
    <w:rsid w:val="00C30EA1"/>
    <w:rsid w:val="00C31117"/>
    <w:rsid w:val="00C3180E"/>
    <w:rsid w:val="00C319C1"/>
    <w:rsid w:val="00C31AE8"/>
    <w:rsid w:val="00C3210B"/>
    <w:rsid w:val="00C32864"/>
    <w:rsid w:val="00C3381A"/>
    <w:rsid w:val="00C33BC4"/>
    <w:rsid w:val="00C33F4C"/>
    <w:rsid w:val="00C3421C"/>
    <w:rsid w:val="00C34B2F"/>
    <w:rsid w:val="00C35007"/>
    <w:rsid w:val="00C36297"/>
    <w:rsid w:val="00C36627"/>
    <w:rsid w:val="00C36752"/>
    <w:rsid w:val="00C371FD"/>
    <w:rsid w:val="00C37206"/>
    <w:rsid w:val="00C37269"/>
    <w:rsid w:val="00C37CF9"/>
    <w:rsid w:val="00C37DD7"/>
    <w:rsid w:val="00C4024D"/>
    <w:rsid w:val="00C40686"/>
    <w:rsid w:val="00C40E05"/>
    <w:rsid w:val="00C40F94"/>
    <w:rsid w:val="00C41578"/>
    <w:rsid w:val="00C41743"/>
    <w:rsid w:val="00C41D6D"/>
    <w:rsid w:val="00C41E7E"/>
    <w:rsid w:val="00C4218A"/>
    <w:rsid w:val="00C422A0"/>
    <w:rsid w:val="00C42809"/>
    <w:rsid w:val="00C43C83"/>
    <w:rsid w:val="00C43E54"/>
    <w:rsid w:val="00C45256"/>
    <w:rsid w:val="00C45382"/>
    <w:rsid w:val="00C455EB"/>
    <w:rsid w:val="00C45979"/>
    <w:rsid w:val="00C46222"/>
    <w:rsid w:val="00C46615"/>
    <w:rsid w:val="00C46E21"/>
    <w:rsid w:val="00C4786C"/>
    <w:rsid w:val="00C501FB"/>
    <w:rsid w:val="00C507E4"/>
    <w:rsid w:val="00C50D22"/>
    <w:rsid w:val="00C51234"/>
    <w:rsid w:val="00C5127B"/>
    <w:rsid w:val="00C52624"/>
    <w:rsid w:val="00C53243"/>
    <w:rsid w:val="00C53564"/>
    <w:rsid w:val="00C53D12"/>
    <w:rsid w:val="00C54E3A"/>
    <w:rsid w:val="00C5555A"/>
    <w:rsid w:val="00C55570"/>
    <w:rsid w:val="00C5592F"/>
    <w:rsid w:val="00C567AC"/>
    <w:rsid w:val="00C5695B"/>
    <w:rsid w:val="00C5698F"/>
    <w:rsid w:val="00C56B39"/>
    <w:rsid w:val="00C5726A"/>
    <w:rsid w:val="00C57382"/>
    <w:rsid w:val="00C57439"/>
    <w:rsid w:val="00C57545"/>
    <w:rsid w:val="00C5769C"/>
    <w:rsid w:val="00C57CC7"/>
    <w:rsid w:val="00C60319"/>
    <w:rsid w:val="00C60A3A"/>
    <w:rsid w:val="00C60C02"/>
    <w:rsid w:val="00C62123"/>
    <w:rsid w:val="00C62CCC"/>
    <w:rsid w:val="00C62D88"/>
    <w:rsid w:val="00C633C4"/>
    <w:rsid w:val="00C640E7"/>
    <w:rsid w:val="00C64711"/>
    <w:rsid w:val="00C64895"/>
    <w:rsid w:val="00C64CD9"/>
    <w:rsid w:val="00C651A5"/>
    <w:rsid w:val="00C664BF"/>
    <w:rsid w:val="00C66D6F"/>
    <w:rsid w:val="00C676CE"/>
    <w:rsid w:val="00C7031B"/>
    <w:rsid w:val="00C714D2"/>
    <w:rsid w:val="00C714D4"/>
    <w:rsid w:val="00C71AD6"/>
    <w:rsid w:val="00C7291C"/>
    <w:rsid w:val="00C72AD9"/>
    <w:rsid w:val="00C7338F"/>
    <w:rsid w:val="00C734D3"/>
    <w:rsid w:val="00C73EBF"/>
    <w:rsid w:val="00C74052"/>
    <w:rsid w:val="00C746B0"/>
    <w:rsid w:val="00C74A73"/>
    <w:rsid w:val="00C74C3E"/>
    <w:rsid w:val="00C74EA6"/>
    <w:rsid w:val="00C74ED0"/>
    <w:rsid w:val="00C75091"/>
    <w:rsid w:val="00C761A0"/>
    <w:rsid w:val="00C76768"/>
    <w:rsid w:val="00C76EE5"/>
    <w:rsid w:val="00C77E4E"/>
    <w:rsid w:val="00C8010D"/>
    <w:rsid w:val="00C808BE"/>
    <w:rsid w:val="00C81335"/>
    <w:rsid w:val="00C81BE4"/>
    <w:rsid w:val="00C82037"/>
    <w:rsid w:val="00C8243A"/>
    <w:rsid w:val="00C824AE"/>
    <w:rsid w:val="00C8376A"/>
    <w:rsid w:val="00C83F20"/>
    <w:rsid w:val="00C83F4F"/>
    <w:rsid w:val="00C8445F"/>
    <w:rsid w:val="00C84A15"/>
    <w:rsid w:val="00C85CE8"/>
    <w:rsid w:val="00C864BA"/>
    <w:rsid w:val="00C864D0"/>
    <w:rsid w:val="00C866AA"/>
    <w:rsid w:val="00C9019B"/>
    <w:rsid w:val="00C905EA"/>
    <w:rsid w:val="00C914AD"/>
    <w:rsid w:val="00C916FE"/>
    <w:rsid w:val="00C91FCF"/>
    <w:rsid w:val="00C923DC"/>
    <w:rsid w:val="00C9289A"/>
    <w:rsid w:val="00C92B64"/>
    <w:rsid w:val="00C93303"/>
    <w:rsid w:val="00C9371D"/>
    <w:rsid w:val="00C940C2"/>
    <w:rsid w:val="00C951A1"/>
    <w:rsid w:val="00C95AC5"/>
    <w:rsid w:val="00C95ECF"/>
    <w:rsid w:val="00C96422"/>
    <w:rsid w:val="00C970DF"/>
    <w:rsid w:val="00C97243"/>
    <w:rsid w:val="00C97883"/>
    <w:rsid w:val="00CA00BD"/>
    <w:rsid w:val="00CA0415"/>
    <w:rsid w:val="00CA087F"/>
    <w:rsid w:val="00CA1100"/>
    <w:rsid w:val="00CA11EC"/>
    <w:rsid w:val="00CA15B5"/>
    <w:rsid w:val="00CA168F"/>
    <w:rsid w:val="00CA1712"/>
    <w:rsid w:val="00CA2102"/>
    <w:rsid w:val="00CA2459"/>
    <w:rsid w:val="00CA2802"/>
    <w:rsid w:val="00CA2A34"/>
    <w:rsid w:val="00CA2E18"/>
    <w:rsid w:val="00CA2EB5"/>
    <w:rsid w:val="00CA47AD"/>
    <w:rsid w:val="00CA4D8B"/>
    <w:rsid w:val="00CA5089"/>
    <w:rsid w:val="00CA5269"/>
    <w:rsid w:val="00CA54C8"/>
    <w:rsid w:val="00CA5D53"/>
    <w:rsid w:val="00CA5E82"/>
    <w:rsid w:val="00CA63F4"/>
    <w:rsid w:val="00CA6727"/>
    <w:rsid w:val="00CA74F2"/>
    <w:rsid w:val="00CA7C80"/>
    <w:rsid w:val="00CB014D"/>
    <w:rsid w:val="00CB07D0"/>
    <w:rsid w:val="00CB110E"/>
    <w:rsid w:val="00CB13B8"/>
    <w:rsid w:val="00CB150A"/>
    <w:rsid w:val="00CB2107"/>
    <w:rsid w:val="00CB2275"/>
    <w:rsid w:val="00CB26A5"/>
    <w:rsid w:val="00CB2C01"/>
    <w:rsid w:val="00CB3554"/>
    <w:rsid w:val="00CB37B6"/>
    <w:rsid w:val="00CB3AC5"/>
    <w:rsid w:val="00CB435F"/>
    <w:rsid w:val="00CB50F3"/>
    <w:rsid w:val="00CB6388"/>
    <w:rsid w:val="00CB6943"/>
    <w:rsid w:val="00CB6E0B"/>
    <w:rsid w:val="00CB7D58"/>
    <w:rsid w:val="00CC0D86"/>
    <w:rsid w:val="00CC0E1E"/>
    <w:rsid w:val="00CC2372"/>
    <w:rsid w:val="00CC2A93"/>
    <w:rsid w:val="00CC2C91"/>
    <w:rsid w:val="00CC302A"/>
    <w:rsid w:val="00CC314B"/>
    <w:rsid w:val="00CC32C8"/>
    <w:rsid w:val="00CC3530"/>
    <w:rsid w:val="00CC36D1"/>
    <w:rsid w:val="00CC3E1A"/>
    <w:rsid w:val="00CC484C"/>
    <w:rsid w:val="00CC4B05"/>
    <w:rsid w:val="00CC5242"/>
    <w:rsid w:val="00CC549C"/>
    <w:rsid w:val="00CC57B0"/>
    <w:rsid w:val="00CC57C2"/>
    <w:rsid w:val="00CC61F9"/>
    <w:rsid w:val="00CC6302"/>
    <w:rsid w:val="00CD065A"/>
    <w:rsid w:val="00CD0F01"/>
    <w:rsid w:val="00CD1098"/>
    <w:rsid w:val="00CD152D"/>
    <w:rsid w:val="00CD1765"/>
    <w:rsid w:val="00CD1FE5"/>
    <w:rsid w:val="00CD24BE"/>
    <w:rsid w:val="00CD2551"/>
    <w:rsid w:val="00CD2653"/>
    <w:rsid w:val="00CD26B6"/>
    <w:rsid w:val="00CD26D2"/>
    <w:rsid w:val="00CD3064"/>
    <w:rsid w:val="00CD35FD"/>
    <w:rsid w:val="00CD36C6"/>
    <w:rsid w:val="00CD4ACC"/>
    <w:rsid w:val="00CD4CD5"/>
    <w:rsid w:val="00CD4F51"/>
    <w:rsid w:val="00CD55B0"/>
    <w:rsid w:val="00CD6EB4"/>
    <w:rsid w:val="00CD7D84"/>
    <w:rsid w:val="00CE024C"/>
    <w:rsid w:val="00CE02EB"/>
    <w:rsid w:val="00CE0305"/>
    <w:rsid w:val="00CE0337"/>
    <w:rsid w:val="00CE0F25"/>
    <w:rsid w:val="00CE1522"/>
    <w:rsid w:val="00CE172F"/>
    <w:rsid w:val="00CE21E5"/>
    <w:rsid w:val="00CE243F"/>
    <w:rsid w:val="00CE2A1B"/>
    <w:rsid w:val="00CE2C6B"/>
    <w:rsid w:val="00CE2E7C"/>
    <w:rsid w:val="00CE2ED9"/>
    <w:rsid w:val="00CE416B"/>
    <w:rsid w:val="00CE5453"/>
    <w:rsid w:val="00CE5671"/>
    <w:rsid w:val="00CE59F2"/>
    <w:rsid w:val="00CE6484"/>
    <w:rsid w:val="00CE6835"/>
    <w:rsid w:val="00CE75A8"/>
    <w:rsid w:val="00CE7C03"/>
    <w:rsid w:val="00CE7F3C"/>
    <w:rsid w:val="00CF0111"/>
    <w:rsid w:val="00CF0291"/>
    <w:rsid w:val="00CF0B27"/>
    <w:rsid w:val="00CF0E6C"/>
    <w:rsid w:val="00CF1879"/>
    <w:rsid w:val="00CF1E26"/>
    <w:rsid w:val="00CF24A5"/>
    <w:rsid w:val="00CF24A6"/>
    <w:rsid w:val="00CF24FF"/>
    <w:rsid w:val="00CF29AB"/>
    <w:rsid w:val="00CF2C58"/>
    <w:rsid w:val="00CF2F95"/>
    <w:rsid w:val="00CF355B"/>
    <w:rsid w:val="00CF357E"/>
    <w:rsid w:val="00CF37BC"/>
    <w:rsid w:val="00CF386B"/>
    <w:rsid w:val="00CF3BE7"/>
    <w:rsid w:val="00CF3D4A"/>
    <w:rsid w:val="00CF4558"/>
    <w:rsid w:val="00CF4694"/>
    <w:rsid w:val="00CF4D05"/>
    <w:rsid w:val="00CF50A1"/>
    <w:rsid w:val="00CF551F"/>
    <w:rsid w:val="00CF5B9D"/>
    <w:rsid w:val="00CF5DB4"/>
    <w:rsid w:val="00CF60E7"/>
    <w:rsid w:val="00CF634C"/>
    <w:rsid w:val="00CF7EBA"/>
    <w:rsid w:val="00D00173"/>
    <w:rsid w:val="00D0056C"/>
    <w:rsid w:val="00D00781"/>
    <w:rsid w:val="00D00F49"/>
    <w:rsid w:val="00D012C7"/>
    <w:rsid w:val="00D01A45"/>
    <w:rsid w:val="00D024D3"/>
    <w:rsid w:val="00D0261A"/>
    <w:rsid w:val="00D02FE6"/>
    <w:rsid w:val="00D034D8"/>
    <w:rsid w:val="00D03851"/>
    <w:rsid w:val="00D04682"/>
    <w:rsid w:val="00D04847"/>
    <w:rsid w:val="00D04A5E"/>
    <w:rsid w:val="00D04D81"/>
    <w:rsid w:val="00D04EB1"/>
    <w:rsid w:val="00D05959"/>
    <w:rsid w:val="00D059F8"/>
    <w:rsid w:val="00D05E93"/>
    <w:rsid w:val="00D06163"/>
    <w:rsid w:val="00D06D78"/>
    <w:rsid w:val="00D07938"/>
    <w:rsid w:val="00D07E43"/>
    <w:rsid w:val="00D1007E"/>
    <w:rsid w:val="00D10564"/>
    <w:rsid w:val="00D10920"/>
    <w:rsid w:val="00D11B01"/>
    <w:rsid w:val="00D11F0A"/>
    <w:rsid w:val="00D120E5"/>
    <w:rsid w:val="00D12D63"/>
    <w:rsid w:val="00D1306C"/>
    <w:rsid w:val="00D139D5"/>
    <w:rsid w:val="00D13B4C"/>
    <w:rsid w:val="00D14BD2"/>
    <w:rsid w:val="00D14D67"/>
    <w:rsid w:val="00D159AD"/>
    <w:rsid w:val="00D1628B"/>
    <w:rsid w:val="00D16584"/>
    <w:rsid w:val="00D16934"/>
    <w:rsid w:val="00D174F3"/>
    <w:rsid w:val="00D17C9E"/>
    <w:rsid w:val="00D20100"/>
    <w:rsid w:val="00D20595"/>
    <w:rsid w:val="00D208F1"/>
    <w:rsid w:val="00D21E91"/>
    <w:rsid w:val="00D22438"/>
    <w:rsid w:val="00D232E8"/>
    <w:rsid w:val="00D23CD8"/>
    <w:rsid w:val="00D2432D"/>
    <w:rsid w:val="00D24A3B"/>
    <w:rsid w:val="00D24EC0"/>
    <w:rsid w:val="00D24F60"/>
    <w:rsid w:val="00D251FA"/>
    <w:rsid w:val="00D2574D"/>
    <w:rsid w:val="00D26AFF"/>
    <w:rsid w:val="00D26BA5"/>
    <w:rsid w:val="00D2749F"/>
    <w:rsid w:val="00D27544"/>
    <w:rsid w:val="00D306EA"/>
    <w:rsid w:val="00D307C8"/>
    <w:rsid w:val="00D30E65"/>
    <w:rsid w:val="00D3109E"/>
    <w:rsid w:val="00D320AD"/>
    <w:rsid w:val="00D3243A"/>
    <w:rsid w:val="00D3284C"/>
    <w:rsid w:val="00D3286A"/>
    <w:rsid w:val="00D3300F"/>
    <w:rsid w:val="00D335FD"/>
    <w:rsid w:val="00D34230"/>
    <w:rsid w:val="00D344E9"/>
    <w:rsid w:val="00D345F9"/>
    <w:rsid w:val="00D3467C"/>
    <w:rsid w:val="00D34D03"/>
    <w:rsid w:val="00D351B7"/>
    <w:rsid w:val="00D35755"/>
    <w:rsid w:val="00D367BD"/>
    <w:rsid w:val="00D37718"/>
    <w:rsid w:val="00D40273"/>
    <w:rsid w:val="00D4151A"/>
    <w:rsid w:val="00D429E3"/>
    <w:rsid w:val="00D43784"/>
    <w:rsid w:val="00D43DBD"/>
    <w:rsid w:val="00D43EF3"/>
    <w:rsid w:val="00D43F48"/>
    <w:rsid w:val="00D44089"/>
    <w:rsid w:val="00D45810"/>
    <w:rsid w:val="00D45DE9"/>
    <w:rsid w:val="00D46B23"/>
    <w:rsid w:val="00D4773D"/>
    <w:rsid w:val="00D477A0"/>
    <w:rsid w:val="00D50E47"/>
    <w:rsid w:val="00D518FD"/>
    <w:rsid w:val="00D51F9C"/>
    <w:rsid w:val="00D5254F"/>
    <w:rsid w:val="00D52914"/>
    <w:rsid w:val="00D52C9F"/>
    <w:rsid w:val="00D52F59"/>
    <w:rsid w:val="00D53A14"/>
    <w:rsid w:val="00D53BBF"/>
    <w:rsid w:val="00D53C1C"/>
    <w:rsid w:val="00D542D3"/>
    <w:rsid w:val="00D5517A"/>
    <w:rsid w:val="00D5531E"/>
    <w:rsid w:val="00D5574B"/>
    <w:rsid w:val="00D55843"/>
    <w:rsid w:val="00D55A60"/>
    <w:rsid w:val="00D55D17"/>
    <w:rsid w:val="00D55DB9"/>
    <w:rsid w:val="00D565B5"/>
    <w:rsid w:val="00D569B3"/>
    <w:rsid w:val="00D5735F"/>
    <w:rsid w:val="00D6014F"/>
    <w:rsid w:val="00D614BC"/>
    <w:rsid w:val="00D6165D"/>
    <w:rsid w:val="00D61953"/>
    <w:rsid w:val="00D621B8"/>
    <w:rsid w:val="00D62E5D"/>
    <w:rsid w:val="00D62FB1"/>
    <w:rsid w:val="00D63576"/>
    <w:rsid w:val="00D63935"/>
    <w:rsid w:val="00D639DD"/>
    <w:rsid w:val="00D63C26"/>
    <w:rsid w:val="00D63ECE"/>
    <w:rsid w:val="00D64586"/>
    <w:rsid w:val="00D646C8"/>
    <w:rsid w:val="00D64758"/>
    <w:rsid w:val="00D64CC7"/>
    <w:rsid w:val="00D65072"/>
    <w:rsid w:val="00D669DF"/>
    <w:rsid w:val="00D671C5"/>
    <w:rsid w:val="00D67443"/>
    <w:rsid w:val="00D67507"/>
    <w:rsid w:val="00D67B21"/>
    <w:rsid w:val="00D70AD4"/>
    <w:rsid w:val="00D71C4B"/>
    <w:rsid w:val="00D722A9"/>
    <w:rsid w:val="00D72385"/>
    <w:rsid w:val="00D73033"/>
    <w:rsid w:val="00D73133"/>
    <w:rsid w:val="00D732F4"/>
    <w:rsid w:val="00D73339"/>
    <w:rsid w:val="00D73653"/>
    <w:rsid w:val="00D744AB"/>
    <w:rsid w:val="00D74FB3"/>
    <w:rsid w:val="00D76604"/>
    <w:rsid w:val="00D769BE"/>
    <w:rsid w:val="00D775C9"/>
    <w:rsid w:val="00D8052E"/>
    <w:rsid w:val="00D80CCB"/>
    <w:rsid w:val="00D8157F"/>
    <w:rsid w:val="00D82248"/>
    <w:rsid w:val="00D82536"/>
    <w:rsid w:val="00D831AE"/>
    <w:rsid w:val="00D83677"/>
    <w:rsid w:val="00D83CFD"/>
    <w:rsid w:val="00D843E0"/>
    <w:rsid w:val="00D84551"/>
    <w:rsid w:val="00D8470D"/>
    <w:rsid w:val="00D85736"/>
    <w:rsid w:val="00D85956"/>
    <w:rsid w:val="00D86BCE"/>
    <w:rsid w:val="00D871C2"/>
    <w:rsid w:val="00D875B0"/>
    <w:rsid w:val="00D87A35"/>
    <w:rsid w:val="00D87B75"/>
    <w:rsid w:val="00D905E9"/>
    <w:rsid w:val="00D90DDD"/>
    <w:rsid w:val="00D9305A"/>
    <w:rsid w:val="00D93221"/>
    <w:rsid w:val="00D93349"/>
    <w:rsid w:val="00D935A5"/>
    <w:rsid w:val="00D938DB"/>
    <w:rsid w:val="00D95671"/>
    <w:rsid w:val="00D95C68"/>
    <w:rsid w:val="00D9624B"/>
    <w:rsid w:val="00D97321"/>
    <w:rsid w:val="00D9757A"/>
    <w:rsid w:val="00D97C29"/>
    <w:rsid w:val="00DA0020"/>
    <w:rsid w:val="00DA0383"/>
    <w:rsid w:val="00DA04D8"/>
    <w:rsid w:val="00DA1146"/>
    <w:rsid w:val="00DA11DB"/>
    <w:rsid w:val="00DA15E2"/>
    <w:rsid w:val="00DA164A"/>
    <w:rsid w:val="00DA1875"/>
    <w:rsid w:val="00DA1C32"/>
    <w:rsid w:val="00DA1F75"/>
    <w:rsid w:val="00DA20B1"/>
    <w:rsid w:val="00DA260E"/>
    <w:rsid w:val="00DA3CD9"/>
    <w:rsid w:val="00DA4786"/>
    <w:rsid w:val="00DA4925"/>
    <w:rsid w:val="00DA4FDC"/>
    <w:rsid w:val="00DA55B6"/>
    <w:rsid w:val="00DA58FE"/>
    <w:rsid w:val="00DA5B09"/>
    <w:rsid w:val="00DA5E35"/>
    <w:rsid w:val="00DA5E7C"/>
    <w:rsid w:val="00DA5EE2"/>
    <w:rsid w:val="00DA62CF"/>
    <w:rsid w:val="00DA6D8A"/>
    <w:rsid w:val="00DA6ED5"/>
    <w:rsid w:val="00DA793F"/>
    <w:rsid w:val="00DA7CFD"/>
    <w:rsid w:val="00DB01BE"/>
    <w:rsid w:val="00DB0384"/>
    <w:rsid w:val="00DB0496"/>
    <w:rsid w:val="00DB0497"/>
    <w:rsid w:val="00DB05D2"/>
    <w:rsid w:val="00DB08C6"/>
    <w:rsid w:val="00DB0D32"/>
    <w:rsid w:val="00DB141A"/>
    <w:rsid w:val="00DB258C"/>
    <w:rsid w:val="00DB28D8"/>
    <w:rsid w:val="00DB2C6E"/>
    <w:rsid w:val="00DB2E67"/>
    <w:rsid w:val="00DB43DB"/>
    <w:rsid w:val="00DB4A55"/>
    <w:rsid w:val="00DB4A65"/>
    <w:rsid w:val="00DB547B"/>
    <w:rsid w:val="00DB5506"/>
    <w:rsid w:val="00DB5B7A"/>
    <w:rsid w:val="00DB5B89"/>
    <w:rsid w:val="00DB67CD"/>
    <w:rsid w:val="00DB699D"/>
    <w:rsid w:val="00DB6BBF"/>
    <w:rsid w:val="00DB7010"/>
    <w:rsid w:val="00DB713F"/>
    <w:rsid w:val="00DB767C"/>
    <w:rsid w:val="00DB782A"/>
    <w:rsid w:val="00DB7CB8"/>
    <w:rsid w:val="00DB7D5F"/>
    <w:rsid w:val="00DC06C2"/>
    <w:rsid w:val="00DC0A9A"/>
    <w:rsid w:val="00DC0D75"/>
    <w:rsid w:val="00DC0E4F"/>
    <w:rsid w:val="00DC137E"/>
    <w:rsid w:val="00DC17BF"/>
    <w:rsid w:val="00DC1E7E"/>
    <w:rsid w:val="00DC4C8C"/>
    <w:rsid w:val="00DC4C90"/>
    <w:rsid w:val="00DC5261"/>
    <w:rsid w:val="00DC552C"/>
    <w:rsid w:val="00DC5AB5"/>
    <w:rsid w:val="00DC61D0"/>
    <w:rsid w:val="00DC642B"/>
    <w:rsid w:val="00DC6510"/>
    <w:rsid w:val="00DC7765"/>
    <w:rsid w:val="00DD043E"/>
    <w:rsid w:val="00DD0567"/>
    <w:rsid w:val="00DD06B0"/>
    <w:rsid w:val="00DD0ADB"/>
    <w:rsid w:val="00DD0B3D"/>
    <w:rsid w:val="00DD0C04"/>
    <w:rsid w:val="00DD0DB7"/>
    <w:rsid w:val="00DD1ABF"/>
    <w:rsid w:val="00DD2151"/>
    <w:rsid w:val="00DD2535"/>
    <w:rsid w:val="00DD4017"/>
    <w:rsid w:val="00DD4909"/>
    <w:rsid w:val="00DD505E"/>
    <w:rsid w:val="00DD5291"/>
    <w:rsid w:val="00DD588D"/>
    <w:rsid w:val="00DD6268"/>
    <w:rsid w:val="00DD6420"/>
    <w:rsid w:val="00DD6697"/>
    <w:rsid w:val="00DD67CB"/>
    <w:rsid w:val="00DD6E16"/>
    <w:rsid w:val="00DD7FB4"/>
    <w:rsid w:val="00DE11CE"/>
    <w:rsid w:val="00DE1729"/>
    <w:rsid w:val="00DE1F8B"/>
    <w:rsid w:val="00DE2020"/>
    <w:rsid w:val="00DE2F69"/>
    <w:rsid w:val="00DE30D0"/>
    <w:rsid w:val="00DE3C70"/>
    <w:rsid w:val="00DE40E9"/>
    <w:rsid w:val="00DE4157"/>
    <w:rsid w:val="00DE4423"/>
    <w:rsid w:val="00DE4A7A"/>
    <w:rsid w:val="00DE4B0D"/>
    <w:rsid w:val="00DE5689"/>
    <w:rsid w:val="00DE5779"/>
    <w:rsid w:val="00DE584C"/>
    <w:rsid w:val="00DE7028"/>
    <w:rsid w:val="00DE7483"/>
    <w:rsid w:val="00DE7F90"/>
    <w:rsid w:val="00DF0028"/>
    <w:rsid w:val="00DF00BB"/>
    <w:rsid w:val="00DF11A7"/>
    <w:rsid w:val="00DF1B58"/>
    <w:rsid w:val="00DF2C5C"/>
    <w:rsid w:val="00DF3E29"/>
    <w:rsid w:val="00DF410E"/>
    <w:rsid w:val="00DF43AD"/>
    <w:rsid w:val="00DF45E1"/>
    <w:rsid w:val="00DF49A1"/>
    <w:rsid w:val="00DF4AAB"/>
    <w:rsid w:val="00DF4D11"/>
    <w:rsid w:val="00DF563C"/>
    <w:rsid w:val="00DF5A97"/>
    <w:rsid w:val="00DF5B33"/>
    <w:rsid w:val="00DF5D15"/>
    <w:rsid w:val="00DF66ED"/>
    <w:rsid w:val="00DF69CF"/>
    <w:rsid w:val="00DF6FDA"/>
    <w:rsid w:val="00DF73E7"/>
    <w:rsid w:val="00DF7B8D"/>
    <w:rsid w:val="00E0024D"/>
    <w:rsid w:val="00E00B4C"/>
    <w:rsid w:val="00E00BAE"/>
    <w:rsid w:val="00E012A0"/>
    <w:rsid w:val="00E03A48"/>
    <w:rsid w:val="00E03B86"/>
    <w:rsid w:val="00E03C34"/>
    <w:rsid w:val="00E04058"/>
    <w:rsid w:val="00E04139"/>
    <w:rsid w:val="00E04736"/>
    <w:rsid w:val="00E05826"/>
    <w:rsid w:val="00E07DD0"/>
    <w:rsid w:val="00E07E47"/>
    <w:rsid w:val="00E1072D"/>
    <w:rsid w:val="00E10A5D"/>
    <w:rsid w:val="00E10F5F"/>
    <w:rsid w:val="00E119FB"/>
    <w:rsid w:val="00E11BAC"/>
    <w:rsid w:val="00E11BDB"/>
    <w:rsid w:val="00E11C31"/>
    <w:rsid w:val="00E11F4D"/>
    <w:rsid w:val="00E11F5A"/>
    <w:rsid w:val="00E12899"/>
    <w:rsid w:val="00E14FA1"/>
    <w:rsid w:val="00E150B6"/>
    <w:rsid w:val="00E15243"/>
    <w:rsid w:val="00E152D6"/>
    <w:rsid w:val="00E15317"/>
    <w:rsid w:val="00E153CC"/>
    <w:rsid w:val="00E1557F"/>
    <w:rsid w:val="00E156B7"/>
    <w:rsid w:val="00E161F9"/>
    <w:rsid w:val="00E164DA"/>
    <w:rsid w:val="00E170D1"/>
    <w:rsid w:val="00E17533"/>
    <w:rsid w:val="00E207C4"/>
    <w:rsid w:val="00E20FAB"/>
    <w:rsid w:val="00E21139"/>
    <w:rsid w:val="00E2160F"/>
    <w:rsid w:val="00E21988"/>
    <w:rsid w:val="00E2215A"/>
    <w:rsid w:val="00E22427"/>
    <w:rsid w:val="00E2273A"/>
    <w:rsid w:val="00E230B0"/>
    <w:rsid w:val="00E232AC"/>
    <w:rsid w:val="00E232C0"/>
    <w:rsid w:val="00E23709"/>
    <w:rsid w:val="00E23DF6"/>
    <w:rsid w:val="00E24147"/>
    <w:rsid w:val="00E247AE"/>
    <w:rsid w:val="00E24811"/>
    <w:rsid w:val="00E24859"/>
    <w:rsid w:val="00E24871"/>
    <w:rsid w:val="00E24D8E"/>
    <w:rsid w:val="00E24EA2"/>
    <w:rsid w:val="00E251B2"/>
    <w:rsid w:val="00E26583"/>
    <w:rsid w:val="00E265C0"/>
    <w:rsid w:val="00E268D6"/>
    <w:rsid w:val="00E26C7F"/>
    <w:rsid w:val="00E27226"/>
    <w:rsid w:val="00E302F3"/>
    <w:rsid w:val="00E3031E"/>
    <w:rsid w:val="00E3072D"/>
    <w:rsid w:val="00E30B21"/>
    <w:rsid w:val="00E31184"/>
    <w:rsid w:val="00E31377"/>
    <w:rsid w:val="00E31BB6"/>
    <w:rsid w:val="00E32549"/>
    <w:rsid w:val="00E32668"/>
    <w:rsid w:val="00E32D37"/>
    <w:rsid w:val="00E3486B"/>
    <w:rsid w:val="00E34A54"/>
    <w:rsid w:val="00E34DE7"/>
    <w:rsid w:val="00E35023"/>
    <w:rsid w:val="00E35067"/>
    <w:rsid w:val="00E3769D"/>
    <w:rsid w:val="00E37A54"/>
    <w:rsid w:val="00E37F0D"/>
    <w:rsid w:val="00E40344"/>
    <w:rsid w:val="00E40828"/>
    <w:rsid w:val="00E40A20"/>
    <w:rsid w:val="00E412EA"/>
    <w:rsid w:val="00E41324"/>
    <w:rsid w:val="00E413FA"/>
    <w:rsid w:val="00E415CF"/>
    <w:rsid w:val="00E417FE"/>
    <w:rsid w:val="00E41960"/>
    <w:rsid w:val="00E41F7F"/>
    <w:rsid w:val="00E4245C"/>
    <w:rsid w:val="00E42611"/>
    <w:rsid w:val="00E4277D"/>
    <w:rsid w:val="00E436BA"/>
    <w:rsid w:val="00E441F8"/>
    <w:rsid w:val="00E44A14"/>
    <w:rsid w:val="00E44C89"/>
    <w:rsid w:val="00E454CC"/>
    <w:rsid w:val="00E45548"/>
    <w:rsid w:val="00E459AA"/>
    <w:rsid w:val="00E45ADF"/>
    <w:rsid w:val="00E45BCF"/>
    <w:rsid w:val="00E46A67"/>
    <w:rsid w:val="00E47F83"/>
    <w:rsid w:val="00E504B9"/>
    <w:rsid w:val="00E50628"/>
    <w:rsid w:val="00E50F9C"/>
    <w:rsid w:val="00E513EF"/>
    <w:rsid w:val="00E51448"/>
    <w:rsid w:val="00E51767"/>
    <w:rsid w:val="00E5178D"/>
    <w:rsid w:val="00E51BEA"/>
    <w:rsid w:val="00E51E8B"/>
    <w:rsid w:val="00E51F8F"/>
    <w:rsid w:val="00E52075"/>
    <w:rsid w:val="00E525F0"/>
    <w:rsid w:val="00E52D64"/>
    <w:rsid w:val="00E5339A"/>
    <w:rsid w:val="00E54711"/>
    <w:rsid w:val="00E54722"/>
    <w:rsid w:val="00E54C60"/>
    <w:rsid w:val="00E54D13"/>
    <w:rsid w:val="00E56E3E"/>
    <w:rsid w:val="00E56EC2"/>
    <w:rsid w:val="00E57C9B"/>
    <w:rsid w:val="00E57E59"/>
    <w:rsid w:val="00E602AB"/>
    <w:rsid w:val="00E60621"/>
    <w:rsid w:val="00E6083F"/>
    <w:rsid w:val="00E60927"/>
    <w:rsid w:val="00E60A10"/>
    <w:rsid w:val="00E60D1D"/>
    <w:rsid w:val="00E617DC"/>
    <w:rsid w:val="00E61980"/>
    <w:rsid w:val="00E61AD6"/>
    <w:rsid w:val="00E6215A"/>
    <w:rsid w:val="00E63956"/>
    <w:rsid w:val="00E63CB0"/>
    <w:rsid w:val="00E63EAD"/>
    <w:rsid w:val="00E640DF"/>
    <w:rsid w:val="00E6430E"/>
    <w:rsid w:val="00E653DF"/>
    <w:rsid w:val="00E653E4"/>
    <w:rsid w:val="00E66061"/>
    <w:rsid w:val="00E66BEB"/>
    <w:rsid w:val="00E67820"/>
    <w:rsid w:val="00E67920"/>
    <w:rsid w:val="00E67A0A"/>
    <w:rsid w:val="00E67AF5"/>
    <w:rsid w:val="00E67CCF"/>
    <w:rsid w:val="00E67F68"/>
    <w:rsid w:val="00E7033C"/>
    <w:rsid w:val="00E70B90"/>
    <w:rsid w:val="00E70EA0"/>
    <w:rsid w:val="00E71043"/>
    <w:rsid w:val="00E7117C"/>
    <w:rsid w:val="00E718CA"/>
    <w:rsid w:val="00E71973"/>
    <w:rsid w:val="00E7254B"/>
    <w:rsid w:val="00E72747"/>
    <w:rsid w:val="00E729F0"/>
    <w:rsid w:val="00E72AAE"/>
    <w:rsid w:val="00E72C69"/>
    <w:rsid w:val="00E73360"/>
    <w:rsid w:val="00E7362A"/>
    <w:rsid w:val="00E73B65"/>
    <w:rsid w:val="00E73F16"/>
    <w:rsid w:val="00E749A3"/>
    <w:rsid w:val="00E75426"/>
    <w:rsid w:val="00E760F3"/>
    <w:rsid w:val="00E7695F"/>
    <w:rsid w:val="00E77A18"/>
    <w:rsid w:val="00E77FE4"/>
    <w:rsid w:val="00E800B3"/>
    <w:rsid w:val="00E802AE"/>
    <w:rsid w:val="00E803D3"/>
    <w:rsid w:val="00E80D63"/>
    <w:rsid w:val="00E8173E"/>
    <w:rsid w:val="00E81976"/>
    <w:rsid w:val="00E819A5"/>
    <w:rsid w:val="00E8217F"/>
    <w:rsid w:val="00E82C34"/>
    <w:rsid w:val="00E82CE9"/>
    <w:rsid w:val="00E83273"/>
    <w:rsid w:val="00E84C20"/>
    <w:rsid w:val="00E85A10"/>
    <w:rsid w:val="00E85BEA"/>
    <w:rsid w:val="00E8635F"/>
    <w:rsid w:val="00E86614"/>
    <w:rsid w:val="00E86689"/>
    <w:rsid w:val="00E86ED7"/>
    <w:rsid w:val="00E870D8"/>
    <w:rsid w:val="00E87253"/>
    <w:rsid w:val="00E87950"/>
    <w:rsid w:val="00E87B09"/>
    <w:rsid w:val="00E87DF9"/>
    <w:rsid w:val="00E90281"/>
    <w:rsid w:val="00E90EA7"/>
    <w:rsid w:val="00E923B2"/>
    <w:rsid w:val="00E92636"/>
    <w:rsid w:val="00E9270A"/>
    <w:rsid w:val="00E93471"/>
    <w:rsid w:val="00E935DC"/>
    <w:rsid w:val="00E935F3"/>
    <w:rsid w:val="00E93EBA"/>
    <w:rsid w:val="00E94543"/>
    <w:rsid w:val="00E946B3"/>
    <w:rsid w:val="00E94886"/>
    <w:rsid w:val="00E94FF0"/>
    <w:rsid w:val="00E955F1"/>
    <w:rsid w:val="00E95763"/>
    <w:rsid w:val="00E95DDB"/>
    <w:rsid w:val="00E95E3C"/>
    <w:rsid w:val="00E95E47"/>
    <w:rsid w:val="00E95E72"/>
    <w:rsid w:val="00E966A9"/>
    <w:rsid w:val="00E96AED"/>
    <w:rsid w:val="00E96F22"/>
    <w:rsid w:val="00EA0A06"/>
    <w:rsid w:val="00EA1AF8"/>
    <w:rsid w:val="00EA2196"/>
    <w:rsid w:val="00EA27B6"/>
    <w:rsid w:val="00EA2881"/>
    <w:rsid w:val="00EA2AB8"/>
    <w:rsid w:val="00EA38B6"/>
    <w:rsid w:val="00EA3D52"/>
    <w:rsid w:val="00EA4326"/>
    <w:rsid w:val="00EA44C0"/>
    <w:rsid w:val="00EA4BB8"/>
    <w:rsid w:val="00EA4D0E"/>
    <w:rsid w:val="00EA4FCA"/>
    <w:rsid w:val="00EA521D"/>
    <w:rsid w:val="00EA640E"/>
    <w:rsid w:val="00EA6422"/>
    <w:rsid w:val="00EA6534"/>
    <w:rsid w:val="00EA6CAE"/>
    <w:rsid w:val="00EB05BE"/>
    <w:rsid w:val="00EB0C22"/>
    <w:rsid w:val="00EB2324"/>
    <w:rsid w:val="00EB27AA"/>
    <w:rsid w:val="00EB29BE"/>
    <w:rsid w:val="00EB355C"/>
    <w:rsid w:val="00EB35DF"/>
    <w:rsid w:val="00EB4220"/>
    <w:rsid w:val="00EB4BFE"/>
    <w:rsid w:val="00EB518B"/>
    <w:rsid w:val="00EB57FD"/>
    <w:rsid w:val="00EB6ECA"/>
    <w:rsid w:val="00EB705F"/>
    <w:rsid w:val="00EB7068"/>
    <w:rsid w:val="00EB75EE"/>
    <w:rsid w:val="00EB7BE1"/>
    <w:rsid w:val="00EB7D00"/>
    <w:rsid w:val="00EC06A3"/>
    <w:rsid w:val="00EC1078"/>
    <w:rsid w:val="00EC2320"/>
    <w:rsid w:val="00EC27A7"/>
    <w:rsid w:val="00EC28F5"/>
    <w:rsid w:val="00EC2A19"/>
    <w:rsid w:val="00EC2A1A"/>
    <w:rsid w:val="00EC2C90"/>
    <w:rsid w:val="00EC3805"/>
    <w:rsid w:val="00EC3F6F"/>
    <w:rsid w:val="00EC44E8"/>
    <w:rsid w:val="00EC543C"/>
    <w:rsid w:val="00EC5613"/>
    <w:rsid w:val="00EC5A1D"/>
    <w:rsid w:val="00EC5F98"/>
    <w:rsid w:val="00EC608C"/>
    <w:rsid w:val="00EC634A"/>
    <w:rsid w:val="00EC63AC"/>
    <w:rsid w:val="00EC65CD"/>
    <w:rsid w:val="00EC6BE9"/>
    <w:rsid w:val="00EC7AA0"/>
    <w:rsid w:val="00EC7AC7"/>
    <w:rsid w:val="00ED1317"/>
    <w:rsid w:val="00ED1406"/>
    <w:rsid w:val="00ED1D46"/>
    <w:rsid w:val="00ED262E"/>
    <w:rsid w:val="00ED3794"/>
    <w:rsid w:val="00ED3FF3"/>
    <w:rsid w:val="00ED42AB"/>
    <w:rsid w:val="00ED578C"/>
    <w:rsid w:val="00ED5974"/>
    <w:rsid w:val="00ED5EC4"/>
    <w:rsid w:val="00ED623C"/>
    <w:rsid w:val="00ED716E"/>
    <w:rsid w:val="00ED7CBC"/>
    <w:rsid w:val="00ED7E9F"/>
    <w:rsid w:val="00EE012A"/>
    <w:rsid w:val="00EE14AE"/>
    <w:rsid w:val="00EE2834"/>
    <w:rsid w:val="00EE2841"/>
    <w:rsid w:val="00EE2A6A"/>
    <w:rsid w:val="00EE2C84"/>
    <w:rsid w:val="00EE307F"/>
    <w:rsid w:val="00EE3D55"/>
    <w:rsid w:val="00EE41F0"/>
    <w:rsid w:val="00EE42E0"/>
    <w:rsid w:val="00EE44ED"/>
    <w:rsid w:val="00EE4D3E"/>
    <w:rsid w:val="00EE5181"/>
    <w:rsid w:val="00EE56AE"/>
    <w:rsid w:val="00EE580B"/>
    <w:rsid w:val="00EE581F"/>
    <w:rsid w:val="00EE5D61"/>
    <w:rsid w:val="00EE6216"/>
    <w:rsid w:val="00EE6499"/>
    <w:rsid w:val="00EE6811"/>
    <w:rsid w:val="00EE6A6F"/>
    <w:rsid w:val="00EE7002"/>
    <w:rsid w:val="00EE76D5"/>
    <w:rsid w:val="00EF0163"/>
    <w:rsid w:val="00EF02CC"/>
    <w:rsid w:val="00EF041B"/>
    <w:rsid w:val="00EF0429"/>
    <w:rsid w:val="00EF0AB6"/>
    <w:rsid w:val="00EF0C94"/>
    <w:rsid w:val="00EF1047"/>
    <w:rsid w:val="00EF13B8"/>
    <w:rsid w:val="00EF242F"/>
    <w:rsid w:val="00EF2C16"/>
    <w:rsid w:val="00EF2D2E"/>
    <w:rsid w:val="00EF2EC0"/>
    <w:rsid w:val="00EF3343"/>
    <w:rsid w:val="00EF3365"/>
    <w:rsid w:val="00EF33A8"/>
    <w:rsid w:val="00EF3AC0"/>
    <w:rsid w:val="00EF52BC"/>
    <w:rsid w:val="00EF5929"/>
    <w:rsid w:val="00EF5AB7"/>
    <w:rsid w:val="00EF5EE7"/>
    <w:rsid w:val="00EF6504"/>
    <w:rsid w:val="00EF67FD"/>
    <w:rsid w:val="00EF6994"/>
    <w:rsid w:val="00EF6B63"/>
    <w:rsid w:val="00EF6C86"/>
    <w:rsid w:val="00EF761A"/>
    <w:rsid w:val="00EF76E2"/>
    <w:rsid w:val="00EF7BEC"/>
    <w:rsid w:val="00EF7CBE"/>
    <w:rsid w:val="00F00584"/>
    <w:rsid w:val="00F00DBE"/>
    <w:rsid w:val="00F01DFA"/>
    <w:rsid w:val="00F025D6"/>
    <w:rsid w:val="00F026BC"/>
    <w:rsid w:val="00F02F9E"/>
    <w:rsid w:val="00F030B9"/>
    <w:rsid w:val="00F031DE"/>
    <w:rsid w:val="00F034B7"/>
    <w:rsid w:val="00F03BFA"/>
    <w:rsid w:val="00F03E64"/>
    <w:rsid w:val="00F048F0"/>
    <w:rsid w:val="00F05072"/>
    <w:rsid w:val="00F0509E"/>
    <w:rsid w:val="00F05257"/>
    <w:rsid w:val="00F05F7F"/>
    <w:rsid w:val="00F07661"/>
    <w:rsid w:val="00F07A7E"/>
    <w:rsid w:val="00F100B2"/>
    <w:rsid w:val="00F10ECB"/>
    <w:rsid w:val="00F1114B"/>
    <w:rsid w:val="00F113B0"/>
    <w:rsid w:val="00F11FB7"/>
    <w:rsid w:val="00F12116"/>
    <w:rsid w:val="00F12159"/>
    <w:rsid w:val="00F129EF"/>
    <w:rsid w:val="00F13150"/>
    <w:rsid w:val="00F14008"/>
    <w:rsid w:val="00F15A30"/>
    <w:rsid w:val="00F165AF"/>
    <w:rsid w:val="00F1663A"/>
    <w:rsid w:val="00F16A0B"/>
    <w:rsid w:val="00F218F9"/>
    <w:rsid w:val="00F22328"/>
    <w:rsid w:val="00F22389"/>
    <w:rsid w:val="00F226ED"/>
    <w:rsid w:val="00F22B84"/>
    <w:rsid w:val="00F22C44"/>
    <w:rsid w:val="00F2339B"/>
    <w:rsid w:val="00F23BE5"/>
    <w:rsid w:val="00F241B9"/>
    <w:rsid w:val="00F241DA"/>
    <w:rsid w:val="00F243EA"/>
    <w:rsid w:val="00F24F44"/>
    <w:rsid w:val="00F24FD7"/>
    <w:rsid w:val="00F25974"/>
    <w:rsid w:val="00F25DDD"/>
    <w:rsid w:val="00F265DA"/>
    <w:rsid w:val="00F267E2"/>
    <w:rsid w:val="00F26ABE"/>
    <w:rsid w:val="00F26E26"/>
    <w:rsid w:val="00F273E8"/>
    <w:rsid w:val="00F30068"/>
    <w:rsid w:val="00F307CF"/>
    <w:rsid w:val="00F3099E"/>
    <w:rsid w:val="00F31877"/>
    <w:rsid w:val="00F31D62"/>
    <w:rsid w:val="00F320D5"/>
    <w:rsid w:val="00F3276D"/>
    <w:rsid w:val="00F33076"/>
    <w:rsid w:val="00F3341B"/>
    <w:rsid w:val="00F33437"/>
    <w:rsid w:val="00F33CB6"/>
    <w:rsid w:val="00F33F4A"/>
    <w:rsid w:val="00F34865"/>
    <w:rsid w:val="00F348D9"/>
    <w:rsid w:val="00F34BBA"/>
    <w:rsid w:val="00F351DC"/>
    <w:rsid w:val="00F36204"/>
    <w:rsid w:val="00F362AE"/>
    <w:rsid w:val="00F37DAD"/>
    <w:rsid w:val="00F37EA6"/>
    <w:rsid w:val="00F37F77"/>
    <w:rsid w:val="00F4138D"/>
    <w:rsid w:val="00F415B1"/>
    <w:rsid w:val="00F42317"/>
    <w:rsid w:val="00F424FB"/>
    <w:rsid w:val="00F4267E"/>
    <w:rsid w:val="00F43161"/>
    <w:rsid w:val="00F431B6"/>
    <w:rsid w:val="00F439CA"/>
    <w:rsid w:val="00F43D56"/>
    <w:rsid w:val="00F44F99"/>
    <w:rsid w:val="00F451E2"/>
    <w:rsid w:val="00F45D04"/>
    <w:rsid w:val="00F45E35"/>
    <w:rsid w:val="00F4648E"/>
    <w:rsid w:val="00F46591"/>
    <w:rsid w:val="00F50095"/>
    <w:rsid w:val="00F502F9"/>
    <w:rsid w:val="00F503DB"/>
    <w:rsid w:val="00F50A93"/>
    <w:rsid w:val="00F50CE6"/>
    <w:rsid w:val="00F50FE5"/>
    <w:rsid w:val="00F51168"/>
    <w:rsid w:val="00F51356"/>
    <w:rsid w:val="00F5168D"/>
    <w:rsid w:val="00F5173C"/>
    <w:rsid w:val="00F51A59"/>
    <w:rsid w:val="00F52ACF"/>
    <w:rsid w:val="00F52C51"/>
    <w:rsid w:val="00F5379E"/>
    <w:rsid w:val="00F55743"/>
    <w:rsid w:val="00F55DC0"/>
    <w:rsid w:val="00F55FCF"/>
    <w:rsid w:val="00F569DC"/>
    <w:rsid w:val="00F572A2"/>
    <w:rsid w:val="00F57A5B"/>
    <w:rsid w:val="00F611D2"/>
    <w:rsid w:val="00F61A5A"/>
    <w:rsid w:val="00F6244A"/>
    <w:rsid w:val="00F6310F"/>
    <w:rsid w:val="00F6352D"/>
    <w:rsid w:val="00F638CB"/>
    <w:rsid w:val="00F63A97"/>
    <w:rsid w:val="00F63C82"/>
    <w:rsid w:val="00F63F5D"/>
    <w:rsid w:val="00F6403A"/>
    <w:rsid w:val="00F6408E"/>
    <w:rsid w:val="00F65EE0"/>
    <w:rsid w:val="00F661C7"/>
    <w:rsid w:val="00F66CAB"/>
    <w:rsid w:val="00F67B7C"/>
    <w:rsid w:val="00F67D2E"/>
    <w:rsid w:val="00F70E54"/>
    <w:rsid w:val="00F727D5"/>
    <w:rsid w:val="00F72F17"/>
    <w:rsid w:val="00F73106"/>
    <w:rsid w:val="00F73360"/>
    <w:rsid w:val="00F7346F"/>
    <w:rsid w:val="00F7374A"/>
    <w:rsid w:val="00F737BA"/>
    <w:rsid w:val="00F741F2"/>
    <w:rsid w:val="00F74AC7"/>
    <w:rsid w:val="00F74F89"/>
    <w:rsid w:val="00F75516"/>
    <w:rsid w:val="00F7568F"/>
    <w:rsid w:val="00F75998"/>
    <w:rsid w:val="00F75C1A"/>
    <w:rsid w:val="00F765E5"/>
    <w:rsid w:val="00F76684"/>
    <w:rsid w:val="00F768DD"/>
    <w:rsid w:val="00F76A62"/>
    <w:rsid w:val="00F76B30"/>
    <w:rsid w:val="00F772D1"/>
    <w:rsid w:val="00F77816"/>
    <w:rsid w:val="00F77D2D"/>
    <w:rsid w:val="00F80F5C"/>
    <w:rsid w:val="00F81E0F"/>
    <w:rsid w:val="00F82611"/>
    <w:rsid w:val="00F82A5E"/>
    <w:rsid w:val="00F82E03"/>
    <w:rsid w:val="00F83571"/>
    <w:rsid w:val="00F83F57"/>
    <w:rsid w:val="00F8464C"/>
    <w:rsid w:val="00F8488F"/>
    <w:rsid w:val="00F85616"/>
    <w:rsid w:val="00F856F4"/>
    <w:rsid w:val="00F85A64"/>
    <w:rsid w:val="00F85D8B"/>
    <w:rsid w:val="00F874DD"/>
    <w:rsid w:val="00F87B01"/>
    <w:rsid w:val="00F90696"/>
    <w:rsid w:val="00F91E83"/>
    <w:rsid w:val="00F9268E"/>
    <w:rsid w:val="00F92869"/>
    <w:rsid w:val="00F92D96"/>
    <w:rsid w:val="00F9324E"/>
    <w:rsid w:val="00F93523"/>
    <w:rsid w:val="00F9375B"/>
    <w:rsid w:val="00F937DC"/>
    <w:rsid w:val="00F9438C"/>
    <w:rsid w:val="00F94F60"/>
    <w:rsid w:val="00F9514A"/>
    <w:rsid w:val="00F951FB"/>
    <w:rsid w:val="00F95561"/>
    <w:rsid w:val="00F96081"/>
    <w:rsid w:val="00F96084"/>
    <w:rsid w:val="00F96187"/>
    <w:rsid w:val="00F976F9"/>
    <w:rsid w:val="00FA003B"/>
    <w:rsid w:val="00FA02D9"/>
    <w:rsid w:val="00FA1140"/>
    <w:rsid w:val="00FA11A0"/>
    <w:rsid w:val="00FA11F0"/>
    <w:rsid w:val="00FA138A"/>
    <w:rsid w:val="00FA172A"/>
    <w:rsid w:val="00FA3057"/>
    <w:rsid w:val="00FA34DA"/>
    <w:rsid w:val="00FA3ECB"/>
    <w:rsid w:val="00FA4320"/>
    <w:rsid w:val="00FA4F13"/>
    <w:rsid w:val="00FA5662"/>
    <w:rsid w:val="00FA56C5"/>
    <w:rsid w:val="00FA59BF"/>
    <w:rsid w:val="00FA5CE5"/>
    <w:rsid w:val="00FA5DC8"/>
    <w:rsid w:val="00FA60F4"/>
    <w:rsid w:val="00FA614D"/>
    <w:rsid w:val="00FA76C5"/>
    <w:rsid w:val="00FA7778"/>
    <w:rsid w:val="00FA7B37"/>
    <w:rsid w:val="00FA7C81"/>
    <w:rsid w:val="00FB08AF"/>
    <w:rsid w:val="00FB0B37"/>
    <w:rsid w:val="00FB0CB5"/>
    <w:rsid w:val="00FB28E0"/>
    <w:rsid w:val="00FB3605"/>
    <w:rsid w:val="00FB504A"/>
    <w:rsid w:val="00FB5D73"/>
    <w:rsid w:val="00FB5E31"/>
    <w:rsid w:val="00FB5F18"/>
    <w:rsid w:val="00FB6385"/>
    <w:rsid w:val="00FB6CCD"/>
    <w:rsid w:val="00FC01E9"/>
    <w:rsid w:val="00FC0365"/>
    <w:rsid w:val="00FC08B2"/>
    <w:rsid w:val="00FC0EFB"/>
    <w:rsid w:val="00FC0FA9"/>
    <w:rsid w:val="00FC1457"/>
    <w:rsid w:val="00FC1DBA"/>
    <w:rsid w:val="00FC20B8"/>
    <w:rsid w:val="00FC22EE"/>
    <w:rsid w:val="00FC269E"/>
    <w:rsid w:val="00FC2950"/>
    <w:rsid w:val="00FC29E4"/>
    <w:rsid w:val="00FC3308"/>
    <w:rsid w:val="00FC38A9"/>
    <w:rsid w:val="00FC3C12"/>
    <w:rsid w:val="00FC3DCC"/>
    <w:rsid w:val="00FC509F"/>
    <w:rsid w:val="00FC517F"/>
    <w:rsid w:val="00FC5233"/>
    <w:rsid w:val="00FC5BAA"/>
    <w:rsid w:val="00FC61CD"/>
    <w:rsid w:val="00FC6461"/>
    <w:rsid w:val="00FC65FC"/>
    <w:rsid w:val="00FC74B4"/>
    <w:rsid w:val="00FD05E3"/>
    <w:rsid w:val="00FD0716"/>
    <w:rsid w:val="00FD0826"/>
    <w:rsid w:val="00FD0E45"/>
    <w:rsid w:val="00FD18DE"/>
    <w:rsid w:val="00FD2BB4"/>
    <w:rsid w:val="00FD31E0"/>
    <w:rsid w:val="00FD3FA3"/>
    <w:rsid w:val="00FD4426"/>
    <w:rsid w:val="00FD579B"/>
    <w:rsid w:val="00FD59AD"/>
    <w:rsid w:val="00FD5DC8"/>
    <w:rsid w:val="00FD61ED"/>
    <w:rsid w:val="00FD67DA"/>
    <w:rsid w:val="00FD75A4"/>
    <w:rsid w:val="00FD7765"/>
    <w:rsid w:val="00FE09F8"/>
    <w:rsid w:val="00FE10F3"/>
    <w:rsid w:val="00FE149C"/>
    <w:rsid w:val="00FE19DF"/>
    <w:rsid w:val="00FE1A02"/>
    <w:rsid w:val="00FE1C51"/>
    <w:rsid w:val="00FE2AC0"/>
    <w:rsid w:val="00FE2EF9"/>
    <w:rsid w:val="00FE2F9F"/>
    <w:rsid w:val="00FE3E6B"/>
    <w:rsid w:val="00FE5DF9"/>
    <w:rsid w:val="00FE6466"/>
    <w:rsid w:val="00FE6563"/>
    <w:rsid w:val="00FE758C"/>
    <w:rsid w:val="00FE78AB"/>
    <w:rsid w:val="00FE7A6E"/>
    <w:rsid w:val="00FE7CF2"/>
    <w:rsid w:val="00FE7F5F"/>
    <w:rsid w:val="00FF02D2"/>
    <w:rsid w:val="00FF0F10"/>
    <w:rsid w:val="00FF13F7"/>
    <w:rsid w:val="00FF1432"/>
    <w:rsid w:val="00FF15D7"/>
    <w:rsid w:val="00FF177A"/>
    <w:rsid w:val="00FF21E9"/>
    <w:rsid w:val="00FF2BEB"/>
    <w:rsid w:val="00FF2E89"/>
    <w:rsid w:val="00FF32AF"/>
    <w:rsid w:val="00FF419A"/>
    <w:rsid w:val="00FF444E"/>
    <w:rsid w:val="00FF4A4E"/>
    <w:rsid w:val="00FF4FB0"/>
    <w:rsid w:val="00FF51EF"/>
    <w:rsid w:val="00FF5828"/>
    <w:rsid w:val="00FF5A8C"/>
    <w:rsid w:val="00FF6001"/>
    <w:rsid w:val="00FF69E4"/>
    <w:rsid w:val="00FF6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78148D"/>
  <w15:docId w15:val="{35B84D77-707B-457E-B833-4BB24B85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86"/>
    <w:pPr>
      <w:suppressAutoHyphens/>
      <w:jc w:val="both"/>
    </w:pPr>
    <w:rPr>
      <w:rFonts w:ascii="Calibri" w:eastAsia="MS Mincho" w:hAnsi="Calibri"/>
      <w:color w:val="000000"/>
      <w:szCs w:val="24"/>
      <w:lang w:eastAsia="ar-SA"/>
    </w:rPr>
  </w:style>
  <w:style w:type="paragraph" w:styleId="Heading1">
    <w:name w:val="heading 1"/>
    <w:basedOn w:val="Normal"/>
    <w:next w:val="Normal"/>
    <w:link w:val="Heading1Char"/>
    <w:autoRedefine/>
    <w:qFormat/>
    <w:rsid w:val="00F348D9"/>
    <w:pPr>
      <w:keepNext/>
      <w:pBdr>
        <w:top w:val="single" w:sz="4" w:space="0" w:color="000080"/>
      </w:pBdr>
      <w:jc w:val="left"/>
      <w:outlineLvl w:val="0"/>
    </w:pPr>
    <w:rPr>
      <w:rFonts w:cs="Arial"/>
      <w:bCs/>
      <w:color w:val="002060"/>
      <w:kern w:val="36"/>
      <w:sz w:val="40"/>
      <w:szCs w:val="40"/>
    </w:rPr>
  </w:style>
  <w:style w:type="paragraph" w:styleId="Heading2">
    <w:name w:val="heading 2"/>
    <w:basedOn w:val="Normal"/>
    <w:next w:val="Normal"/>
    <w:link w:val="Heading2Char"/>
    <w:autoRedefine/>
    <w:uiPriority w:val="9"/>
    <w:qFormat/>
    <w:rsid w:val="0008751D"/>
    <w:pPr>
      <w:keepNext/>
      <w:jc w:val="left"/>
      <w:outlineLvl w:val="1"/>
    </w:pPr>
    <w:rPr>
      <w:rFonts w:cs="Calibri"/>
      <w:bCs/>
      <w:iCs/>
      <w:color w:val="002060"/>
      <w:sz w:val="28"/>
      <w:szCs w:val="28"/>
    </w:rPr>
  </w:style>
  <w:style w:type="paragraph" w:styleId="Heading3">
    <w:name w:val="heading 3"/>
    <w:basedOn w:val="TitleX"/>
    <w:next w:val="Normal"/>
    <w:link w:val="Heading3Char"/>
    <w:autoRedefine/>
    <w:qFormat/>
    <w:rsid w:val="0008751D"/>
    <w:pPr>
      <w:spacing w:before="0" w:after="0"/>
      <w:outlineLvl w:val="2"/>
    </w:pPr>
  </w:style>
  <w:style w:type="paragraph" w:styleId="Heading4">
    <w:name w:val="heading 4"/>
    <w:basedOn w:val="Normal"/>
    <w:next w:val="Normal"/>
    <w:link w:val="Heading4Char"/>
    <w:autoRedefine/>
    <w:qFormat/>
    <w:rsid w:val="00CD0F01"/>
    <w:pPr>
      <w:outlineLvl w:val="3"/>
    </w:pPr>
    <w:rPr>
      <w:rFonts w:ascii="Arial Bold" w:hAnsi="Arial Bold"/>
      <w:b/>
      <w:color w:val="auto"/>
    </w:rPr>
  </w:style>
  <w:style w:type="paragraph" w:styleId="Heading5">
    <w:name w:val="heading 5"/>
    <w:basedOn w:val="Normal"/>
    <w:next w:val="Normal"/>
    <w:link w:val="Heading5Char"/>
    <w:unhideWhenUsed/>
    <w:qFormat/>
    <w:rsid w:val="00B75D30"/>
    <w:pPr>
      <w:spacing w:before="240" w:after="60"/>
      <w:outlineLvl w:val="4"/>
    </w:pPr>
    <w:rPr>
      <w:rFonts w:eastAsia="Times New Roman"/>
      <w:b/>
      <w:bCs/>
      <w:i/>
      <w:iCs/>
      <w:color w:val="2A2767"/>
      <w:sz w:val="26"/>
      <w:szCs w:val="26"/>
    </w:rPr>
  </w:style>
  <w:style w:type="paragraph" w:styleId="Heading6">
    <w:name w:val="heading 6"/>
    <w:basedOn w:val="Normal"/>
    <w:next w:val="Normal"/>
    <w:link w:val="Heading6Char"/>
    <w:qFormat/>
    <w:rsid w:val="003B0B14"/>
    <w:pPr>
      <w:tabs>
        <w:tab w:val="num" w:pos="0"/>
      </w:tabs>
      <w:spacing w:before="240" w:after="60"/>
      <w:jc w:val="left"/>
      <w:outlineLvl w:val="5"/>
    </w:pPr>
    <w:rPr>
      <w:rFonts w:ascii="Arial" w:eastAsia="SimSun" w:hAnsi="Arial" w:cs="Arial"/>
      <w:b/>
      <w:bCs/>
      <w:color w:val="auto"/>
      <w:szCs w:val="20"/>
      <w:lang w:val="en-US" w:eastAsia="en-US" w:bidi="en-US"/>
    </w:rPr>
  </w:style>
  <w:style w:type="paragraph" w:styleId="Heading7">
    <w:name w:val="heading 7"/>
    <w:basedOn w:val="Normal"/>
    <w:next w:val="Normal"/>
    <w:link w:val="Heading7Char"/>
    <w:qFormat/>
    <w:rsid w:val="003B0B14"/>
    <w:pPr>
      <w:tabs>
        <w:tab w:val="num" w:pos="0"/>
      </w:tabs>
      <w:spacing w:before="240" w:after="60"/>
      <w:jc w:val="left"/>
      <w:outlineLvl w:val="6"/>
    </w:pPr>
    <w:rPr>
      <w:rFonts w:ascii="Arial" w:eastAsia="SimSun" w:hAnsi="Arial" w:cs="Arial"/>
      <w:color w:val="auto"/>
      <w:lang w:val="en-US" w:eastAsia="en-US" w:bidi="en-US"/>
    </w:rPr>
  </w:style>
  <w:style w:type="paragraph" w:styleId="Heading8">
    <w:name w:val="heading 8"/>
    <w:basedOn w:val="Normal"/>
    <w:next w:val="Normal"/>
    <w:link w:val="Heading8Char"/>
    <w:qFormat/>
    <w:rsid w:val="003B0B14"/>
    <w:pPr>
      <w:tabs>
        <w:tab w:val="num" w:pos="0"/>
      </w:tabs>
      <w:spacing w:before="240" w:after="60"/>
      <w:jc w:val="left"/>
      <w:outlineLvl w:val="7"/>
    </w:pPr>
    <w:rPr>
      <w:rFonts w:ascii="Arial" w:eastAsia="SimSun" w:hAnsi="Arial" w:cs="Arial"/>
      <w:i/>
      <w:iCs/>
      <w:color w:val="auto"/>
      <w:lang w:val="en-US" w:eastAsia="en-US" w:bidi="en-US"/>
    </w:rPr>
  </w:style>
  <w:style w:type="paragraph" w:styleId="Heading9">
    <w:name w:val="heading 9"/>
    <w:basedOn w:val="Normal"/>
    <w:next w:val="Normal"/>
    <w:link w:val="Heading9Char"/>
    <w:qFormat/>
    <w:rsid w:val="003B0B14"/>
    <w:pPr>
      <w:tabs>
        <w:tab w:val="num" w:pos="0"/>
      </w:tabs>
      <w:spacing w:before="240" w:after="60"/>
      <w:jc w:val="left"/>
      <w:outlineLvl w:val="8"/>
    </w:pPr>
    <w:rPr>
      <w:rFonts w:ascii="Cambria" w:eastAsia="SimSun" w:hAnsi="Cambria" w:cs="Arial"/>
      <w:color w:val="auto"/>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48D9"/>
    <w:rPr>
      <w:rFonts w:ascii="Calibri" w:eastAsia="MS Mincho" w:hAnsi="Calibri" w:cs="Arial"/>
      <w:bCs/>
      <w:color w:val="002060"/>
      <w:kern w:val="36"/>
      <w:sz w:val="40"/>
      <w:szCs w:val="40"/>
      <w:lang w:eastAsia="ar-SA"/>
    </w:rPr>
  </w:style>
  <w:style w:type="character" w:customStyle="1" w:styleId="Heading2Char">
    <w:name w:val="Heading 2 Char"/>
    <w:link w:val="Heading2"/>
    <w:uiPriority w:val="9"/>
    <w:rsid w:val="0008751D"/>
    <w:rPr>
      <w:rFonts w:ascii="Calibri" w:eastAsia="MS Mincho" w:hAnsi="Calibri" w:cs="Calibri"/>
      <w:bCs/>
      <w:iCs/>
      <w:color w:val="002060"/>
      <w:sz w:val="28"/>
      <w:szCs w:val="28"/>
      <w:lang w:eastAsia="ar-SA"/>
    </w:rPr>
  </w:style>
  <w:style w:type="character" w:customStyle="1" w:styleId="Heading3Char">
    <w:name w:val="Heading 3 Char"/>
    <w:link w:val="Heading3"/>
    <w:rsid w:val="0008751D"/>
    <w:rPr>
      <w:rFonts w:ascii="Calibri" w:eastAsia="MS Mincho" w:hAnsi="Calibri" w:cs="Arial"/>
      <w:bCs/>
      <w:color w:val="002060"/>
      <w:sz w:val="24"/>
      <w:szCs w:val="24"/>
      <w:lang w:eastAsia="ar-SA"/>
    </w:rPr>
  </w:style>
  <w:style w:type="character" w:customStyle="1" w:styleId="Heading4Char">
    <w:name w:val="Heading 4 Char"/>
    <w:link w:val="Heading4"/>
    <w:rsid w:val="00CD0F01"/>
    <w:rPr>
      <w:rFonts w:ascii="Arial Bold" w:eastAsia="MS Mincho" w:hAnsi="Arial Bold"/>
      <w:b/>
      <w:szCs w:val="24"/>
      <w:lang w:eastAsia="ar-SA"/>
    </w:rPr>
  </w:style>
  <w:style w:type="paragraph" w:styleId="Footer">
    <w:name w:val="footer"/>
    <w:basedOn w:val="Normal"/>
    <w:link w:val="FooterChar"/>
    <w:uiPriority w:val="99"/>
    <w:rsid w:val="00207F49"/>
    <w:pPr>
      <w:tabs>
        <w:tab w:val="center" w:pos="4320"/>
        <w:tab w:val="right" w:pos="8640"/>
      </w:tabs>
      <w:spacing w:before="40" w:after="40"/>
    </w:pPr>
    <w:rPr>
      <w:sz w:val="16"/>
    </w:rPr>
  </w:style>
  <w:style w:type="character" w:customStyle="1" w:styleId="FooterChar">
    <w:name w:val="Footer Char"/>
    <w:link w:val="Footer"/>
    <w:uiPriority w:val="99"/>
    <w:rsid w:val="00207F49"/>
    <w:rPr>
      <w:rFonts w:ascii="Arial Narrow" w:eastAsia="MS Mincho" w:hAnsi="Arial Narrow"/>
      <w:color w:val="3D565B"/>
      <w:sz w:val="16"/>
      <w:szCs w:val="24"/>
      <w:lang w:val="en-NZ" w:eastAsia="ar-SA"/>
    </w:rPr>
  </w:style>
  <w:style w:type="character" w:styleId="PageNumber">
    <w:name w:val="page number"/>
    <w:uiPriority w:val="99"/>
    <w:rsid w:val="00E966A9"/>
    <w:rPr>
      <w:rFonts w:ascii="Arial" w:hAnsi="Arial"/>
      <w:color w:val="003366"/>
      <w:sz w:val="16"/>
    </w:rPr>
  </w:style>
  <w:style w:type="paragraph" w:styleId="Title">
    <w:name w:val="Title"/>
    <w:basedOn w:val="Normal"/>
    <w:next w:val="Normal"/>
    <w:link w:val="TitleChar"/>
    <w:qFormat/>
    <w:rsid w:val="004679C5"/>
    <w:pPr>
      <w:spacing w:before="240" w:after="240"/>
      <w:jc w:val="center"/>
    </w:pPr>
    <w:rPr>
      <w:rFonts w:cs="Arial"/>
      <w:b/>
      <w:bCs/>
      <w:color w:val="01447B"/>
      <w:kern w:val="1"/>
      <w:sz w:val="52"/>
      <w:szCs w:val="32"/>
    </w:rPr>
  </w:style>
  <w:style w:type="character" w:customStyle="1" w:styleId="TitleChar">
    <w:name w:val="Title Char"/>
    <w:link w:val="Title"/>
    <w:rsid w:val="004679C5"/>
    <w:rPr>
      <w:rFonts w:ascii="Arial Narrow" w:eastAsia="MS Mincho" w:hAnsi="Arial Narrow" w:cs="Arial"/>
      <w:b/>
      <w:bCs/>
      <w:color w:val="01447B"/>
      <w:kern w:val="1"/>
      <w:sz w:val="52"/>
      <w:szCs w:val="32"/>
      <w:lang w:val="en-NZ" w:eastAsia="ar-SA"/>
    </w:rPr>
  </w:style>
  <w:style w:type="paragraph" w:styleId="Subtitle">
    <w:name w:val="Subtitle"/>
    <w:basedOn w:val="Normal"/>
    <w:next w:val="BodyText"/>
    <w:link w:val="SubtitleChar"/>
    <w:uiPriority w:val="11"/>
    <w:qFormat/>
    <w:rsid w:val="00447B4B"/>
    <w:pPr>
      <w:snapToGrid w:val="0"/>
      <w:spacing w:before="60" w:after="60"/>
      <w:jc w:val="center"/>
    </w:pPr>
    <w:rPr>
      <w:rFonts w:eastAsia="Times New Roman" w:cs="Arial"/>
      <w:b/>
    </w:rPr>
  </w:style>
  <w:style w:type="character" w:customStyle="1" w:styleId="SubtitleChar">
    <w:name w:val="Subtitle Char"/>
    <w:link w:val="Subtitle"/>
    <w:uiPriority w:val="11"/>
    <w:rsid w:val="00447B4B"/>
    <w:rPr>
      <w:rFonts w:ascii="Franklin Gothic Book" w:eastAsia="Times New Roman" w:hAnsi="Franklin Gothic Book" w:cs="Arial"/>
      <w:b/>
      <w:color w:val="000000"/>
      <w:sz w:val="22"/>
      <w:szCs w:val="24"/>
      <w:lang w:eastAsia="ar-SA"/>
    </w:rPr>
  </w:style>
  <w:style w:type="paragraph" w:styleId="BodyText">
    <w:name w:val="Body Text"/>
    <w:basedOn w:val="Normal"/>
    <w:link w:val="BodyTextChar"/>
    <w:uiPriority w:val="99"/>
    <w:rsid w:val="00C51234"/>
    <w:pPr>
      <w:snapToGrid w:val="0"/>
      <w:jc w:val="left"/>
    </w:pPr>
    <w:rPr>
      <w:rFonts w:eastAsia="Times New Roman"/>
      <w:szCs w:val="22"/>
    </w:rPr>
  </w:style>
  <w:style w:type="character" w:customStyle="1" w:styleId="BodyTextChar">
    <w:name w:val="Body Text Char"/>
    <w:link w:val="BodyText"/>
    <w:uiPriority w:val="99"/>
    <w:rsid w:val="00C51234"/>
    <w:rPr>
      <w:rFonts w:ascii="Franklin Gothic Book" w:hAnsi="Franklin Gothic Book"/>
      <w:color w:val="000000"/>
      <w:sz w:val="22"/>
      <w:szCs w:val="22"/>
      <w:lang w:eastAsia="ar-SA"/>
    </w:rPr>
  </w:style>
  <w:style w:type="character" w:styleId="Strong">
    <w:name w:val="Strong"/>
    <w:uiPriority w:val="22"/>
    <w:qFormat/>
    <w:rsid w:val="00645A63"/>
    <w:rPr>
      <w:rFonts w:ascii="Arial" w:hAnsi="Arial"/>
      <w:b/>
      <w:bCs/>
      <w:sz w:val="22"/>
    </w:rPr>
  </w:style>
  <w:style w:type="character" w:styleId="Emphasis">
    <w:name w:val="Emphasis"/>
    <w:uiPriority w:val="20"/>
    <w:qFormat/>
    <w:rsid w:val="00E966A9"/>
    <w:rPr>
      <w:rFonts w:ascii="Calibri" w:hAnsi="Calibri"/>
      <w:i/>
      <w:iCs/>
      <w:color w:val="000000"/>
      <w:sz w:val="22"/>
    </w:rPr>
  </w:style>
  <w:style w:type="paragraph" w:customStyle="1" w:styleId="Bullet1">
    <w:name w:val="Bullet1"/>
    <w:basedOn w:val="Normal"/>
    <w:next w:val="Bullet2"/>
    <w:rsid w:val="00447B4B"/>
    <w:pPr>
      <w:numPr>
        <w:numId w:val="3"/>
      </w:numPr>
      <w:suppressAutoHyphens w:val="0"/>
    </w:pPr>
  </w:style>
  <w:style w:type="paragraph" w:customStyle="1" w:styleId="TableHeader2">
    <w:name w:val="Table Header 2"/>
    <w:basedOn w:val="Normal"/>
    <w:qFormat/>
    <w:rsid w:val="00F030B9"/>
    <w:pPr>
      <w:suppressAutoHyphens w:val="0"/>
      <w:spacing w:before="40" w:after="40"/>
      <w:jc w:val="left"/>
    </w:pPr>
    <w:rPr>
      <w:rFonts w:ascii="Arial Narrow" w:eastAsia="Times New Roman" w:hAnsi="Arial Narrow"/>
      <w:b/>
      <w:color w:val="auto"/>
      <w:szCs w:val="22"/>
      <w:lang w:eastAsia="en-US"/>
    </w:rPr>
  </w:style>
  <w:style w:type="paragraph" w:customStyle="1" w:styleId="TableHeader1">
    <w:name w:val="Table Header 1"/>
    <w:basedOn w:val="Normal"/>
    <w:qFormat/>
    <w:rsid w:val="00415CF6"/>
    <w:pPr>
      <w:suppressAutoHyphens w:val="0"/>
      <w:spacing w:before="40" w:after="40"/>
    </w:pPr>
    <w:rPr>
      <w:rFonts w:eastAsia="Times New Roman"/>
      <w:b/>
      <w:color w:val="FFFFFF"/>
      <w:szCs w:val="22"/>
      <w:lang w:eastAsia="en-US"/>
    </w:rPr>
  </w:style>
  <w:style w:type="paragraph" w:customStyle="1" w:styleId="TableFirstColumn">
    <w:name w:val="Table First Column"/>
    <w:basedOn w:val="Normal"/>
    <w:qFormat/>
    <w:rsid w:val="00BC5766"/>
    <w:pPr>
      <w:snapToGrid w:val="0"/>
      <w:jc w:val="left"/>
    </w:pPr>
    <w:rPr>
      <w:rFonts w:eastAsia="Times New Roman"/>
      <w:b/>
      <w:szCs w:val="22"/>
    </w:rPr>
  </w:style>
  <w:style w:type="paragraph" w:customStyle="1" w:styleId="TableWordColumns">
    <w:name w:val="Table Word Columns"/>
    <w:basedOn w:val="Normal"/>
    <w:qFormat/>
    <w:rsid w:val="00C04E73"/>
    <w:pPr>
      <w:snapToGrid w:val="0"/>
    </w:pPr>
  </w:style>
  <w:style w:type="paragraph" w:customStyle="1" w:styleId="Bullet2">
    <w:name w:val="Bullet 2"/>
    <w:basedOn w:val="Normal"/>
    <w:link w:val="Bullet2Char"/>
    <w:rsid w:val="00447B4B"/>
    <w:pPr>
      <w:tabs>
        <w:tab w:val="left" w:pos="284"/>
      </w:tabs>
      <w:snapToGrid w:val="0"/>
      <w:spacing w:before="60" w:after="120"/>
      <w:ind w:left="785" w:hanging="360"/>
    </w:pPr>
    <w:rPr>
      <w:rFonts w:eastAsia="Times New Roman"/>
      <w:szCs w:val="22"/>
    </w:rPr>
  </w:style>
  <w:style w:type="character" w:customStyle="1" w:styleId="Bullet2Char">
    <w:name w:val="Bullet 2 Char"/>
    <w:link w:val="Bullet2"/>
    <w:rsid w:val="00447B4B"/>
    <w:rPr>
      <w:rFonts w:ascii="Calibri" w:hAnsi="Calibri"/>
      <w:color w:val="000000"/>
      <w:szCs w:val="22"/>
      <w:lang w:val="en-AU" w:eastAsia="ar-SA"/>
    </w:rPr>
  </w:style>
  <w:style w:type="paragraph" w:customStyle="1" w:styleId="Title2">
    <w:name w:val="Title 2"/>
    <w:basedOn w:val="Title"/>
    <w:rsid w:val="00447B4B"/>
    <w:pPr>
      <w:spacing w:before="120" w:after="120"/>
    </w:pPr>
    <w:rPr>
      <w:b w:val="0"/>
      <w:i/>
      <w:color w:val="808080"/>
      <w:sz w:val="36"/>
    </w:rPr>
  </w:style>
  <w:style w:type="paragraph" w:customStyle="1" w:styleId="Title3">
    <w:name w:val="Title 3"/>
    <w:basedOn w:val="Normal"/>
    <w:link w:val="Title3Char"/>
    <w:rsid w:val="00447B4B"/>
    <w:pPr>
      <w:jc w:val="right"/>
    </w:pPr>
    <w:rPr>
      <w:rFonts w:cs="Arial"/>
      <w:b/>
      <w:bCs/>
      <w:color w:val="808080"/>
      <w:kern w:val="1"/>
      <w:sz w:val="48"/>
      <w:szCs w:val="48"/>
    </w:rPr>
  </w:style>
  <w:style w:type="paragraph" w:styleId="Header">
    <w:name w:val="header"/>
    <w:basedOn w:val="Normal"/>
    <w:link w:val="HeaderChar"/>
    <w:uiPriority w:val="99"/>
    <w:unhideWhenUsed/>
    <w:rsid w:val="00745CB8"/>
    <w:pPr>
      <w:tabs>
        <w:tab w:val="center" w:pos="4513"/>
        <w:tab w:val="right" w:pos="9026"/>
      </w:tabs>
    </w:pPr>
  </w:style>
  <w:style w:type="character" w:customStyle="1" w:styleId="Title3Char">
    <w:name w:val="Title 3 Char"/>
    <w:link w:val="Title3"/>
    <w:rsid w:val="00447B4B"/>
    <w:rPr>
      <w:rFonts w:ascii="Franklin Gothic Book" w:eastAsia="MS Mincho" w:hAnsi="Franklin Gothic Book" w:cs="Arial"/>
      <w:b/>
      <w:bCs/>
      <w:color w:val="808080"/>
      <w:kern w:val="1"/>
      <w:sz w:val="48"/>
      <w:szCs w:val="48"/>
      <w:lang w:val="en-NZ" w:eastAsia="ar-SA"/>
    </w:rPr>
  </w:style>
  <w:style w:type="character" w:customStyle="1" w:styleId="HeaderChar">
    <w:name w:val="Header Char"/>
    <w:link w:val="Header"/>
    <w:uiPriority w:val="99"/>
    <w:rsid w:val="00745CB8"/>
    <w:rPr>
      <w:rFonts w:ascii="Franklin Gothic Book" w:eastAsia="MS Mincho" w:hAnsi="Franklin Gothic Book"/>
      <w:color w:val="000000"/>
      <w:sz w:val="22"/>
      <w:szCs w:val="24"/>
      <w:lang w:val="en-NZ" w:eastAsia="ar-SA"/>
    </w:rPr>
  </w:style>
  <w:style w:type="table" w:styleId="TableGrid">
    <w:name w:val="Table Grid"/>
    <w:aliases w:val="Total"/>
    <w:basedOn w:val="TableNormal"/>
    <w:uiPriority w:val="59"/>
    <w:rsid w:val="00745C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6E39D7"/>
    <w:pPr>
      <w:jc w:val="left"/>
    </w:pPr>
  </w:style>
  <w:style w:type="character" w:styleId="CommentReference">
    <w:name w:val="annotation reference"/>
    <w:uiPriority w:val="99"/>
    <w:rsid w:val="00E966A9"/>
    <w:rPr>
      <w:rFonts w:ascii="Calibri" w:hAnsi="Calibri"/>
      <w:sz w:val="16"/>
      <w:szCs w:val="16"/>
    </w:rPr>
  </w:style>
  <w:style w:type="character" w:customStyle="1" w:styleId="CodeChar">
    <w:name w:val="Code Char"/>
    <w:link w:val="Code"/>
    <w:rsid w:val="006E39D7"/>
    <w:rPr>
      <w:rFonts w:ascii="Franklin Gothic Book" w:eastAsia="MS Mincho" w:hAnsi="Franklin Gothic Book"/>
      <w:color w:val="000000"/>
      <w:sz w:val="22"/>
      <w:szCs w:val="24"/>
      <w:lang w:val="en-NZ" w:eastAsia="ar-SA"/>
    </w:rPr>
  </w:style>
  <w:style w:type="paragraph" w:styleId="CommentText">
    <w:name w:val="annotation text"/>
    <w:basedOn w:val="Normal"/>
    <w:link w:val="CommentTextChar"/>
    <w:uiPriority w:val="99"/>
    <w:rsid w:val="00650C13"/>
    <w:pPr>
      <w:suppressAutoHyphens w:val="0"/>
    </w:pPr>
    <w:rPr>
      <w:color w:val="auto"/>
      <w:szCs w:val="20"/>
      <w:lang w:eastAsia="ja-JP"/>
    </w:rPr>
  </w:style>
  <w:style w:type="character" w:customStyle="1" w:styleId="CommentTextChar">
    <w:name w:val="Comment Text Char"/>
    <w:link w:val="CommentText"/>
    <w:uiPriority w:val="99"/>
    <w:rsid w:val="00650C13"/>
    <w:rPr>
      <w:rFonts w:ascii="Franklin Gothic Book" w:eastAsia="MS Mincho" w:hAnsi="Franklin Gothic Book"/>
      <w:lang w:eastAsia="ja-JP"/>
    </w:rPr>
  </w:style>
  <w:style w:type="paragraph" w:styleId="BalloonText">
    <w:name w:val="Balloon Text"/>
    <w:basedOn w:val="Normal"/>
    <w:link w:val="BalloonTextChar"/>
    <w:uiPriority w:val="99"/>
    <w:semiHidden/>
    <w:unhideWhenUsed/>
    <w:rsid w:val="00650C13"/>
    <w:rPr>
      <w:rFonts w:ascii="Tahoma" w:hAnsi="Tahoma" w:cs="Tahoma"/>
      <w:sz w:val="16"/>
      <w:szCs w:val="16"/>
    </w:rPr>
  </w:style>
  <w:style w:type="character" w:customStyle="1" w:styleId="BalloonTextChar">
    <w:name w:val="Balloon Text Char"/>
    <w:link w:val="BalloonText"/>
    <w:uiPriority w:val="99"/>
    <w:semiHidden/>
    <w:rsid w:val="00650C13"/>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41159C"/>
    <w:pPr>
      <w:numPr>
        <w:numId w:val="1"/>
      </w:numPr>
      <w:suppressAutoHyphens w:val="0"/>
    </w:pPr>
    <w:rPr>
      <w:color w:val="auto"/>
      <w:lang w:eastAsia="ja-JP"/>
    </w:rPr>
  </w:style>
  <w:style w:type="paragraph" w:customStyle="1" w:styleId="Title4">
    <w:name w:val="Title 4"/>
    <w:basedOn w:val="Normal"/>
    <w:link w:val="Title4Char"/>
    <w:rsid w:val="00447B4B"/>
    <w:rPr>
      <w:b/>
      <w:smallCaps/>
    </w:rPr>
  </w:style>
  <w:style w:type="paragraph" w:styleId="ListParagraph">
    <w:name w:val="List Paragraph"/>
    <w:basedOn w:val="Normal"/>
    <w:link w:val="ListParagraphChar"/>
    <w:uiPriority w:val="34"/>
    <w:qFormat/>
    <w:rsid w:val="007960C4"/>
    <w:pPr>
      <w:ind w:left="720"/>
    </w:pPr>
  </w:style>
  <w:style w:type="character" w:customStyle="1" w:styleId="Title4Char">
    <w:name w:val="Title 4 Char"/>
    <w:link w:val="Title4"/>
    <w:rsid w:val="00447B4B"/>
    <w:rPr>
      <w:rFonts w:ascii="Franklin Gothic Book" w:eastAsia="MS Mincho" w:hAnsi="Franklin Gothic Book"/>
      <w:b/>
      <w:smallCaps/>
      <w:color w:val="000000"/>
      <w:sz w:val="22"/>
      <w:szCs w:val="24"/>
      <w:lang w:val="en-NZ" w:eastAsia="ar-SA"/>
    </w:rPr>
  </w:style>
  <w:style w:type="paragraph" w:styleId="CommentSubject">
    <w:name w:val="annotation subject"/>
    <w:basedOn w:val="CommentText"/>
    <w:next w:val="CommentText"/>
    <w:link w:val="CommentSubjectChar"/>
    <w:uiPriority w:val="99"/>
    <w:semiHidden/>
    <w:unhideWhenUsed/>
    <w:rsid w:val="00530329"/>
    <w:pPr>
      <w:suppressAutoHyphens/>
    </w:pPr>
    <w:rPr>
      <w:b/>
      <w:bCs/>
      <w:color w:val="000000"/>
      <w:lang w:val="en-NZ" w:eastAsia="ar-SA"/>
    </w:rPr>
  </w:style>
  <w:style w:type="character" w:customStyle="1" w:styleId="CommentSubjectChar">
    <w:name w:val="Comment Subject Char"/>
    <w:link w:val="CommentSubject"/>
    <w:uiPriority w:val="99"/>
    <w:semiHidden/>
    <w:rsid w:val="00530329"/>
    <w:rPr>
      <w:rFonts w:ascii="Franklin Gothic Book" w:eastAsia="MS Mincho" w:hAnsi="Franklin Gothic Book"/>
      <w:b/>
      <w:bCs/>
      <w:color w:val="000000"/>
      <w:lang w:val="en-NZ" w:eastAsia="ar-SA"/>
    </w:rPr>
  </w:style>
  <w:style w:type="paragraph" w:styleId="Revision">
    <w:name w:val="Revision"/>
    <w:hidden/>
    <w:uiPriority w:val="99"/>
    <w:semiHidden/>
    <w:rsid w:val="00530329"/>
    <w:rPr>
      <w:rFonts w:ascii="Franklin Gothic Book" w:eastAsia="MS Mincho" w:hAnsi="Franklin Gothic Book"/>
      <w:color w:val="000000"/>
      <w:sz w:val="22"/>
      <w:szCs w:val="24"/>
      <w:lang w:val="en-NZ" w:eastAsia="ar-SA"/>
    </w:rPr>
  </w:style>
  <w:style w:type="paragraph" w:styleId="TOCHeading">
    <w:name w:val="TOC Heading"/>
    <w:basedOn w:val="Heading1"/>
    <w:next w:val="Normal"/>
    <w:uiPriority w:val="39"/>
    <w:qFormat/>
    <w:rsid w:val="00E966A9"/>
    <w:pPr>
      <w:keepLines/>
      <w:suppressAutoHyphens w:val="0"/>
      <w:spacing w:before="480" w:line="276" w:lineRule="auto"/>
      <w:outlineLvl w:val="9"/>
    </w:pPr>
    <w:rPr>
      <w:rFonts w:eastAsia="Times New Roman" w:cs="Times New Roman"/>
      <w:kern w:val="0"/>
      <w:sz w:val="28"/>
      <w:szCs w:val="28"/>
      <w:lang w:val="en-US" w:eastAsia="en-US"/>
    </w:rPr>
  </w:style>
  <w:style w:type="paragraph" w:styleId="TOC1">
    <w:name w:val="toc 1"/>
    <w:basedOn w:val="Normal"/>
    <w:next w:val="Normal"/>
    <w:autoRedefine/>
    <w:uiPriority w:val="39"/>
    <w:unhideWhenUsed/>
    <w:rsid w:val="00EA6422"/>
    <w:pPr>
      <w:tabs>
        <w:tab w:val="right" w:leader="dot" w:pos="8789"/>
      </w:tabs>
    </w:pPr>
    <w:rPr>
      <w:rFonts w:cs="Calibri"/>
      <w:noProof/>
      <w:color w:val="01447B"/>
    </w:rPr>
  </w:style>
  <w:style w:type="paragraph" w:styleId="TOC2">
    <w:name w:val="toc 2"/>
    <w:basedOn w:val="Normal"/>
    <w:next w:val="Normal"/>
    <w:autoRedefine/>
    <w:uiPriority w:val="39"/>
    <w:unhideWhenUsed/>
    <w:rsid w:val="00E935F3"/>
    <w:pPr>
      <w:tabs>
        <w:tab w:val="right" w:leader="dot" w:pos="8789"/>
      </w:tabs>
      <w:ind w:left="220"/>
    </w:pPr>
    <w:rPr>
      <w:rFonts w:cs="Arial"/>
      <w:noProof/>
      <w:szCs w:val="20"/>
    </w:rPr>
  </w:style>
  <w:style w:type="paragraph" w:styleId="TOC3">
    <w:name w:val="toc 3"/>
    <w:basedOn w:val="Normal"/>
    <w:next w:val="Normal"/>
    <w:autoRedefine/>
    <w:uiPriority w:val="39"/>
    <w:unhideWhenUsed/>
    <w:rsid w:val="00720F2A"/>
    <w:pPr>
      <w:tabs>
        <w:tab w:val="right" w:leader="dot" w:pos="8789"/>
      </w:tabs>
      <w:ind w:left="440"/>
    </w:pPr>
    <w:rPr>
      <w:noProof/>
      <w:lang w:val="en-US"/>
    </w:rPr>
  </w:style>
  <w:style w:type="paragraph" w:styleId="TOC4">
    <w:name w:val="toc 4"/>
    <w:basedOn w:val="Normal"/>
    <w:next w:val="Normal"/>
    <w:autoRedefine/>
    <w:uiPriority w:val="39"/>
    <w:unhideWhenUsed/>
    <w:rsid w:val="00EA6422"/>
    <w:pPr>
      <w:tabs>
        <w:tab w:val="right" w:pos="8789"/>
      </w:tabs>
      <w:suppressAutoHyphens w:val="0"/>
      <w:spacing w:after="100" w:line="276" w:lineRule="auto"/>
      <w:ind w:left="660"/>
      <w:jc w:val="left"/>
    </w:pPr>
    <w:rPr>
      <w:rFonts w:eastAsia="Times New Roman"/>
      <w:color w:val="auto"/>
      <w:szCs w:val="22"/>
      <w:lang w:eastAsia="en-AU"/>
    </w:rPr>
  </w:style>
  <w:style w:type="paragraph" w:styleId="TOC5">
    <w:name w:val="toc 5"/>
    <w:basedOn w:val="Normal"/>
    <w:next w:val="Normal"/>
    <w:autoRedefine/>
    <w:uiPriority w:val="39"/>
    <w:unhideWhenUsed/>
    <w:rsid w:val="006E7772"/>
    <w:pPr>
      <w:suppressAutoHyphens w:val="0"/>
      <w:spacing w:after="100" w:line="276" w:lineRule="auto"/>
      <w:ind w:left="880"/>
      <w:jc w:val="left"/>
    </w:pPr>
    <w:rPr>
      <w:rFonts w:eastAsia="Times New Roman"/>
      <w:color w:val="auto"/>
      <w:szCs w:val="22"/>
      <w:lang w:eastAsia="en-AU"/>
    </w:rPr>
  </w:style>
  <w:style w:type="paragraph" w:styleId="TOC6">
    <w:name w:val="toc 6"/>
    <w:basedOn w:val="Normal"/>
    <w:next w:val="Normal"/>
    <w:autoRedefine/>
    <w:uiPriority w:val="39"/>
    <w:unhideWhenUsed/>
    <w:rsid w:val="006E7772"/>
    <w:pPr>
      <w:suppressAutoHyphens w:val="0"/>
      <w:spacing w:after="100" w:line="276" w:lineRule="auto"/>
      <w:ind w:left="1100"/>
      <w:jc w:val="left"/>
    </w:pPr>
    <w:rPr>
      <w:rFonts w:eastAsia="Times New Roman"/>
      <w:color w:val="auto"/>
      <w:szCs w:val="22"/>
      <w:lang w:eastAsia="en-AU"/>
    </w:rPr>
  </w:style>
  <w:style w:type="paragraph" w:styleId="TOC7">
    <w:name w:val="toc 7"/>
    <w:basedOn w:val="Normal"/>
    <w:next w:val="Normal"/>
    <w:autoRedefine/>
    <w:uiPriority w:val="39"/>
    <w:unhideWhenUsed/>
    <w:rsid w:val="006E7772"/>
    <w:pPr>
      <w:suppressAutoHyphens w:val="0"/>
      <w:spacing w:after="100" w:line="276" w:lineRule="auto"/>
      <w:ind w:left="1320"/>
      <w:jc w:val="left"/>
    </w:pPr>
    <w:rPr>
      <w:rFonts w:eastAsia="Times New Roman"/>
      <w:color w:val="auto"/>
      <w:szCs w:val="22"/>
      <w:lang w:eastAsia="en-AU"/>
    </w:rPr>
  </w:style>
  <w:style w:type="paragraph" w:styleId="TOC8">
    <w:name w:val="toc 8"/>
    <w:basedOn w:val="Normal"/>
    <w:next w:val="Normal"/>
    <w:autoRedefine/>
    <w:uiPriority w:val="39"/>
    <w:unhideWhenUsed/>
    <w:rsid w:val="006E7772"/>
    <w:pPr>
      <w:suppressAutoHyphens w:val="0"/>
      <w:spacing w:after="100" w:line="276" w:lineRule="auto"/>
      <w:ind w:left="1540"/>
      <w:jc w:val="left"/>
    </w:pPr>
    <w:rPr>
      <w:rFonts w:eastAsia="Times New Roman"/>
      <w:color w:val="auto"/>
      <w:szCs w:val="22"/>
      <w:lang w:eastAsia="en-AU"/>
    </w:rPr>
  </w:style>
  <w:style w:type="paragraph" w:styleId="TOC9">
    <w:name w:val="toc 9"/>
    <w:basedOn w:val="Normal"/>
    <w:next w:val="Normal"/>
    <w:autoRedefine/>
    <w:uiPriority w:val="39"/>
    <w:unhideWhenUsed/>
    <w:rsid w:val="006E7772"/>
    <w:pPr>
      <w:suppressAutoHyphens w:val="0"/>
      <w:spacing w:after="100" w:line="276" w:lineRule="auto"/>
      <w:ind w:left="1760"/>
      <w:jc w:val="left"/>
    </w:pPr>
    <w:rPr>
      <w:rFonts w:eastAsia="Times New Roman"/>
      <w:color w:val="auto"/>
      <w:szCs w:val="22"/>
      <w:lang w:eastAsia="en-AU"/>
    </w:rPr>
  </w:style>
  <w:style w:type="character" w:styleId="Hyperlink">
    <w:name w:val="Hyperlink"/>
    <w:uiPriority w:val="99"/>
    <w:unhideWhenUsed/>
    <w:rsid w:val="00AD755F"/>
    <w:rPr>
      <w:rFonts w:ascii="Arial Narrow" w:hAnsi="Arial Narrow"/>
      <w:color w:val="000000"/>
      <w:u w:val="single"/>
    </w:rPr>
  </w:style>
  <w:style w:type="paragraph" w:customStyle="1" w:styleId="TitleX">
    <w:name w:val="Title X"/>
    <w:basedOn w:val="Normal"/>
    <w:link w:val="TitleXChar"/>
    <w:qFormat/>
    <w:rsid w:val="00645A63"/>
    <w:pPr>
      <w:spacing w:before="120" w:after="120"/>
    </w:pPr>
    <w:rPr>
      <w:rFonts w:cs="Arial"/>
      <w:bCs/>
      <w:color w:val="002060"/>
      <w:sz w:val="24"/>
    </w:rPr>
  </w:style>
  <w:style w:type="paragraph" w:customStyle="1" w:styleId="Title5">
    <w:name w:val="Title 5"/>
    <w:basedOn w:val="Normal"/>
    <w:link w:val="Title5Char"/>
    <w:rsid w:val="000A3DBB"/>
    <w:pPr>
      <w:jc w:val="right"/>
    </w:pPr>
    <w:rPr>
      <w:color w:val="808080"/>
      <w:sz w:val="36"/>
      <w:szCs w:val="36"/>
    </w:rPr>
  </w:style>
  <w:style w:type="character" w:customStyle="1" w:styleId="TitleXChar">
    <w:name w:val="Title X Char"/>
    <w:link w:val="TitleX"/>
    <w:rsid w:val="00645A63"/>
    <w:rPr>
      <w:rFonts w:ascii="Arial" w:eastAsia="MS Mincho" w:hAnsi="Arial" w:cs="Arial"/>
      <w:bCs/>
      <w:color w:val="002060"/>
      <w:sz w:val="24"/>
      <w:szCs w:val="24"/>
      <w:lang w:val="en-NZ" w:eastAsia="ar-SA"/>
    </w:rPr>
  </w:style>
  <w:style w:type="paragraph" w:customStyle="1" w:styleId="Text20bodyTitleX">
    <w:name w:val="Text_20_body TitleX"/>
    <w:basedOn w:val="Text20bodyParagemTableHeading1"/>
    <w:rsid w:val="00001915"/>
    <w:pPr>
      <w:spacing w:before="40" w:after="40"/>
    </w:pPr>
    <w:rPr>
      <w:rFonts w:cs="Calibri"/>
      <w:szCs w:val="20"/>
    </w:rPr>
  </w:style>
  <w:style w:type="character" w:customStyle="1" w:styleId="Title5Char">
    <w:name w:val="Title 5 Char"/>
    <w:link w:val="Title5"/>
    <w:rsid w:val="000A3DBB"/>
    <w:rPr>
      <w:rFonts w:ascii="Franklin Gothic Book" w:eastAsia="MS Mincho" w:hAnsi="Franklin Gothic Book"/>
      <w:color w:val="808080"/>
      <w:sz w:val="36"/>
      <w:szCs w:val="36"/>
      <w:lang w:val="en-NZ" w:eastAsia="ar-SA"/>
    </w:rPr>
  </w:style>
  <w:style w:type="paragraph" w:customStyle="1" w:styleId="Bullet10">
    <w:name w:val="Bullet 1"/>
    <w:basedOn w:val="Bullet2"/>
    <w:link w:val="Bullet1Char"/>
    <w:qFormat/>
    <w:rsid w:val="00B77593"/>
    <w:pPr>
      <w:tabs>
        <w:tab w:val="clear" w:pos="284"/>
      </w:tabs>
      <w:ind w:left="0" w:firstLine="0"/>
    </w:pPr>
    <w:rPr>
      <w:rFonts w:eastAsia="MS Mincho"/>
    </w:rPr>
  </w:style>
  <w:style w:type="paragraph" w:customStyle="1" w:styleId="TableTitle">
    <w:name w:val="Table Title"/>
    <w:basedOn w:val="Normal"/>
    <w:semiHidden/>
    <w:rsid w:val="00E85BEA"/>
    <w:pPr>
      <w:suppressAutoHyphens w:val="0"/>
      <w:spacing w:before="40" w:after="40"/>
      <w:jc w:val="left"/>
    </w:pPr>
    <w:rPr>
      <w:szCs w:val="20"/>
      <w:lang w:eastAsia="ja-JP"/>
    </w:rPr>
  </w:style>
  <w:style w:type="character" w:customStyle="1" w:styleId="Bullet1Char">
    <w:name w:val="Bullet 1 Char"/>
    <w:link w:val="Bullet10"/>
    <w:rsid w:val="00B77593"/>
    <w:rPr>
      <w:rFonts w:ascii="Calibri" w:eastAsia="MS Mincho" w:hAnsi="Calibri"/>
      <w:color w:val="000000"/>
      <w:sz w:val="22"/>
      <w:szCs w:val="22"/>
      <w:lang w:eastAsia="ar-SA"/>
    </w:rPr>
  </w:style>
  <w:style w:type="paragraph" w:customStyle="1" w:styleId="TitleY">
    <w:name w:val="Title Y"/>
    <w:basedOn w:val="Normal"/>
    <w:link w:val="TitleYChar"/>
    <w:qFormat/>
    <w:rsid w:val="00B75D30"/>
    <w:pPr>
      <w:jc w:val="left"/>
    </w:pPr>
    <w:rPr>
      <w:color w:val="2A2767"/>
      <w:sz w:val="28"/>
    </w:rPr>
  </w:style>
  <w:style w:type="paragraph" w:customStyle="1" w:styleId="ParaHeading3">
    <w:name w:val="Para Heading 3"/>
    <w:basedOn w:val="Heading3"/>
    <w:rsid w:val="007160E6"/>
    <w:pPr>
      <w:suppressAutoHyphens w:val="0"/>
    </w:pPr>
    <w:rPr>
      <w:rFonts w:eastAsia="Times New Roman"/>
      <w:smallCaps/>
      <w:lang w:eastAsia="en-AU"/>
    </w:rPr>
  </w:style>
  <w:style w:type="character" w:customStyle="1" w:styleId="TitleYChar">
    <w:name w:val="Title Y Char"/>
    <w:link w:val="TitleY"/>
    <w:rsid w:val="00B75D30"/>
    <w:rPr>
      <w:rFonts w:ascii="Calibri" w:eastAsia="MS Mincho" w:hAnsi="Calibri"/>
      <w:color w:val="2A2767"/>
      <w:sz w:val="28"/>
      <w:szCs w:val="24"/>
      <w:lang w:val="en-NZ" w:eastAsia="ar-SA"/>
    </w:rPr>
  </w:style>
  <w:style w:type="paragraph" w:customStyle="1" w:styleId="ParaHeading2">
    <w:name w:val="Para Heading 2"/>
    <w:basedOn w:val="Heading2"/>
    <w:rsid w:val="007160E6"/>
    <w:pPr>
      <w:suppressAutoHyphens w:val="0"/>
    </w:pPr>
    <w:rPr>
      <w:rFonts w:eastAsia="Times New Roman"/>
      <w:lang w:eastAsia="en-AU"/>
    </w:rPr>
  </w:style>
  <w:style w:type="paragraph" w:customStyle="1" w:styleId="Text20bodyParagemTableHeading1">
    <w:name w:val="Text_20_body ParagemTableHeading1"/>
    <w:basedOn w:val="BodyText"/>
    <w:rsid w:val="00001915"/>
  </w:style>
  <w:style w:type="paragraph" w:customStyle="1" w:styleId="Text20bodyParagemTableText">
    <w:name w:val="Text_20_body ParagemTableText"/>
    <w:basedOn w:val="BodyText"/>
    <w:rsid w:val="00001915"/>
  </w:style>
  <w:style w:type="paragraph" w:styleId="DocumentMap">
    <w:name w:val="Document Map"/>
    <w:basedOn w:val="Normal"/>
    <w:link w:val="DocumentMapChar"/>
    <w:semiHidden/>
    <w:rsid w:val="009034E2"/>
    <w:pPr>
      <w:shd w:val="clear" w:color="auto" w:fill="000080"/>
    </w:pPr>
    <w:rPr>
      <w:rFonts w:ascii="Tahoma" w:hAnsi="Tahoma" w:cs="Tahoma"/>
      <w:szCs w:val="20"/>
    </w:rPr>
  </w:style>
  <w:style w:type="character" w:customStyle="1" w:styleId="Heading5Char">
    <w:name w:val="Heading 5 Char"/>
    <w:link w:val="Heading5"/>
    <w:uiPriority w:val="9"/>
    <w:semiHidden/>
    <w:rsid w:val="00B75D30"/>
    <w:rPr>
      <w:rFonts w:ascii="Calibri" w:hAnsi="Calibri"/>
      <w:b/>
      <w:bCs/>
      <w:i/>
      <w:iCs/>
      <w:color w:val="2A2767"/>
      <w:sz w:val="26"/>
      <w:szCs w:val="26"/>
      <w:lang w:val="en-NZ" w:eastAsia="ar-SA"/>
    </w:rPr>
  </w:style>
  <w:style w:type="character" w:styleId="IntenseEmphasis">
    <w:name w:val="Intense Emphasis"/>
    <w:aliases w:val="Table,TODO"/>
    <w:uiPriority w:val="21"/>
    <w:qFormat/>
    <w:rsid w:val="00E966A9"/>
    <w:rPr>
      <w:rFonts w:ascii="Calibri" w:hAnsi="Calibri"/>
      <w:b/>
      <w:bCs/>
      <w:i/>
      <w:iCs/>
      <w:color w:val="4F81BD"/>
    </w:rPr>
  </w:style>
  <w:style w:type="paragraph" w:styleId="Quote">
    <w:name w:val="Quote"/>
    <w:basedOn w:val="Normal"/>
    <w:next w:val="Normal"/>
    <w:link w:val="QuoteChar"/>
    <w:uiPriority w:val="29"/>
    <w:qFormat/>
    <w:rsid w:val="00E966A9"/>
    <w:rPr>
      <w:i/>
      <w:iCs/>
    </w:rPr>
  </w:style>
  <w:style w:type="character" w:customStyle="1" w:styleId="QuoteChar">
    <w:name w:val="Quote Char"/>
    <w:link w:val="Quote"/>
    <w:uiPriority w:val="29"/>
    <w:rsid w:val="00E966A9"/>
    <w:rPr>
      <w:rFonts w:ascii="Calibri" w:eastAsia="MS Mincho" w:hAnsi="Calibri"/>
      <w:i/>
      <w:iCs/>
      <w:color w:val="000000"/>
      <w:sz w:val="22"/>
      <w:szCs w:val="24"/>
      <w:lang w:val="en-NZ" w:eastAsia="ar-SA"/>
    </w:rPr>
  </w:style>
  <w:style w:type="paragraph" w:customStyle="1" w:styleId="DecimalAligned">
    <w:name w:val="Decimal Aligned"/>
    <w:basedOn w:val="Normal"/>
    <w:uiPriority w:val="40"/>
    <w:qFormat/>
    <w:rsid w:val="009E10A7"/>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9E10A7"/>
    <w:pPr>
      <w:suppressAutoHyphens w:val="0"/>
      <w:jc w:val="left"/>
    </w:pPr>
    <w:rPr>
      <w:rFonts w:eastAsia="Times New Roman"/>
      <w:color w:val="auto"/>
      <w:szCs w:val="20"/>
      <w:lang w:val="en-US" w:eastAsia="en-US"/>
    </w:rPr>
  </w:style>
  <w:style w:type="character" w:customStyle="1" w:styleId="FootnoteTextChar">
    <w:name w:val="Footnote Text Char"/>
    <w:link w:val="FootnoteText"/>
    <w:uiPriority w:val="99"/>
    <w:rsid w:val="009E10A7"/>
    <w:rPr>
      <w:rFonts w:ascii="Calibri" w:eastAsia="Times New Roman" w:hAnsi="Calibri" w:cs="Times New Roman"/>
      <w:lang w:val="en-US" w:eastAsia="en-US"/>
    </w:rPr>
  </w:style>
  <w:style w:type="character" w:styleId="SubtleEmphasis">
    <w:name w:val="Subtle Emphasis"/>
    <w:aliases w:val="Header Table,Table text"/>
    <w:uiPriority w:val="19"/>
    <w:qFormat/>
    <w:rsid w:val="009E10A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E10A7"/>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2C0CD6"/>
    <w:rPr>
      <w:rFonts w:ascii="Calibri" w:hAnsi="Calibri"/>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ED1D46"/>
    <w:pPr>
      <w:jc w:val="left"/>
    </w:pPr>
    <w:rPr>
      <w:rFonts w:cs="Calibri"/>
      <w:szCs w:val="20"/>
    </w:rPr>
  </w:style>
  <w:style w:type="paragraph" w:styleId="BodyText2">
    <w:name w:val="Body Text 2"/>
    <w:basedOn w:val="Normal"/>
    <w:link w:val="BodyText2Char"/>
    <w:rsid w:val="005B5CB7"/>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link w:val="BodyText2"/>
    <w:rsid w:val="005B5CB7"/>
    <w:rPr>
      <w:sz w:val="24"/>
      <w:szCs w:val="24"/>
      <w:lang w:val="en-US" w:eastAsia="en-US"/>
    </w:rPr>
  </w:style>
  <w:style w:type="paragraph" w:styleId="NormalWeb">
    <w:name w:val="Normal (Web)"/>
    <w:basedOn w:val="Normal"/>
    <w:uiPriority w:val="99"/>
    <w:rsid w:val="005B5CB7"/>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3B3E5C"/>
    <w:pPr>
      <w:numPr>
        <w:numId w:val="129"/>
      </w:numPr>
      <w:suppressAutoHyphens w:val="0"/>
      <w:spacing w:before="100"/>
      <w:jc w:val="left"/>
    </w:pPr>
    <w:rPr>
      <w:rFonts w:eastAsia="Times New Roman"/>
      <w:snapToGrid w:val="0"/>
      <w:color w:val="auto"/>
      <w:szCs w:val="22"/>
      <w:lang w:eastAsia="en-US"/>
    </w:rPr>
  </w:style>
  <w:style w:type="paragraph" w:customStyle="1" w:styleId="Normal5ptAfter">
    <w:name w:val="Normal (5pt After)"/>
    <w:basedOn w:val="Normal"/>
    <w:autoRedefine/>
    <w:qFormat/>
    <w:rsid w:val="008A7A38"/>
    <w:pPr>
      <w:spacing w:after="100"/>
      <w:jc w:val="left"/>
    </w:pPr>
    <w:rPr>
      <w:rFonts w:cs="Calibri"/>
    </w:rPr>
  </w:style>
  <w:style w:type="paragraph" w:customStyle="1" w:styleId="Notes-Heading">
    <w:name w:val="Notes - Heading"/>
    <w:basedOn w:val="Normal"/>
    <w:autoRedefine/>
    <w:qFormat/>
    <w:rsid w:val="0077179B"/>
    <w:pPr>
      <w:suppressAutoHyphens w:val="0"/>
      <w:spacing w:before="100"/>
      <w:jc w:val="left"/>
    </w:pPr>
    <w:rPr>
      <w:rFonts w:eastAsia="SimSun"/>
      <w:b/>
      <w:color w:val="auto"/>
      <w:sz w:val="18"/>
      <w:szCs w:val="22"/>
      <w:lang w:eastAsia="en-AU"/>
    </w:rPr>
  </w:style>
  <w:style w:type="paragraph" w:customStyle="1" w:styleId="Notes-Text">
    <w:name w:val="Notes - Text"/>
    <w:basedOn w:val="Normal"/>
    <w:autoRedefine/>
    <w:rsid w:val="00764E54"/>
    <w:pPr>
      <w:suppressAutoHyphens w:val="0"/>
      <w:spacing w:before="100"/>
      <w:jc w:val="left"/>
    </w:pPr>
    <w:rPr>
      <w:rFonts w:ascii="Arial Narrow" w:eastAsia="SimSun" w:hAnsi="Arial Narrow"/>
      <w:color w:val="auto"/>
      <w:szCs w:val="22"/>
      <w:lang w:eastAsia="en-AU"/>
    </w:rPr>
  </w:style>
  <w:style w:type="paragraph" w:customStyle="1" w:styleId="Notes-Numbers">
    <w:name w:val="Notes - Numbers"/>
    <w:basedOn w:val="Normal"/>
    <w:autoRedefine/>
    <w:rsid w:val="00764E54"/>
    <w:pPr>
      <w:suppressAutoHyphens w:val="0"/>
      <w:spacing w:before="100"/>
      <w:jc w:val="left"/>
    </w:pPr>
    <w:rPr>
      <w:rFonts w:ascii="Arial Narrow" w:eastAsia="Times New Roman" w:hAnsi="Arial Narrow" w:cs="Arial"/>
      <w:color w:val="auto"/>
      <w:szCs w:val="22"/>
      <w:lang w:eastAsia="en-US"/>
    </w:rPr>
  </w:style>
  <w:style w:type="paragraph" w:customStyle="1" w:styleId="WestpacParagraph">
    <w:name w:val="Westpac Paragraph"/>
    <w:qFormat/>
    <w:rsid w:val="000C33F6"/>
    <w:pPr>
      <w:spacing w:after="120" w:line="276" w:lineRule="auto"/>
    </w:pPr>
    <w:rPr>
      <w:rFonts w:ascii="Arial" w:hAnsi="Arial" w:cs="Arial"/>
      <w:sz w:val="22"/>
      <w:szCs w:val="22"/>
      <w:lang w:eastAsia="en-US" w:bidi="en-US"/>
    </w:rPr>
  </w:style>
  <w:style w:type="paragraph" w:customStyle="1" w:styleId="WestpacBullet1">
    <w:name w:val="Westpac Bullet1"/>
    <w:qFormat/>
    <w:rsid w:val="000C33F6"/>
    <w:pPr>
      <w:numPr>
        <w:numId w:val="4"/>
      </w:numPr>
      <w:snapToGrid w:val="0"/>
      <w:spacing w:after="120" w:line="276" w:lineRule="auto"/>
    </w:pPr>
    <w:rPr>
      <w:rFonts w:ascii="Arial" w:hAnsi="Arial" w:cs="Arial"/>
      <w:bCs/>
      <w:color w:val="000000"/>
      <w:sz w:val="22"/>
    </w:rPr>
  </w:style>
  <w:style w:type="paragraph" w:customStyle="1" w:styleId="WestpacBullet2">
    <w:name w:val="Westpac Bullet2"/>
    <w:qFormat/>
    <w:rsid w:val="000C33F6"/>
    <w:pPr>
      <w:numPr>
        <w:ilvl w:val="1"/>
        <w:numId w:val="4"/>
      </w:numPr>
      <w:snapToGrid w:val="0"/>
      <w:spacing w:after="120"/>
    </w:pPr>
    <w:rPr>
      <w:rFonts w:ascii="Arial" w:hAnsi="Arial" w:cs="Arial"/>
      <w:bCs/>
      <w:color w:val="000000"/>
      <w:sz w:val="22"/>
    </w:rPr>
  </w:style>
  <w:style w:type="numbering" w:customStyle="1" w:styleId="StyleBulletedWingdingssymbolLeft0cmHanging063cm2">
    <w:name w:val="Style Bulleted Wingdings (symbol) Left:  0 cm Hanging:  0.63 cm2"/>
    <w:basedOn w:val="NoList"/>
    <w:rsid w:val="000C33F6"/>
    <w:pPr>
      <w:numPr>
        <w:numId w:val="4"/>
      </w:numPr>
    </w:pPr>
  </w:style>
  <w:style w:type="paragraph" w:customStyle="1" w:styleId="Bullet5ptBefore">
    <w:name w:val="Bullet (5pt Before)"/>
    <w:basedOn w:val="Normal"/>
    <w:link w:val="Bullet5ptBeforeChar"/>
    <w:autoRedefine/>
    <w:qFormat/>
    <w:rsid w:val="000C265F"/>
    <w:pPr>
      <w:tabs>
        <w:tab w:val="left" w:pos="425"/>
      </w:tabs>
      <w:suppressAutoHyphens w:val="0"/>
      <w:spacing w:before="100"/>
      <w:ind w:left="425" w:hanging="425"/>
      <w:jc w:val="left"/>
    </w:pPr>
    <w:rPr>
      <w:rFonts w:eastAsia="SimSun"/>
      <w:color w:val="auto"/>
      <w:sz w:val="22"/>
      <w:szCs w:val="22"/>
      <w:lang w:eastAsia="en-AU"/>
    </w:rPr>
  </w:style>
  <w:style w:type="character" w:customStyle="1" w:styleId="Bullet5ptBeforeChar">
    <w:name w:val="Bullet (5pt Before) Char"/>
    <w:link w:val="Bullet5ptBefore"/>
    <w:rsid w:val="000C265F"/>
    <w:rPr>
      <w:rFonts w:ascii="Arial" w:eastAsia="SimSun" w:hAnsi="Arial"/>
      <w:sz w:val="22"/>
      <w:szCs w:val="22"/>
    </w:rPr>
  </w:style>
  <w:style w:type="paragraph" w:customStyle="1" w:styleId="TableHeader2-Centre">
    <w:name w:val="Table Header 2 - Centre"/>
    <w:basedOn w:val="TableHeader2"/>
    <w:autoRedefine/>
    <w:qFormat/>
    <w:rsid w:val="0097635E"/>
    <w:pPr>
      <w:jc w:val="center"/>
    </w:pPr>
    <w:rPr>
      <w:rFonts w:cs="Calibri"/>
    </w:rPr>
  </w:style>
  <w:style w:type="paragraph" w:customStyle="1" w:styleId="TableText-Centre">
    <w:name w:val="Table Text - Centre"/>
    <w:basedOn w:val="Normal"/>
    <w:autoRedefine/>
    <w:qFormat/>
    <w:rsid w:val="0097635E"/>
    <w:pPr>
      <w:spacing w:before="40" w:after="40"/>
      <w:jc w:val="center"/>
    </w:pPr>
    <w:rPr>
      <w:rFonts w:ascii="Arial Narrow" w:hAnsi="Arial Narrow" w:cs="Calibri"/>
    </w:rPr>
  </w:style>
  <w:style w:type="paragraph" w:customStyle="1" w:styleId="TableText-Left">
    <w:name w:val="Table Text - Left"/>
    <w:basedOn w:val="Normal"/>
    <w:autoRedefine/>
    <w:qFormat/>
    <w:rsid w:val="00161959"/>
    <w:pPr>
      <w:spacing w:before="40" w:after="40"/>
      <w:jc w:val="left"/>
    </w:pPr>
    <w:rPr>
      <w:color w:val="FF0000"/>
    </w:rPr>
  </w:style>
  <w:style w:type="paragraph" w:customStyle="1" w:styleId="TableText-Right">
    <w:name w:val="Table Text - Right"/>
    <w:basedOn w:val="Normal"/>
    <w:autoRedefine/>
    <w:qFormat/>
    <w:rsid w:val="000D6E4F"/>
    <w:pPr>
      <w:spacing w:before="40" w:after="40"/>
      <w:jc w:val="right"/>
    </w:pPr>
    <w:rPr>
      <w:rFonts w:ascii="Arial Narrow" w:hAnsi="Arial Narrow"/>
      <w:color w:val="FF0000"/>
    </w:rPr>
  </w:style>
  <w:style w:type="paragraph" w:customStyle="1" w:styleId="TableText-RightBold">
    <w:name w:val="Table Text - Right (Bold)"/>
    <w:basedOn w:val="TableText-Right"/>
    <w:autoRedefine/>
    <w:qFormat/>
    <w:rsid w:val="00B66098"/>
    <w:rPr>
      <w:b/>
    </w:rPr>
  </w:style>
  <w:style w:type="paragraph" w:customStyle="1" w:styleId="TableText-LeftBold">
    <w:name w:val="Table Text - Left (Bold)"/>
    <w:basedOn w:val="TableText-Left"/>
    <w:autoRedefine/>
    <w:qFormat/>
    <w:rsid w:val="0093711E"/>
    <w:rPr>
      <w:b/>
    </w:rPr>
  </w:style>
  <w:style w:type="paragraph" w:customStyle="1" w:styleId="TableHeader2-Right">
    <w:name w:val="Table Header 2 - Right"/>
    <w:basedOn w:val="TableHeader2"/>
    <w:qFormat/>
    <w:rsid w:val="00A2708A"/>
    <w:pPr>
      <w:jc w:val="right"/>
    </w:pPr>
  </w:style>
  <w:style w:type="paragraph" w:customStyle="1" w:styleId="TableText-CentreBold">
    <w:name w:val="Table Text - Centre (Bold)"/>
    <w:basedOn w:val="TableText-Centre"/>
    <w:autoRedefine/>
    <w:qFormat/>
    <w:rsid w:val="00ED623C"/>
    <w:rPr>
      <w:b/>
    </w:rPr>
  </w:style>
  <w:style w:type="paragraph" w:customStyle="1" w:styleId="Normal5ptBeforeRed">
    <w:name w:val="Normal (5pt Before + Red)"/>
    <w:basedOn w:val="Normal5ptBefore"/>
    <w:autoRedefine/>
    <w:qFormat/>
    <w:rsid w:val="004A67D5"/>
    <w:rPr>
      <w:color w:val="FF0000"/>
    </w:rPr>
  </w:style>
  <w:style w:type="paragraph" w:styleId="NoSpacing">
    <w:name w:val="No Spacing"/>
    <w:aliases w:val="Bold normal"/>
    <w:link w:val="NoSpacingChar"/>
    <w:uiPriority w:val="1"/>
    <w:qFormat/>
    <w:rsid w:val="00BD6DF0"/>
    <w:pPr>
      <w:suppressAutoHyphens/>
      <w:jc w:val="both"/>
    </w:pPr>
    <w:rPr>
      <w:rFonts w:ascii="Arial" w:eastAsia="MS Mincho" w:hAnsi="Arial"/>
      <w:color w:val="000000"/>
      <w:szCs w:val="24"/>
      <w:lang w:val="en-NZ" w:eastAsia="ar-SA"/>
    </w:rPr>
  </w:style>
  <w:style w:type="paragraph" w:customStyle="1" w:styleId="BulletPoint">
    <w:name w:val="Bullet Point"/>
    <w:basedOn w:val="Normal"/>
    <w:link w:val="BulletPointChar"/>
    <w:qFormat/>
    <w:rsid w:val="00CD35FD"/>
    <w:pPr>
      <w:numPr>
        <w:numId w:val="5"/>
      </w:numPr>
      <w:tabs>
        <w:tab w:val="clear" w:pos="360"/>
        <w:tab w:val="num" w:pos="567"/>
      </w:tabs>
      <w:suppressAutoHyphens w:val="0"/>
      <w:spacing w:before="120"/>
      <w:ind w:left="567" w:hanging="567"/>
    </w:pPr>
    <w:rPr>
      <w:rFonts w:ascii="Palatino Linotype" w:eastAsia="Times New Roman" w:hAnsi="Palatino Linotype"/>
      <w:color w:val="auto"/>
      <w:sz w:val="22"/>
      <w:szCs w:val="22"/>
      <w:lang w:eastAsia="en-US"/>
    </w:rPr>
  </w:style>
  <w:style w:type="character" w:customStyle="1" w:styleId="BulletPointChar">
    <w:name w:val="Bullet Point Char"/>
    <w:link w:val="BulletPoint"/>
    <w:rsid w:val="00CD35FD"/>
    <w:rPr>
      <w:rFonts w:ascii="Palatino Linotype" w:hAnsi="Palatino Linotype"/>
      <w:sz w:val="22"/>
      <w:szCs w:val="22"/>
      <w:lang w:eastAsia="en-US"/>
    </w:rPr>
  </w:style>
  <w:style w:type="paragraph" w:customStyle="1" w:styleId="Bullet">
    <w:name w:val="Bullet"/>
    <w:basedOn w:val="BulletPoint"/>
    <w:link w:val="BulletChar"/>
    <w:qFormat/>
    <w:rsid w:val="00E94FF0"/>
    <w:pPr>
      <w:numPr>
        <w:numId w:val="2"/>
      </w:numPr>
      <w:ind w:left="357" w:hanging="357"/>
    </w:pPr>
  </w:style>
  <w:style w:type="character" w:customStyle="1" w:styleId="BulletChar">
    <w:name w:val="Bullet Char"/>
    <w:link w:val="Bullet"/>
    <w:rsid w:val="00E94FF0"/>
    <w:rPr>
      <w:rFonts w:ascii="Palatino Linotype" w:hAnsi="Palatino Linotype"/>
      <w:sz w:val="22"/>
      <w:szCs w:val="22"/>
      <w:lang w:eastAsia="en-US"/>
    </w:rPr>
  </w:style>
  <w:style w:type="paragraph" w:customStyle="1" w:styleId="paragemtableheadingcentred">
    <w:name w:val="paragemtableheadingcentred"/>
    <w:basedOn w:val="Normal"/>
    <w:rsid w:val="00E94FF0"/>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E94FF0"/>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E94FF0"/>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E94FF0"/>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E94FF0"/>
    <w:pPr>
      <w:suppressAutoHyphens w:val="0"/>
      <w:spacing w:after="120"/>
      <w:jc w:val="center"/>
    </w:pPr>
    <w:rPr>
      <w:rFonts w:ascii="Franklin Gothic Book" w:eastAsia="Times New Roman" w:hAnsi="Franklin Gothic Book" w:cs="Times New Roman"/>
      <w:bCs w:val="0"/>
      <w:iCs w:val="0"/>
      <w:color w:val="003366"/>
      <w:szCs w:val="20"/>
      <w:lang w:val="en-US" w:eastAsia="en-US"/>
    </w:rPr>
  </w:style>
  <w:style w:type="paragraph" w:customStyle="1" w:styleId="Table1-Left">
    <w:name w:val="Table 1 - Left"/>
    <w:basedOn w:val="Normal"/>
    <w:autoRedefine/>
    <w:qFormat/>
    <w:rsid w:val="007F21CA"/>
    <w:pPr>
      <w:suppressAutoHyphens w:val="0"/>
      <w:spacing w:before="40" w:after="40"/>
      <w:jc w:val="left"/>
    </w:pPr>
    <w:rPr>
      <w:rFonts w:ascii="Arial Narrow" w:eastAsia="SimSun" w:hAnsi="Arial Narrow"/>
      <w:b/>
      <w:color w:val="FFFFFF"/>
      <w:szCs w:val="20"/>
      <w:lang w:eastAsia="en-AU"/>
    </w:rPr>
  </w:style>
  <w:style w:type="paragraph" w:customStyle="1" w:styleId="Table2-Left">
    <w:name w:val="Table 2 - Left"/>
    <w:basedOn w:val="Normal"/>
    <w:autoRedefine/>
    <w:qFormat/>
    <w:rsid w:val="00AE4F2B"/>
    <w:pPr>
      <w:suppressAutoHyphens w:val="0"/>
      <w:spacing w:before="40" w:after="40"/>
      <w:jc w:val="left"/>
    </w:pPr>
    <w:rPr>
      <w:rFonts w:ascii="Arial Narrow" w:eastAsia="SimSun" w:hAnsi="Arial Narrow"/>
      <w:b/>
      <w:color w:val="auto"/>
      <w:szCs w:val="20"/>
      <w:lang w:eastAsia="en-AU"/>
    </w:rPr>
  </w:style>
  <w:style w:type="paragraph" w:customStyle="1" w:styleId="Table3-Centre">
    <w:name w:val="Table 3 - Centre"/>
    <w:basedOn w:val="Normal"/>
    <w:autoRedefine/>
    <w:qFormat/>
    <w:rsid w:val="00B226D6"/>
    <w:pPr>
      <w:suppressAutoHyphens w:val="0"/>
      <w:spacing w:before="40" w:after="40"/>
      <w:jc w:val="center"/>
    </w:pPr>
    <w:rPr>
      <w:rFonts w:ascii="Arial Narrow" w:eastAsia="SimSun" w:hAnsi="Arial Narrow"/>
      <w:color w:val="auto"/>
      <w:szCs w:val="20"/>
      <w:lang w:eastAsia="en-AU"/>
    </w:rPr>
  </w:style>
  <w:style w:type="character" w:customStyle="1" w:styleId="Table3-LeftChar">
    <w:name w:val="Table 3 - Left Char"/>
    <w:link w:val="Table3-Left"/>
    <w:locked/>
    <w:rsid w:val="008F2FE1"/>
    <w:rPr>
      <w:rFonts w:ascii="Calibri" w:hAnsi="Calibri"/>
      <w:szCs w:val="22"/>
      <w:lang w:eastAsia="x-none"/>
    </w:rPr>
  </w:style>
  <w:style w:type="paragraph" w:customStyle="1" w:styleId="Table3-Left">
    <w:name w:val="Table 3 - Left"/>
    <w:basedOn w:val="Normal"/>
    <w:link w:val="Table3-LeftChar"/>
    <w:autoRedefine/>
    <w:rsid w:val="008F2FE1"/>
    <w:pPr>
      <w:suppressAutoHyphens w:val="0"/>
      <w:spacing w:before="40" w:after="40"/>
      <w:jc w:val="left"/>
    </w:pPr>
    <w:rPr>
      <w:rFonts w:eastAsia="Times New Roman"/>
      <w:color w:val="auto"/>
      <w:szCs w:val="22"/>
      <w:lang w:eastAsia="x-none"/>
    </w:rPr>
  </w:style>
  <w:style w:type="paragraph" w:customStyle="1" w:styleId="Table2-Centre">
    <w:name w:val="Table 2 - Centre"/>
    <w:basedOn w:val="Table3-Centre"/>
    <w:autoRedefine/>
    <w:qFormat/>
    <w:rsid w:val="00B226D6"/>
    <w:rPr>
      <w:b/>
    </w:rPr>
  </w:style>
  <w:style w:type="paragraph" w:customStyle="1" w:styleId="paragembullet1">
    <w:name w:val="paragembullet1"/>
    <w:basedOn w:val="Normal"/>
    <w:rsid w:val="007F21C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7F21CA"/>
    <w:pPr>
      <w:jc w:val="center"/>
    </w:pPr>
  </w:style>
  <w:style w:type="paragraph" w:customStyle="1" w:styleId="bullet0">
    <w:name w:val="bullet"/>
    <w:basedOn w:val="Normal"/>
    <w:rsid w:val="007A5837"/>
    <w:pPr>
      <w:numPr>
        <w:numId w:val="6"/>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021281"/>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627578"/>
    <w:pPr>
      <w:suppressAutoHyphens w:val="0"/>
      <w:spacing w:before="40" w:after="40"/>
      <w:jc w:val="right"/>
    </w:pPr>
    <w:rPr>
      <w:rFonts w:ascii="Arial Narrow" w:eastAsia="SimSun" w:hAnsi="Arial Narrow"/>
      <w:color w:val="auto"/>
      <w:szCs w:val="20"/>
      <w:lang w:eastAsia="en-AU"/>
    </w:rPr>
  </w:style>
  <w:style w:type="paragraph" w:customStyle="1" w:styleId="Table2-Right">
    <w:name w:val="Table 2 - Right"/>
    <w:basedOn w:val="Table3-Right"/>
    <w:autoRedefine/>
    <w:qFormat/>
    <w:rsid w:val="00627578"/>
    <w:rPr>
      <w:b/>
      <w:sz w:val="22"/>
    </w:rPr>
  </w:style>
  <w:style w:type="character" w:customStyle="1" w:styleId="StyleStrong14ptNotBoldDarkTealSmallcaps">
    <w:name w:val="Style Strong + 14 pt Not Bold Dark Teal Small caps"/>
    <w:rsid w:val="002C1EA8"/>
    <w:rPr>
      <w:rFonts w:ascii="Franklin Gothic Book" w:hAnsi="Franklin Gothic Book"/>
      <w:b/>
      <w:bCs/>
      <w:smallCaps/>
      <w:color w:val="003366"/>
      <w:sz w:val="28"/>
    </w:rPr>
  </w:style>
  <w:style w:type="paragraph" w:customStyle="1" w:styleId="50StrategyRecommendations">
    <w:name w:val="5.0 Strategy Recommendations"/>
    <w:basedOn w:val="Normal"/>
    <w:rsid w:val="00302248"/>
    <w:pPr>
      <w:suppressAutoHyphens w:val="0"/>
      <w:spacing w:line="250" w:lineRule="atLeast"/>
      <w:jc w:val="left"/>
    </w:pPr>
    <w:rPr>
      <w:rFonts w:ascii="Times New Roman" w:eastAsia="Times New Roman" w:hAnsi="Times New Roman"/>
      <w:color w:val="auto"/>
      <w:sz w:val="24"/>
      <w:szCs w:val="20"/>
      <w:lang w:eastAsia="en-AU"/>
    </w:rPr>
  </w:style>
  <w:style w:type="paragraph" w:customStyle="1" w:styleId="BulletPoint2">
    <w:name w:val="Bullet Point 2"/>
    <w:basedOn w:val="Normal"/>
    <w:qFormat/>
    <w:rsid w:val="00C2130F"/>
    <w:pPr>
      <w:numPr>
        <w:numId w:val="7"/>
      </w:numPr>
      <w:suppressAutoHyphens w:val="0"/>
      <w:spacing w:before="120"/>
      <w:ind w:left="709" w:hanging="283"/>
    </w:pPr>
    <w:rPr>
      <w:rFonts w:ascii="Palatino Linotype" w:eastAsia="Times New Roman" w:hAnsi="Palatino Linotype"/>
      <w:color w:val="auto"/>
      <w:sz w:val="22"/>
      <w:szCs w:val="22"/>
      <w:lang w:eastAsia="en-US"/>
    </w:rPr>
  </w:style>
  <w:style w:type="paragraph" w:customStyle="1" w:styleId="bullet11">
    <w:name w:val="bullet1"/>
    <w:basedOn w:val="Normal"/>
    <w:rsid w:val="00390FE0"/>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C97243"/>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577335"/>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577335"/>
    <w:rPr>
      <w:rFonts w:ascii="Franklin Gothic Book" w:hAnsi="Franklin Gothic Book"/>
      <w:b/>
      <w:bCs/>
      <w:smallCaps/>
      <w:color w:val="003366"/>
      <w:sz w:val="28"/>
    </w:rPr>
  </w:style>
  <w:style w:type="character" w:customStyle="1" w:styleId="StyleStrongNotBoldDarkTealSmallcaps">
    <w:name w:val="Style Strong + Not Bold Dark Teal Small caps"/>
    <w:rsid w:val="00B6794B"/>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B6794B"/>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E164DA"/>
    <w:pPr>
      <w:tabs>
        <w:tab w:val="left" w:pos="0"/>
      </w:tabs>
      <w:spacing w:before="100" w:after="100"/>
      <w:jc w:val="left"/>
    </w:pPr>
    <w:rPr>
      <w:rFonts w:ascii="Calibri Light" w:hAnsi="Calibri Light"/>
      <w:b/>
      <w:color w:val="auto"/>
      <w:w w:val="120"/>
      <w:sz w:val="16"/>
      <w:szCs w:val="16"/>
    </w:rPr>
  </w:style>
  <w:style w:type="paragraph" w:customStyle="1" w:styleId="Source">
    <w:name w:val="Source"/>
    <w:basedOn w:val="Normal"/>
    <w:autoRedefine/>
    <w:qFormat/>
    <w:rsid w:val="0097635E"/>
    <w:pPr>
      <w:spacing w:before="100"/>
    </w:pPr>
    <w:rPr>
      <w:rFonts w:ascii="Arial Narrow" w:hAnsi="Arial Narrow"/>
      <w:i/>
      <w:sz w:val="16"/>
    </w:rPr>
  </w:style>
  <w:style w:type="paragraph" w:customStyle="1" w:styleId="TableText-LeftBullet">
    <w:name w:val="Table Text - Left (Bullet)"/>
    <w:basedOn w:val="TableText-Left"/>
    <w:autoRedefine/>
    <w:qFormat/>
    <w:rsid w:val="00795C4A"/>
    <w:pPr>
      <w:numPr>
        <w:numId w:val="8"/>
      </w:numPr>
      <w:tabs>
        <w:tab w:val="left" w:pos="284"/>
      </w:tabs>
      <w:ind w:left="284" w:hanging="284"/>
    </w:pPr>
  </w:style>
  <w:style w:type="paragraph" w:customStyle="1" w:styleId="Table1-Center">
    <w:name w:val="Table 1 - Center"/>
    <w:basedOn w:val="Normal"/>
    <w:autoRedefine/>
    <w:qFormat/>
    <w:rsid w:val="006E395C"/>
    <w:pPr>
      <w:suppressAutoHyphens w:val="0"/>
      <w:spacing w:before="40" w:after="40"/>
      <w:jc w:val="center"/>
    </w:pPr>
    <w:rPr>
      <w:rFonts w:ascii="Arial Narrow" w:eastAsia="SimSun" w:hAnsi="Arial Narrow"/>
      <w:b/>
      <w:color w:val="FFFFFF"/>
      <w:sz w:val="22"/>
      <w:szCs w:val="20"/>
      <w:lang w:eastAsia="en-AU"/>
    </w:rPr>
  </w:style>
  <w:style w:type="character" w:styleId="FollowedHyperlink">
    <w:name w:val="FollowedHyperlink"/>
    <w:uiPriority w:val="99"/>
    <w:semiHidden/>
    <w:unhideWhenUsed/>
    <w:rsid w:val="00B1340A"/>
    <w:rPr>
      <w:color w:val="800080"/>
      <w:u w:val="single"/>
    </w:rPr>
  </w:style>
  <w:style w:type="paragraph" w:customStyle="1" w:styleId="Notes-Heading075Left">
    <w:name w:val="Notes - Heading (0.75 Left)"/>
    <w:basedOn w:val="Notes-Heading"/>
    <w:autoRedefine/>
    <w:qFormat/>
    <w:rsid w:val="00C26FC8"/>
    <w:pPr>
      <w:ind w:left="425"/>
    </w:pPr>
  </w:style>
  <w:style w:type="paragraph" w:customStyle="1" w:styleId="Cover3">
    <w:name w:val="Cover 3"/>
    <w:basedOn w:val="Heading3"/>
    <w:autoRedefine/>
    <w:qFormat/>
    <w:rsid w:val="00982A21"/>
    <w:pPr>
      <w:jc w:val="right"/>
    </w:pPr>
    <w:rPr>
      <w:b/>
      <w:sz w:val="20"/>
    </w:rPr>
  </w:style>
  <w:style w:type="paragraph" w:customStyle="1" w:styleId="Cover2">
    <w:name w:val="Cover 2"/>
    <w:basedOn w:val="Normal"/>
    <w:qFormat/>
    <w:rsid w:val="00997AAF"/>
    <w:pPr>
      <w:jc w:val="left"/>
    </w:pPr>
    <w:rPr>
      <w:sz w:val="28"/>
    </w:rPr>
  </w:style>
  <w:style w:type="paragraph" w:customStyle="1" w:styleId="Coding">
    <w:name w:val="Coding"/>
    <w:basedOn w:val="Normal"/>
    <w:qFormat/>
    <w:rsid w:val="00850EB6"/>
    <w:pPr>
      <w:jc w:val="left"/>
    </w:pPr>
  </w:style>
  <w:style w:type="paragraph" w:customStyle="1" w:styleId="Cover4">
    <w:name w:val="Cover 4"/>
    <w:basedOn w:val="Normal"/>
    <w:autoRedefine/>
    <w:qFormat/>
    <w:rsid w:val="003042FB"/>
    <w:pPr>
      <w:spacing w:before="40" w:after="40"/>
    </w:pPr>
  </w:style>
  <w:style w:type="paragraph" w:customStyle="1" w:styleId="Cover4Bold">
    <w:name w:val="Cover 4 (Bold)"/>
    <w:basedOn w:val="Normal"/>
    <w:autoRedefine/>
    <w:qFormat/>
    <w:rsid w:val="003042FB"/>
    <w:pPr>
      <w:spacing w:before="40" w:after="40"/>
    </w:pPr>
    <w:rPr>
      <w:b/>
    </w:rPr>
  </w:style>
  <w:style w:type="character" w:customStyle="1" w:styleId="DocumentMapChar">
    <w:name w:val="Document Map Char"/>
    <w:link w:val="DocumentMap"/>
    <w:semiHidden/>
    <w:rsid w:val="00526AC0"/>
    <w:rPr>
      <w:rFonts w:ascii="Tahoma" w:eastAsia="MS Mincho" w:hAnsi="Tahoma" w:cs="Tahoma"/>
      <w:color w:val="000000"/>
      <w:shd w:val="clear" w:color="auto" w:fill="000080"/>
      <w:lang w:val="en-NZ" w:eastAsia="ar-SA"/>
    </w:rPr>
  </w:style>
  <w:style w:type="paragraph" w:customStyle="1" w:styleId="Symbol2ptBefore2ptAfter">
    <w:name w:val="Symbol (2pt Before + 2pt After)"/>
    <w:basedOn w:val="Normal"/>
    <w:autoRedefine/>
    <w:qFormat/>
    <w:rsid w:val="00CC61F9"/>
    <w:pPr>
      <w:suppressAutoHyphens w:val="0"/>
      <w:spacing w:before="40" w:after="40"/>
      <w:jc w:val="left"/>
    </w:pPr>
    <w:rPr>
      <w:rFonts w:ascii="Wingdings" w:eastAsia="SimSun" w:hAnsi="Wingdings"/>
      <w:color w:val="auto"/>
      <w:sz w:val="22"/>
      <w:szCs w:val="22"/>
      <w:lang w:eastAsia="en-AU"/>
    </w:rPr>
  </w:style>
  <w:style w:type="paragraph" w:customStyle="1" w:styleId="Normal2ptBefore2ptAfter">
    <w:name w:val="Normal (2pt Before + 2pt After)"/>
    <w:basedOn w:val="Normal"/>
    <w:autoRedefine/>
    <w:qFormat/>
    <w:rsid w:val="00CC61F9"/>
    <w:pPr>
      <w:suppressAutoHyphens w:val="0"/>
      <w:spacing w:before="40" w:after="40"/>
      <w:jc w:val="left"/>
    </w:pPr>
    <w:rPr>
      <w:rFonts w:eastAsia="SimSun"/>
      <w:color w:val="auto"/>
      <w:szCs w:val="22"/>
      <w:lang w:eastAsia="en-AU"/>
    </w:rPr>
  </w:style>
  <w:style w:type="paragraph" w:customStyle="1" w:styleId="NormalRed">
    <w:name w:val="Normal (Red)"/>
    <w:basedOn w:val="Normal"/>
    <w:link w:val="NormalRedChar"/>
    <w:autoRedefine/>
    <w:qFormat/>
    <w:rsid w:val="0044064D"/>
    <w:pPr>
      <w:suppressAutoHyphens w:val="0"/>
      <w:jc w:val="left"/>
    </w:pPr>
    <w:rPr>
      <w:rFonts w:eastAsia="SimSun"/>
      <w:b/>
      <w:color w:val="auto"/>
      <w:szCs w:val="16"/>
      <w:lang w:eastAsia="x-none"/>
    </w:rPr>
  </w:style>
  <w:style w:type="character" w:customStyle="1" w:styleId="NormalRedChar">
    <w:name w:val="Normal (Red) Char"/>
    <w:link w:val="NormalRed"/>
    <w:locked/>
    <w:rsid w:val="0044064D"/>
    <w:rPr>
      <w:rFonts w:ascii="Calibri" w:eastAsia="SimSun" w:hAnsi="Calibri"/>
      <w:b/>
      <w:szCs w:val="16"/>
      <w:lang w:eastAsia="x-none"/>
    </w:rPr>
  </w:style>
  <w:style w:type="paragraph" w:styleId="HTMLPreformatted">
    <w:name w:val="HTML Preformatted"/>
    <w:basedOn w:val="Normal"/>
    <w:link w:val="HTMLPreformattedChar"/>
    <w:uiPriority w:val="99"/>
    <w:semiHidden/>
    <w:unhideWhenUsed/>
    <w:rsid w:val="00C6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eastAsia="en-AU"/>
    </w:rPr>
  </w:style>
  <w:style w:type="character" w:customStyle="1" w:styleId="HTMLPreformattedChar">
    <w:name w:val="HTML Preformatted Char"/>
    <w:link w:val="HTMLPreformatted"/>
    <w:uiPriority w:val="99"/>
    <w:semiHidden/>
    <w:rsid w:val="00C64895"/>
    <w:rPr>
      <w:rFonts w:ascii="Courier New" w:hAnsi="Courier New" w:cs="Courier New"/>
    </w:rPr>
  </w:style>
  <w:style w:type="paragraph" w:customStyle="1" w:styleId="ui-helper-hidden">
    <w:name w:val="ui-helper-hidden"/>
    <w:basedOn w:val="Normal"/>
    <w:rsid w:val="00C64895"/>
    <w:pPr>
      <w:suppressAutoHyphens w:val="0"/>
      <w:jc w:val="left"/>
    </w:pPr>
    <w:rPr>
      <w:rFonts w:eastAsia="Times New Roman" w:cs="Arial"/>
      <w:vanish/>
      <w:color w:val="434343"/>
      <w:sz w:val="18"/>
      <w:szCs w:val="18"/>
      <w:lang w:eastAsia="en-AU"/>
    </w:rPr>
  </w:style>
  <w:style w:type="paragraph" w:customStyle="1" w:styleId="ui-helper-reset">
    <w:name w:val="ui-helper-reset"/>
    <w:basedOn w:val="Normal"/>
    <w:rsid w:val="00C64895"/>
    <w:pPr>
      <w:suppressAutoHyphens w:val="0"/>
      <w:jc w:val="left"/>
    </w:pPr>
    <w:rPr>
      <w:rFonts w:eastAsia="Times New Roman" w:cs="Arial"/>
      <w:color w:val="434343"/>
      <w:sz w:val="24"/>
      <w:lang w:eastAsia="en-AU"/>
    </w:rPr>
  </w:style>
  <w:style w:type="paragraph" w:customStyle="1" w:styleId="ui-helper-zfix">
    <w:name w:val="ui-helper-zfix"/>
    <w:basedOn w:val="Normal"/>
    <w:rsid w:val="00C64895"/>
    <w:pPr>
      <w:suppressAutoHyphens w:val="0"/>
      <w:jc w:val="left"/>
    </w:pPr>
    <w:rPr>
      <w:rFonts w:eastAsia="Times New Roman" w:cs="Arial"/>
      <w:color w:val="434343"/>
      <w:sz w:val="18"/>
      <w:szCs w:val="18"/>
      <w:lang w:eastAsia="en-AU"/>
    </w:rPr>
  </w:style>
  <w:style w:type="paragraph" w:customStyle="1" w:styleId="ui-icon">
    <w:name w:val="ui-icon"/>
    <w:basedOn w:val="Normal"/>
    <w:rsid w:val="00C64895"/>
    <w:pPr>
      <w:suppressAutoHyphens w:val="0"/>
      <w:ind w:firstLine="7343"/>
      <w:jc w:val="left"/>
    </w:pPr>
    <w:rPr>
      <w:rFonts w:eastAsia="Times New Roman" w:cs="Arial"/>
      <w:color w:val="434343"/>
      <w:sz w:val="18"/>
      <w:szCs w:val="18"/>
      <w:lang w:eastAsia="en-AU"/>
    </w:rPr>
  </w:style>
  <w:style w:type="paragraph" w:customStyle="1" w:styleId="ui-widget-overlay">
    <w:name w:val="ui-widget-overlay"/>
    <w:basedOn w:val="Normal"/>
    <w:rsid w:val="00C64895"/>
    <w:pPr>
      <w:shd w:val="clear" w:color="auto" w:fill="000000"/>
      <w:suppressAutoHyphens w:val="0"/>
      <w:jc w:val="left"/>
    </w:pPr>
    <w:rPr>
      <w:rFonts w:eastAsia="Times New Roman" w:cs="Arial"/>
      <w:color w:val="434343"/>
      <w:sz w:val="18"/>
      <w:szCs w:val="18"/>
      <w:lang w:eastAsia="en-AU"/>
    </w:rPr>
  </w:style>
  <w:style w:type="paragraph" w:customStyle="1" w:styleId="ui-state-default">
    <w:name w:val="ui-state-default"/>
    <w:basedOn w:val="Normal"/>
    <w:rsid w:val="00C64895"/>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eastAsia="en-AU"/>
    </w:rPr>
  </w:style>
  <w:style w:type="paragraph" w:customStyle="1" w:styleId="ui-state-hover">
    <w:name w:val="ui-state-hover"/>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focus">
    <w:name w:val="ui-state-focus"/>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active">
    <w:name w:val="ui-state-active"/>
    <w:basedOn w:val="Normal"/>
    <w:rsid w:val="00C64895"/>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eastAsia="en-AU"/>
    </w:rPr>
  </w:style>
  <w:style w:type="paragraph" w:customStyle="1" w:styleId="ui-state-highlight">
    <w:name w:val="ui-state-highlight"/>
    <w:basedOn w:val="Normal"/>
    <w:rsid w:val="00C64895"/>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eastAsia="en-AU"/>
    </w:rPr>
  </w:style>
  <w:style w:type="paragraph" w:customStyle="1" w:styleId="ui-state-error">
    <w:name w:val="ui-state-error"/>
    <w:basedOn w:val="Normal"/>
    <w:rsid w:val="00C64895"/>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eastAsia="en-AU"/>
    </w:rPr>
  </w:style>
  <w:style w:type="paragraph" w:customStyle="1" w:styleId="ui-state-error-text">
    <w:name w:val="ui-state-error-text"/>
    <w:basedOn w:val="Normal"/>
    <w:rsid w:val="00C64895"/>
    <w:pPr>
      <w:suppressAutoHyphens w:val="0"/>
      <w:jc w:val="left"/>
    </w:pPr>
    <w:rPr>
      <w:rFonts w:eastAsia="Times New Roman" w:cs="Arial"/>
      <w:color w:val="CD0A0A"/>
      <w:sz w:val="18"/>
      <w:szCs w:val="18"/>
      <w:lang w:eastAsia="en-AU"/>
    </w:rPr>
  </w:style>
  <w:style w:type="paragraph" w:customStyle="1" w:styleId="ui-priority-primary">
    <w:name w:val="ui-priority-primary"/>
    <w:basedOn w:val="Normal"/>
    <w:rsid w:val="00C64895"/>
    <w:pPr>
      <w:suppressAutoHyphens w:val="0"/>
      <w:jc w:val="left"/>
    </w:pPr>
    <w:rPr>
      <w:rFonts w:eastAsia="Times New Roman" w:cs="Arial"/>
      <w:b/>
      <w:bCs/>
      <w:color w:val="434343"/>
      <w:sz w:val="18"/>
      <w:szCs w:val="18"/>
      <w:lang w:eastAsia="en-AU"/>
    </w:rPr>
  </w:style>
  <w:style w:type="paragraph" w:customStyle="1" w:styleId="ui-priority-secondary">
    <w:name w:val="ui-priority-secondary"/>
    <w:basedOn w:val="Normal"/>
    <w:rsid w:val="00C64895"/>
    <w:pPr>
      <w:suppressAutoHyphens w:val="0"/>
      <w:jc w:val="left"/>
    </w:pPr>
    <w:rPr>
      <w:rFonts w:eastAsia="Times New Roman" w:cs="Arial"/>
      <w:b/>
      <w:bCs/>
      <w:color w:val="434343"/>
      <w:sz w:val="18"/>
      <w:szCs w:val="18"/>
      <w:lang w:eastAsia="en-AU"/>
    </w:rPr>
  </w:style>
  <w:style w:type="paragraph" w:customStyle="1" w:styleId="ui-state-disabled">
    <w:name w:val="ui-state-disabled"/>
    <w:basedOn w:val="Normal"/>
    <w:rsid w:val="00C64895"/>
    <w:pPr>
      <w:suppressAutoHyphens w:val="0"/>
      <w:jc w:val="left"/>
    </w:pPr>
    <w:rPr>
      <w:rFonts w:eastAsia="Times New Roman" w:cs="Arial"/>
      <w:color w:val="434343"/>
      <w:sz w:val="18"/>
      <w:szCs w:val="18"/>
      <w:lang w:eastAsia="en-AU"/>
    </w:rPr>
  </w:style>
  <w:style w:type="paragraph" w:customStyle="1" w:styleId="ui-widget-shadow">
    <w:name w:val="ui-widget-shadow"/>
    <w:basedOn w:val="Normal"/>
    <w:rsid w:val="00C64895"/>
    <w:pPr>
      <w:shd w:val="clear" w:color="auto" w:fill="AAAAAA"/>
      <w:suppressAutoHyphens w:val="0"/>
      <w:ind w:left="-120"/>
      <w:jc w:val="left"/>
    </w:pPr>
    <w:rPr>
      <w:rFonts w:eastAsia="Times New Roman" w:cs="Arial"/>
      <w:color w:val="434343"/>
      <w:sz w:val="18"/>
      <w:szCs w:val="18"/>
      <w:lang w:eastAsia="en-AU"/>
    </w:rPr>
  </w:style>
  <w:style w:type="paragraph" w:customStyle="1" w:styleId="ui-resizable-handle">
    <w:name w:val="ui-resizable-handle"/>
    <w:basedOn w:val="Normal"/>
    <w:rsid w:val="00C64895"/>
    <w:pPr>
      <w:suppressAutoHyphens w:val="0"/>
      <w:jc w:val="left"/>
    </w:pPr>
    <w:rPr>
      <w:rFonts w:eastAsia="Times New Roman" w:cs="Arial"/>
      <w:color w:val="434343"/>
      <w:sz w:val="2"/>
      <w:szCs w:val="2"/>
      <w:lang w:eastAsia="en-AU"/>
    </w:rPr>
  </w:style>
  <w:style w:type="paragraph" w:customStyle="1" w:styleId="ui-resizable-n">
    <w:name w:val="ui-resizable-n"/>
    <w:basedOn w:val="Normal"/>
    <w:rsid w:val="00C64895"/>
    <w:pPr>
      <w:suppressAutoHyphens w:val="0"/>
      <w:jc w:val="left"/>
    </w:pPr>
    <w:rPr>
      <w:rFonts w:eastAsia="Times New Roman" w:cs="Arial"/>
      <w:color w:val="434343"/>
      <w:sz w:val="18"/>
      <w:szCs w:val="18"/>
      <w:lang w:eastAsia="en-AU"/>
    </w:rPr>
  </w:style>
  <w:style w:type="paragraph" w:customStyle="1" w:styleId="ui-resizable-s">
    <w:name w:val="ui-resizable-s"/>
    <w:basedOn w:val="Normal"/>
    <w:rsid w:val="00C64895"/>
    <w:pPr>
      <w:suppressAutoHyphens w:val="0"/>
      <w:jc w:val="left"/>
    </w:pPr>
    <w:rPr>
      <w:rFonts w:eastAsia="Times New Roman" w:cs="Arial"/>
      <w:color w:val="434343"/>
      <w:sz w:val="18"/>
      <w:szCs w:val="18"/>
      <w:lang w:eastAsia="en-AU"/>
    </w:rPr>
  </w:style>
  <w:style w:type="paragraph" w:customStyle="1" w:styleId="ui-resizable-e">
    <w:name w:val="ui-resizable-e"/>
    <w:basedOn w:val="Normal"/>
    <w:rsid w:val="00C64895"/>
    <w:pPr>
      <w:suppressAutoHyphens w:val="0"/>
      <w:jc w:val="left"/>
    </w:pPr>
    <w:rPr>
      <w:rFonts w:eastAsia="Times New Roman" w:cs="Arial"/>
      <w:color w:val="434343"/>
      <w:sz w:val="18"/>
      <w:szCs w:val="18"/>
      <w:lang w:eastAsia="en-AU"/>
    </w:rPr>
  </w:style>
  <w:style w:type="paragraph" w:customStyle="1" w:styleId="ui-resizable-w">
    <w:name w:val="ui-resizable-w"/>
    <w:basedOn w:val="Normal"/>
    <w:rsid w:val="00C64895"/>
    <w:pPr>
      <w:suppressAutoHyphens w:val="0"/>
      <w:jc w:val="left"/>
    </w:pPr>
    <w:rPr>
      <w:rFonts w:eastAsia="Times New Roman" w:cs="Arial"/>
      <w:color w:val="434343"/>
      <w:sz w:val="18"/>
      <w:szCs w:val="18"/>
      <w:lang w:eastAsia="en-AU"/>
    </w:rPr>
  </w:style>
  <w:style w:type="paragraph" w:customStyle="1" w:styleId="ui-resizable-se">
    <w:name w:val="ui-resizable-se"/>
    <w:basedOn w:val="Normal"/>
    <w:rsid w:val="00C64895"/>
    <w:pPr>
      <w:suppressAutoHyphens w:val="0"/>
      <w:jc w:val="left"/>
    </w:pPr>
    <w:rPr>
      <w:rFonts w:eastAsia="Times New Roman" w:cs="Arial"/>
      <w:color w:val="434343"/>
      <w:sz w:val="18"/>
      <w:szCs w:val="18"/>
      <w:lang w:eastAsia="en-AU"/>
    </w:rPr>
  </w:style>
  <w:style w:type="paragraph" w:customStyle="1" w:styleId="ui-resizable-sw">
    <w:name w:val="ui-resizable-sw"/>
    <w:basedOn w:val="Normal"/>
    <w:rsid w:val="00C64895"/>
    <w:pPr>
      <w:suppressAutoHyphens w:val="0"/>
      <w:jc w:val="left"/>
    </w:pPr>
    <w:rPr>
      <w:rFonts w:eastAsia="Times New Roman" w:cs="Arial"/>
      <w:color w:val="434343"/>
      <w:sz w:val="18"/>
      <w:szCs w:val="18"/>
      <w:lang w:eastAsia="en-AU"/>
    </w:rPr>
  </w:style>
  <w:style w:type="paragraph" w:customStyle="1" w:styleId="ui-resizable-nw">
    <w:name w:val="ui-resizable-nw"/>
    <w:basedOn w:val="Normal"/>
    <w:rsid w:val="00C64895"/>
    <w:pPr>
      <w:suppressAutoHyphens w:val="0"/>
      <w:jc w:val="left"/>
    </w:pPr>
    <w:rPr>
      <w:rFonts w:eastAsia="Times New Roman" w:cs="Arial"/>
      <w:color w:val="434343"/>
      <w:sz w:val="18"/>
      <w:szCs w:val="18"/>
      <w:lang w:eastAsia="en-AU"/>
    </w:rPr>
  </w:style>
  <w:style w:type="paragraph" w:customStyle="1" w:styleId="ui-resizable-ne">
    <w:name w:val="ui-resizable-ne"/>
    <w:basedOn w:val="Normal"/>
    <w:rsid w:val="00C64895"/>
    <w:pPr>
      <w:suppressAutoHyphens w:val="0"/>
      <w:jc w:val="left"/>
    </w:pPr>
    <w:rPr>
      <w:rFonts w:eastAsia="Times New Roman" w:cs="Arial"/>
      <w:color w:val="434343"/>
      <w:sz w:val="18"/>
      <w:szCs w:val="18"/>
      <w:lang w:eastAsia="en-AU"/>
    </w:rPr>
  </w:style>
  <w:style w:type="paragraph" w:customStyle="1" w:styleId="ui-selectable-helper">
    <w:name w:val="ui-selectable-helper"/>
    <w:basedOn w:val="Normal"/>
    <w:rsid w:val="00C64895"/>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eastAsia="en-AU"/>
    </w:rPr>
  </w:style>
  <w:style w:type="paragraph" w:customStyle="1" w:styleId="ui-accordion">
    <w:name w:val="ui-accordion"/>
    <w:basedOn w:val="Normal"/>
    <w:rsid w:val="00C64895"/>
    <w:pPr>
      <w:suppressAutoHyphens w:val="0"/>
      <w:jc w:val="left"/>
    </w:pPr>
    <w:rPr>
      <w:rFonts w:eastAsia="Times New Roman" w:cs="Arial"/>
      <w:color w:val="434343"/>
      <w:sz w:val="18"/>
      <w:szCs w:val="18"/>
      <w:lang w:eastAsia="en-AU"/>
    </w:rPr>
  </w:style>
  <w:style w:type="paragraph" w:customStyle="1" w:styleId="ui-menu">
    <w:name w:val="ui-menu"/>
    <w:basedOn w:val="Normal"/>
    <w:rsid w:val="00C64895"/>
    <w:pPr>
      <w:shd w:val="clear" w:color="auto" w:fill="FFFFFF"/>
      <w:suppressAutoHyphens w:val="0"/>
      <w:jc w:val="left"/>
    </w:pPr>
    <w:rPr>
      <w:rFonts w:eastAsia="Times New Roman" w:cs="Arial"/>
      <w:color w:val="434343"/>
      <w:sz w:val="18"/>
      <w:szCs w:val="18"/>
      <w:lang w:eastAsia="en-AU"/>
    </w:rPr>
  </w:style>
  <w:style w:type="paragraph" w:customStyle="1" w:styleId="ui-button">
    <w:name w:val="ui-button"/>
    <w:basedOn w:val="Normal"/>
    <w:rsid w:val="00C64895"/>
    <w:pPr>
      <w:suppressAutoHyphens w:val="0"/>
      <w:ind w:right="24"/>
      <w:jc w:val="center"/>
    </w:pPr>
    <w:rPr>
      <w:rFonts w:eastAsia="Times New Roman" w:cs="Arial"/>
      <w:color w:val="434343"/>
      <w:sz w:val="18"/>
      <w:szCs w:val="18"/>
      <w:lang w:eastAsia="en-AU"/>
    </w:rPr>
  </w:style>
  <w:style w:type="paragraph" w:customStyle="1" w:styleId="ui-button-icon-only">
    <w:name w:val="ui-button-icon-only"/>
    <w:basedOn w:val="Normal"/>
    <w:rsid w:val="00C64895"/>
    <w:pPr>
      <w:suppressAutoHyphens w:val="0"/>
      <w:jc w:val="left"/>
    </w:pPr>
    <w:rPr>
      <w:rFonts w:eastAsia="Times New Roman" w:cs="Arial"/>
      <w:color w:val="434343"/>
      <w:sz w:val="18"/>
      <w:szCs w:val="18"/>
      <w:lang w:eastAsia="en-AU"/>
    </w:rPr>
  </w:style>
  <w:style w:type="paragraph" w:customStyle="1" w:styleId="ui-button-icons-only">
    <w:name w:val="ui-button-icons-only"/>
    <w:basedOn w:val="Normal"/>
    <w:rsid w:val="00C64895"/>
    <w:pPr>
      <w:suppressAutoHyphens w:val="0"/>
      <w:jc w:val="left"/>
    </w:pPr>
    <w:rPr>
      <w:rFonts w:eastAsia="Times New Roman" w:cs="Arial"/>
      <w:color w:val="434343"/>
      <w:sz w:val="18"/>
      <w:szCs w:val="18"/>
      <w:lang w:eastAsia="en-AU"/>
    </w:rPr>
  </w:style>
  <w:style w:type="paragraph" w:customStyle="1" w:styleId="ui-buttonset">
    <w:name w:val="ui-buttonset"/>
    <w:basedOn w:val="Normal"/>
    <w:rsid w:val="00C64895"/>
    <w:pPr>
      <w:suppressAutoHyphens w:val="0"/>
      <w:ind w:right="105"/>
      <w:jc w:val="left"/>
    </w:pPr>
    <w:rPr>
      <w:rFonts w:eastAsia="Times New Roman" w:cs="Arial"/>
      <w:color w:val="434343"/>
      <w:sz w:val="18"/>
      <w:szCs w:val="18"/>
      <w:lang w:eastAsia="en-AU"/>
    </w:rPr>
  </w:style>
  <w:style w:type="paragraph" w:customStyle="1" w:styleId="ui-dialog">
    <w:name w:val="ui-dialog"/>
    <w:basedOn w:val="Normal"/>
    <w:rsid w:val="00C64895"/>
    <w:pPr>
      <w:shd w:val="clear" w:color="auto" w:fill="FFFFFF"/>
      <w:suppressAutoHyphens w:val="0"/>
      <w:jc w:val="left"/>
    </w:pPr>
    <w:rPr>
      <w:rFonts w:eastAsia="Times New Roman" w:cs="Arial"/>
      <w:color w:val="434343"/>
      <w:sz w:val="18"/>
      <w:szCs w:val="18"/>
      <w:lang w:eastAsia="en-AU"/>
    </w:rPr>
  </w:style>
  <w:style w:type="paragraph" w:customStyle="1" w:styleId="ui-slider">
    <w:name w:val="ui-slider"/>
    <w:basedOn w:val="Normal"/>
    <w:rsid w:val="00C64895"/>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eastAsia="en-AU"/>
    </w:rPr>
  </w:style>
  <w:style w:type="paragraph" w:customStyle="1" w:styleId="ui-slider-horizontal">
    <w:name w:val="ui-slider-horizontal"/>
    <w:basedOn w:val="Normal"/>
    <w:rsid w:val="00C64895"/>
    <w:pPr>
      <w:suppressAutoHyphens w:val="0"/>
      <w:jc w:val="left"/>
    </w:pPr>
    <w:rPr>
      <w:rFonts w:eastAsia="Times New Roman" w:cs="Arial"/>
      <w:color w:val="434343"/>
      <w:sz w:val="18"/>
      <w:szCs w:val="18"/>
      <w:lang w:eastAsia="en-AU"/>
    </w:rPr>
  </w:style>
  <w:style w:type="paragraph" w:customStyle="1" w:styleId="ui-slider-vertical">
    <w:name w:val="ui-slider-vertical"/>
    <w:basedOn w:val="Normal"/>
    <w:rsid w:val="00C64895"/>
    <w:pPr>
      <w:suppressAutoHyphens w:val="0"/>
      <w:jc w:val="left"/>
    </w:pPr>
    <w:rPr>
      <w:rFonts w:eastAsia="Times New Roman" w:cs="Arial"/>
      <w:color w:val="434343"/>
      <w:sz w:val="18"/>
      <w:szCs w:val="18"/>
      <w:lang w:eastAsia="en-AU"/>
    </w:rPr>
  </w:style>
  <w:style w:type="paragraph" w:customStyle="1" w:styleId="ui-tabs">
    <w:name w:val="ui-tabs"/>
    <w:basedOn w:val="Normal"/>
    <w:rsid w:val="00C64895"/>
    <w:pPr>
      <w:suppressAutoHyphens w:val="0"/>
      <w:jc w:val="left"/>
    </w:pPr>
    <w:rPr>
      <w:rFonts w:eastAsia="Times New Roman" w:cs="Arial"/>
      <w:color w:val="434343"/>
      <w:sz w:val="18"/>
      <w:szCs w:val="18"/>
      <w:lang w:eastAsia="en-AU"/>
    </w:rPr>
  </w:style>
  <w:style w:type="paragraph" w:customStyle="1" w:styleId="ui-datepicker">
    <w:name w:val="ui-datepicker"/>
    <w:basedOn w:val="Normal"/>
    <w:rsid w:val="00C64895"/>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eastAsia="en-AU"/>
    </w:rPr>
  </w:style>
  <w:style w:type="paragraph" w:customStyle="1" w:styleId="ui-datepicker-row-break">
    <w:name w:val="ui-datepicker-row-break"/>
    <w:basedOn w:val="Normal"/>
    <w:rsid w:val="00C64895"/>
    <w:pPr>
      <w:suppressAutoHyphens w:val="0"/>
      <w:jc w:val="left"/>
    </w:pPr>
    <w:rPr>
      <w:rFonts w:eastAsia="Times New Roman" w:cs="Arial"/>
      <w:color w:val="434343"/>
      <w:sz w:val="2"/>
      <w:szCs w:val="2"/>
      <w:lang w:eastAsia="en-AU"/>
    </w:rPr>
  </w:style>
  <w:style w:type="paragraph" w:customStyle="1" w:styleId="ui-datepicker-rtl">
    <w:name w:val="ui-datepicker-rtl"/>
    <w:basedOn w:val="Normal"/>
    <w:rsid w:val="00C64895"/>
    <w:pPr>
      <w:suppressAutoHyphens w:val="0"/>
      <w:bidi/>
      <w:jc w:val="left"/>
    </w:pPr>
    <w:rPr>
      <w:rFonts w:eastAsia="Times New Roman" w:cs="Arial"/>
      <w:color w:val="434343"/>
      <w:sz w:val="18"/>
      <w:szCs w:val="18"/>
      <w:lang w:eastAsia="en-AU"/>
    </w:rPr>
  </w:style>
  <w:style w:type="paragraph" w:customStyle="1" w:styleId="ui-datepicker-cover">
    <w:name w:val="ui-datepicker-cover"/>
    <w:basedOn w:val="Normal"/>
    <w:rsid w:val="00C64895"/>
    <w:pPr>
      <w:suppressAutoHyphens w:val="0"/>
      <w:jc w:val="left"/>
    </w:pPr>
    <w:rPr>
      <w:rFonts w:eastAsia="Times New Roman" w:cs="Arial"/>
      <w:color w:val="434343"/>
      <w:sz w:val="18"/>
      <w:szCs w:val="18"/>
      <w:lang w:eastAsia="en-AU"/>
    </w:rPr>
  </w:style>
  <w:style w:type="paragraph" w:customStyle="1" w:styleId="ui-progressbar">
    <w:name w:val="ui-progressbar"/>
    <w:basedOn w:val="Normal"/>
    <w:rsid w:val="00C64895"/>
    <w:pPr>
      <w:suppressAutoHyphens w:val="0"/>
      <w:jc w:val="left"/>
    </w:pPr>
    <w:rPr>
      <w:rFonts w:eastAsia="Times New Roman" w:cs="Arial"/>
      <w:color w:val="434343"/>
      <w:sz w:val="18"/>
      <w:szCs w:val="18"/>
      <w:lang w:eastAsia="en-AU"/>
    </w:rPr>
  </w:style>
  <w:style w:type="paragraph" w:customStyle="1" w:styleId="small">
    <w:name w:val="small"/>
    <w:basedOn w:val="Normal"/>
    <w:rsid w:val="00C64895"/>
    <w:pPr>
      <w:suppressAutoHyphens w:val="0"/>
      <w:jc w:val="left"/>
    </w:pPr>
    <w:rPr>
      <w:rFonts w:eastAsia="Times New Roman" w:cs="Arial"/>
      <w:color w:val="434343"/>
      <w:sz w:val="14"/>
      <w:szCs w:val="14"/>
      <w:lang w:eastAsia="en-AU"/>
    </w:rPr>
  </w:style>
  <w:style w:type="paragraph" w:customStyle="1" w:styleId="watermark">
    <w:name w:val="watermark"/>
    <w:basedOn w:val="Normal"/>
    <w:rsid w:val="00C64895"/>
    <w:pPr>
      <w:suppressAutoHyphens w:val="0"/>
      <w:jc w:val="left"/>
    </w:pPr>
    <w:rPr>
      <w:rFonts w:eastAsia="Times New Roman" w:cs="Arial"/>
      <w:i/>
      <w:iCs/>
      <w:color w:val="808080"/>
      <w:sz w:val="18"/>
      <w:szCs w:val="18"/>
      <w:lang w:eastAsia="en-AU"/>
    </w:rPr>
  </w:style>
  <w:style w:type="paragraph" w:customStyle="1" w:styleId="greenrow">
    <w:name w:val="green_row"/>
    <w:basedOn w:val="Normal"/>
    <w:rsid w:val="00C64895"/>
    <w:pPr>
      <w:shd w:val="clear" w:color="auto" w:fill="DAFEDA"/>
      <w:suppressAutoHyphens w:val="0"/>
      <w:jc w:val="left"/>
    </w:pPr>
    <w:rPr>
      <w:rFonts w:eastAsia="Times New Roman" w:cs="Arial"/>
      <w:color w:val="434343"/>
      <w:sz w:val="18"/>
      <w:szCs w:val="18"/>
      <w:lang w:eastAsia="en-AU"/>
    </w:rPr>
  </w:style>
  <w:style w:type="paragraph" w:customStyle="1" w:styleId="bluerow">
    <w:name w:val="blue_row"/>
    <w:basedOn w:val="Normal"/>
    <w:rsid w:val="00C64895"/>
    <w:pPr>
      <w:shd w:val="clear" w:color="auto" w:fill="C3E6FC"/>
      <w:suppressAutoHyphens w:val="0"/>
      <w:jc w:val="left"/>
    </w:pPr>
    <w:rPr>
      <w:rFonts w:eastAsia="Times New Roman" w:cs="Arial"/>
      <w:color w:val="434343"/>
      <w:sz w:val="18"/>
      <w:szCs w:val="18"/>
      <w:lang w:eastAsia="en-AU"/>
    </w:rPr>
  </w:style>
  <w:style w:type="paragraph" w:customStyle="1" w:styleId="redrow">
    <w:name w:val="red_row"/>
    <w:basedOn w:val="Normal"/>
    <w:rsid w:val="00C64895"/>
    <w:pPr>
      <w:shd w:val="clear" w:color="auto" w:fill="FFC0CB"/>
      <w:suppressAutoHyphens w:val="0"/>
      <w:jc w:val="left"/>
    </w:pPr>
    <w:rPr>
      <w:rFonts w:eastAsia="Times New Roman" w:cs="Arial"/>
      <w:color w:val="434343"/>
      <w:sz w:val="18"/>
      <w:szCs w:val="18"/>
      <w:lang w:eastAsia="en-AU"/>
    </w:rPr>
  </w:style>
  <w:style w:type="paragraph" w:customStyle="1" w:styleId="tabctrl-main">
    <w:name w:val="tabctrl-main"/>
    <w:basedOn w:val="Normal"/>
    <w:rsid w:val="00C64895"/>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eastAsia="en-AU"/>
    </w:rPr>
  </w:style>
  <w:style w:type="paragraph" w:customStyle="1" w:styleId="tabctrl-pane">
    <w:name w:val="tabctrl-pane"/>
    <w:basedOn w:val="Normal"/>
    <w:rsid w:val="00C64895"/>
    <w:pPr>
      <w:suppressAutoHyphens w:val="0"/>
      <w:spacing w:before="150" w:after="150"/>
      <w:ind w:left="150" w:right="150"/>
      <w:jc w:val="left"/>
    </w:pPr>
    <w:rPr>
      <w:rFonts w:eastAsia="Times New Roman" w:cs="Arial"/>
      <w:vanish/>
      <w:color w:val="434343"/>
      <w:sz w:val="18"/>
      <w:szCs w:val="18"/>
      <w:lang w:eastAsia="en-AU"/>
    </w:rPr>
  </w:style>
  <w:style w:type="paragraph" w:customStyle="1" w:styleId="List1">
    <w:name w:val="List1"/>
    <w:basedOn w:val="Normal"/>
    <w:rsid w:val="00C64895"/>
    <w:pPr>
      <w:suppressAutoHyphens w:val="0"/>
      <w:jc w:val="left"/>
    </w:pPr>
    <w:rPr>
      <w:rFonts w:eastAsia="Times New Roman" w:cs="Arial"/>
      <w:color w:val="434343"/>
      <w:sz w:val="18"/>
      <w:szCs w:val="18"/>
      <w:lang w:eastAsia="en-AU"/>
    </w:rPr>
  </w:style>
  <w:style w:type="paragraph" w:customStyle="1" w:styleId="listc">
    <w:name w:val="listc"/>
    <w:basedOn w:val="Normal"/>
    <w:rsid w:val="00C64895"/>
    <w:pPr>
      <w:suppressAutoHyphens w:val="0"/>
      <w:jc w:val="left"/>
    </w:pPr>
    <w:rPr>
      <w:rFonts w:eastAsia="Times New Roman" w:cs="Arial"/>
      <w:color w:val="434343"/>
      <w:sz w:val="18"/>
      <w:szCs w:val="18"/>
      <w:lang w:eastAsia="en-AU"/>
    </w:rPr>
  </w:style>
  <w:style w:type="paragraph" w:customStyle="1" w:styleId="listr">
    <w:name w:val="listr"/>
    <w:basedOn w:val="Normal"/>
    <w:rsid w:val="00C64895"/>
    <w:pPr>
      <w:suppressAutoHyphens w:val="0"/>
      <w:jc w:val="left"/>
    </w:pPr>
    <w:rPr>
      <w:rFonts w:eastAsia="Times New Roman" w:cs="Arial"/>
      <w:color w:val="434343"/>
      <w:sz w:val="18"/>
      <w:szCs w:val="18"/>
      <w:lang w:eastAsia="en-AU"/>
    </w:rPr>
  </w:style>
  <w:style w:type="paragraph" w:customStyle="1" w:styleId="ipstable">
    <w:name w:val="ipstable"/>
    <w:basedOn w:val="Normal"/>
    <w:rsid w:val="00C64895"/>
    <w:pPr>
      <w:suppressAutoHyphens w:val="0"/>
      <w:jc w:val="left"/>
    </w:pPr>
    <w:rPr>
      <w:rFonts w:eastAsia="Times New Roman" w:cs="Arial"/>
      <w:color w:val="434343"/>
      <w:sz w:val="18"/>
      <w:szCs w:val="18"/>
      <w:lang w:eastAsia="en-AU"/>
    </w:rPr>
  </w:style>
  <w:style w:type="paragraph" w:customStyle="1" w:styleId="ipstablec">
    <w:name w:val="ipstablec"/>
    <w:basedOn w:val="Normal"/>
    <w:rsid w:val="00C64895"/>
    <w:pPr>
      <w:suppressAutoHyphens w:val="0"/>
      <w:jc w:val="left"/>
    </w:pPr>
    <w:rPr>
      <w:rFonts w:eastAsia="Times New Roman" w:cs="Arial"/>
      <w:color w:val="434343"/>
      <w:sz w:val="18"/>
      <w:szCs w:val="18"/>
      <w:lang w:eastAsia="en-AU"/>
    </w:rPr>
  </w:style>
  <w:style w:type="paragraph" w:customStyle="1" w:styleId="ipstabler">
    <w:name w:val="ipstabler"/>
    <w:basedOn w:val="Normal"/>
    <w:rsid w:val="00C64895"/>
    <w:pPr>
      <w:suppressAutoHyphens w:val="0"/>
      <w:jc w:val="left"/>
    </w:pPr>
    <w:rPr>
      <w:rFonts w:eastAsia="Times New Roman" w:cs="Arial"/>
      <w:color w:val="434343"/>
      <w:sz w:val="18"/>
      <w:szCs w:val="18"/>
      <w:lang w:eastAsia="en-AU"/>
    </w:rPr>
  </w:style>
  <w:style w:type="paragraph" w:customStyle="1" w:styleId="ui-widget">
    <w:name w:val="ui-widget"/>
    <w:basedOn w:val="Normal"/>
    <w:rsid w:val="00C64895"/>
    <w:pPr>
      <w:suppressAutoHyphens w:val="0"/>
      <w:jc w:val="left"/>
    </w:pPr>
    <w:rPr>
      <w:rFonts w:eastAsia="Times New Roman" w:cs="Arial"/>
      <w:color w:val="434343"/>
      <w:sz w:val="18"/>
      <w:szCs w:val="18"/>
      <w:lang w:eastAsia="en-AU"/>
    </w:rPr>
  </w:style>
  <w:style w:type="paragraph" w:customStyle="1" w:styleId="ui-accordion-header">
    <w:name w:val="ui-accordion-header"/>
    <w:basedOn w:val="Normal"/>
    <w:rsid w:val="00C64895"/>
    <w:pPr>
      <w:suppressAutoHyphens w:val="0"/>
      <w:jc w:val="left"/>
    </w:pPr>
    <w:rPr>
      <w:rFonts w:eastAsia="Times New Roman" w:cs="Arial"/>
      <w:color w:val="434343"/>
      <w:sz w:val="18"/>
      <w:szCs w:val="18"/>
      <w:lang w:eastAsia="en-AU"/>
    </w:rPr>
  </w:style>
  <w:style w:type="paragraph" w:customStyle="1" w:styleId="ui-accordion-li-fix">
    <w:name w:val="ui-accordion-li-fix"/>
    <w:basedOn w:val="Normal"/>
    <w:rsid w:val="00C64895"/>
    <w:pPr>
      <w:suppressAutoHyphens w:val="0"/>
      <w:jc w:val="left"/>
    </w:pPr>
    <w:rPr>
      <w:rFonts w:eastAsia="Times New Roman" w:cs="Arial"/>
      <w:color w:val="434343"/>
      <w:sz w:val="18"/>
      <w:szCs w:val="18"/>
      <w:lang w:eastAsia="en-AU"/>
    </w:rPr>
  </w:style>
  <w:style w:type="paragraph" w:customStyle="1" w:styleId="ui-accordion-content">
    <w:name w:val="ui-accordion-content"/>
    <w:basedOn w:val="Normal"/>
    <w:rsid w:val="00C64895"/>
    <w:pPr>
      <w:suppressAutoHyphens w:val="0"/>
      <w:jc w:val="left"/>
    </w:pPr>
    <w:rPr>
      <w:rFonts w:eastAsia="Times New Roman" w:cs="Arial"/>
      <w:color w:val="434343"/>
      <w:sz w:val="18"/>
      <w:szCs w:val="18"/>
      <w:lang w:eastAsia="en-AU"/>
    </w:rPr>
  </w:style>
  <w:style w:type="paragraph" w:customStyle="1" w:styleId="ui-accordion-content-active">
    <w:name w:val="ui-accordion-content-active"/>
    <w:basedOn w:val="Normal"/>
    <w:rsid w:val="00C64895"/>
    <w:pPr>
      <w:suppressAutoHyphens w:val="0"/>
      <w:jc w:val="left"/>
    </w:pPr>
    <w:rPr>
      <w:rFonts w:eastAsia="Times New Roman" w:cs="Arial"/>
      <w:color w:val="434343"/>
      <w:sz w:val="18"/>
      <w:szCs w:val="18"/>
      <w:lang w:eastAsia="en-AU"/>
    </w:rPr>
  </w:style>
  <w:style w:type="paragraph" w:customStyle="1" w:styleId="ui-menu-item">
    <w:name w:val="ui-menu-item"/>
    <w:basedOn w:val="Normal"/>
    <w:rsid w:val="00C64895"/>
    <w:pPr>
      <w:suppressAutoHyphens w:val="0"/>
      <w:jc w:val="left"/>
    </w:pPr>
    <w:rPr>
      <w:rFonts w:eastAsia="Times New Roman" w:cs="Arial"/>
      <w:color w:val="434343"/>
      <w:sz w:val="18"/>
      <w:szCs w:val="18"/>
      <w:lang w:eastAsia="en-AU"/>
    </w:rPr>
  </w:style>
  <w:style w:type="paragraph" w:customStyle="1" w:styleId="ui-button-text">
    <w:name w:val="ui-button-text"/>
    <w:basedOn w:val="Normal"/>
    <w:rsid w:val="00C64895"/>
    <w:pPr>
      <w:suppressAutoHyphens w:val="0"/>
      <w:jc w:val="left"/>
    </w:pPr>
    <w:rPr>
      <w:rFonts w:eastAsia="Times New Roman" w:cs="Arial"/>
      <w:color w:val="434343"/>
      <w:sz w:val="18"/>
      <w:szCs w:val="18"/>
      <w:lang w:eastAsia="en-AU"/>
    </w:rPr>
  </w:style>
  <w:style w:type="paragraph" w:customStyle="1" w:styleId="ui-dialog-titlebar">
    <w:name w:val="ui-dialog-titlebar"/>
    <w:basedOn w:val="Normal"/>
    <w:rsid w:val="00C64895"/>
    <w:pPr>
      <w:suppressAutoHyphens w:val="0"/>
      <w:jc w:val="left"/>
    </w:pPr>
    <w:rPr>
      <w:rFonts w:eastAsia="Times New Roman" w:cs="Arial"/>
      <w:color w:val="434343"/>
      <w:sz w:val="18"/>
      <w:szCs w:val="18"/>
      <w:lang w:eastAsia="en-AU"/>
    </w:rPr>
  </w:style>
  <w:style w:type="paragraph" w:customStyle="1" w:styleId="ui-dialog-title">
    <w:name w:val="ui-dialog-title"/>
    <w:basedOn w:val="Normal"/>
    <w:rsid w:val="00C64895"/>
    <w:pPr>
      <w:suppressAutoHyphens w:val="0"/>
      <w:jc w:val="left"/>
    </w:pPr>
    <w:rPr>
      <w:rFonts w:eastAsia="Times New Roman" w:cs="Arial"/>
      <w:color w:val="434343"/>
      <w:sz w:val="18"/>
      <w:szCs w:val="18"/>
      <w:lang w:eastAsia="en-AU"/>
    </w:rPr>
  </w:style>
  <w:style w:type="paragraph" w:customStyle="1" w:styleId="ui-dialog-titlebar-close">
    <w:name w:val="ui-dialog-titlebar-close"/>
    <w:basedOn w:val="Normal"/>
    <w:rsid w:val="00C64895"/>
    <w:pPr>
      <w:suppressAutoHyphens w:val="0"/>
      <w:jc w:val="left"/>
    </w:pPr>
    <w:rPr>
      <w:rFonts w:eastAsia="Times New Roman" w:cs="Arial"/>
      <w:color w:val="434343"/>
      <w:sz w:val="18"/>
      <w:szCs w:val="18"/>
      <w:lang w:eastAsia="en-AU"/>
    </w:rPr>
  </w:style>
  <w:style w:type="paragraph" w:customStyle="1" w:styleId="ui-dialog-content">
    <w:name w:val="ui-dialog-content"/>
    <w:basedOn w:val="Normal"/>
    <w:rsid w:val="00C64895"/>
    <w:pPr>
      <w:suppressAutoHyphens w:val="0"/>
      <w:jc w:val="left"/>
    </w:pPr>
    <w:rPr>
      <w:rFonts w:eastAsia="Times New Roman" w:cs="Arial"/>
      <w:color w:val="434343"/>
      <w:sz w:val="18"/>
      <w:szCs w:val="18"/>
      <w:lang w:eastAsia="en-AU"/>
    </w:rPr>
  </w:style>
  <w:style w:type="paragraph" w:customStyle="1" w:styleId="ui-dialog-buttonpane">
    <w:name w:val="ui-dialog-buttonpane"/>
    <w:basedOn w:val="Normal"/>
    <w:rsid w:val="00C64895"/>
    <w:pPr>
      <w:suppressAutoHyphens w:val="0"/>
      <w:jc w:val="left"/>
    </w:pPr>
    <w:rPr>
      <w:rFonts w:eastAsia="Times New Roman" w:cs="Arial"/>
      <w:color w:val="434343"/>
      <w:sz w:val="18"/>
      <w:szCs w:val="18"/>
      <w:lang w:eastAsia="en-AU"/>
    </w:rPr>
  </w:style>
  <w:style w:type="paragraph" w:customStyle="1" w:styleId="ui-slider-handle">
    <w:name w:val="ui-slider-handle"/>
    <w:basedOn w:val="Normal"/>
    <w:rsid w:val="00C64895"/>
    <w:pPr>
      <w:suppressAutoHyphens w:val="0"/>
      <w:jc w:val="left"/>
    </w:pPr>
    <w:rPr>
      <w:rFonts w:eastAsia="Times New Roman" w:cs="Arial"/>
      <w:color w:val="434343"/>
      <w:sz w:val="18"/>
      <w:szCs w:val="18"/>
      <w:lang w:eastAsia="en-AU"/>
    </w:rPr>
  </w:style>
  <w:style w:type="paragraph" w:customStyle="1" w:styleId="ui-slider-range">
    <w:name w:val="ui-slider-range"/>
    <w:basedOn w:val="Normal"/>
    <w:rsid w:val="00C64895"/>
    <w:pPr>
      <w:suppressAutoHyphens w:val="0"/>
      <w:jc w:val="left"/>
    </w:pPr>
    <w:rPr>
      <w:rFonts w:eastAsia="Times New Roman" w:cs="Arial"/>
      <w:color w:val="434343"/>
      <w:sz w:val="18"/>
      <w:szCs w:val="18"/>
      <w:lang w:eastAsia="en-AU"/>
    </w:rPr>
  </w:style>
  <w:style w:type="paragraph" w:customStyle="1" w:styleId="ui-tabs-nav">
    <w:name w:val="ui-tabs-nav"/>
    <w:basedOn w:val="Normal"/>
    <w:rsid w:val="00C64895"/>
    <w:pPr>
      <w:suppressAutoHyphens w:val="0"/>
      <w:jc w:val="left"/>
    </w:pPr>
    <w:rPr>
      <w:rFonts w:eastAsia="Times New Roman" w:cs="Arial"/>
      <w:color w:val="434343"/>
      <w:sz w:val="18"/>
      <w:szCs w:val="18"/>
      <w:lang w:eastAsia="en-AU"/>
    </w:rPr>
  </w:style>
  <w:style w:type="paragraph" w:customStyle="1" w:styleId="ui-tabs-panel">
    <w:name w:val="ui-tabs-panel"/>
    <w:basedOn w:val="Normal"/>
    <w:rsid w:val="00C64895"/>
    <w:pPr>
      <w:suppressAutoHyphens w:val="0"/>
      <w:jc w:val="left"/>
    </w:pPr>
    <w:rPr>
      <w:rFonts w:eastAsia="Times New Roman" w:cs="Arial"/>
      <w:color w:val="434343"/>
      <w:sz w:val="18"/>
      <w:szCs w:val="18"/>
      <w:lang w:eastAsia="en-AU"/>
    </w:rPr>
  </w:style>
  <w:style w:type="paragraph" w:customStyle="1" w:styleId="ui-datepicker-header">
    <w:name w:val="ui-datepicker-header"/>
    <w:basedOn w:val="Normal"/>
    <w:rsid w:val="00C64895"/>
    <w:pPr>
      <w:suppressAutoHyphens w:val="0"/>
      <w:jc w:val="left"/>
    </w:pPr>
    <w:rPr>
      <w:rFonts w:eastAsia="Times New Roman" w:cs="Arial"/>
      <w:color w:val="434343"/>
      <w:sz w:val="18"/>
      <w:szCs w:val="18"/>
      <w:lang w:eastAsia="en-AU"/>
    </w:rPr>
  </w:style>
  <w:style w:type="paragraph" w:customStyle="1" w:styleId="ui-datepicker-prev">
    <w:name w:val="ui-datepicker-prev"/>
    <w:basedOn w:val="Normal"/>
    <w:rsid w:val="00C64895"/>
    <w:pPr>
      <w:suppressAutoHyphens w:val="0"/>
      <w:jc w:val="left"/>
    </w:pPr>
    <w:rPr>
      <w:rFonts w:eastAsia="Times New Roman" w:cs="Arial"/>
      <w:color w:val="434343"/>
      <w:sz w:val="18"/>
      <w:szCs w:val="18"/>
      <w:lang w:eastAsia="en-AU"/>
    </w:rPr>
  </w:style>
  <w:style w:type="paragraph" w:customStyle="1" w:styleId="ui-datepicker-next">
    <w:name w:val="ui-datepicker-next"/>
    <w:basedOn w:val="Normal"/>
    <w:rsid w:val="00C64895"/>
    <w:pPr>
      <w:suppressAutoHyphens w:val="0"/>
      <w:jc w:val="left"/>
    </w:pPr>
    <w:rPr>
      <w:rFonts w:eastAsia="Times New Roman" w:cs="Arial"/>
      <w:color w:val="434343"/>
      <w:sz w:val="18"/>
      <w:szCs w:val="18"/>
      <w:lang w:eastAsia="en-AU"/>
    </w:rPr>
  </w:style>
  <w:style w:type="paragraph" w:customStyle="1" w:styleId="ui-datepicker-title">
    <w:name w:val="ui-datepicker-title"/>
    <w:basedOn w:val="Normal"/>
    <w:rsid w:val="00C64895"/>
    <w:pPr>
      <w:suppressAutoHyphens w:val="0"/>
      <w:jc w:val="left"/>
    </w:pPr>
    <w:rPr>
      <w:rFonts w:eastAsia="Times New Roman" w:cs="Arial"/>
      <w:color w:val="434343"/>
      <w:sz w:val="18"/>
      <w:szCs w:val="18"/>
      <w:lang w:eastAsia="en-AU"/>
    </w:rPr>
  </w:style>
  <w:style w:type="paragraph" w:customStyle="1" w:styleId="ui-datepicker-buttonpane">
    <w:name w:val="ui-datepicker-buttonpane"/>
    <w:basedOn w:val="Normal"/>
    <w:rsid w:val="00C64895"/>
    <w:pPr>
      <w:suppressAutoHyphens w:val="0"/>
      <w:jc w:val="left"/>
    </w:pPr>
    <w:rPr>
      <w:rFonts w:eastAsia="Times New Roman" w:cs="Arial"/>
      <w:color w:val="434343"/>
      <w:sz w:val="18"/>
      <w:szCs w:val="18"/>
      <w:lang w:eastAsia="en-AU"/>
    </w:rPr>
  </w:style>
  <w:style w:type="paragraph" w:customStyle="1" w:styleId="ui-datepicker-group">
    <w:name w:val="ui-datepicker-group"/>
    <w:basedOn w:val="Normal"/>
    <w:rsid w:val="00C64895"/>
    <w:pPr>
      <w:suppressAutoHyphens w:val="0"/>
      <w:jc w:val="left"/>
    </w:pPr>
    <w:rPr>
      <w:rFonts w:eastAsia="Times New Roman" w:cs="Arial"/>
      <w:color w:val="434343"/>
      <w:sz w:val="18"/>
      <w:szCs w:val="18"/>
      <w:lang w:eastAsia="en-AU"/>
    </w:rPr>
  </w:style>
  <w:style w:type="paragraph" w:customStyle="1" w:styleId="ui-progressbar-value">
    <w:name w:val="ui-progressbar-value"/>
    <w:basedOn w:val="Normal"/>
    <w:rsid w:val="00C64895"/>
    <w:pPr>
      <w:suppressAutoHyphens w:val="0"/>
      <w:jc w:val="left"/>
    </w:pPr>
    <w:rPr>
      <w:rFonts w:eastAsia="Times New Roman" w:cs="Arial"/>
      <w:color w:val="434343"/>
      <w:sz w:val="18"/>
      <w:szCs w:val="18"/>
      <w:lang w:eastAsia="en-AU"/>
    </w:rPr>
  </w:style>
  <w:style w:type="paragraph" w:customStyle="1" w:styleId="Header1">
    <w:name w:val="Header1"/>
    <w:basedOn w:val="Normal"/>
    <w:rsid w:val="00C64895"/>
    <w:pPr>
      <w:suppressAutoHyphens w:val="0"/>
      <w:jc w:val="left"/>
    </w:pPr>
    <w:rPr>
      <w:rFonts w:eastAsia="Times New Roman" w:cs="Arial"/>
      <w:color w:val="434343"/>
      <w:sz w:val="18"/>
      <w:szCs w:val="18"/>
      <w:lang w:eastAsia="en-AU"/>
    </w:rPr>
  </w:style>
  <w:style w:type="paragraph" w:customStyle="1" w:styleId="headersortup">
    <w:name w:val="headersortup"/>
    <w:basedOn w:val="Normal"/>
    <w:rsid w:val="00C64895"/>
    <w:pPr>
      <w:suppressAutoHyphens w:val="0"/>
      <w:jc w:val="left"/>
    </w:pPr>
    <w:rPr>
      <w:rFonts w:eastAsia="Times New Roman" w:cs="Arial"/>
      <w:color w:val="434343"/>
      <w:sz w:val="18"/>
      <w:szCs w:val="18"/>
      <w:lang w:eastAsia="en-AU"/>
    </w:rPr>
  </w:style>
  <w:style w:type="paragraph" w:customStyle="1" w:styleId="headersortdown">
    <w:name w:val="headersortdown"/>
    <w:basedOn w:val="Normal"/>
    <w:rsid w:val="00C64895"/>
    <w:pPr>
      <w:suppressAutoHyphens w:val="0"/>
      <w:jc w:val="left"/>
    </w:pPr>
    <w:rPr>
      <w:rFonts w:eastAsia="Times New Roman" w:cs="Arial"/>
      <w:color w:val="434343"/>
      <w:sz w:val="18"/>
      <w:szCs w:val="18"/>
      <w:lang w:eastAsia="en-AU"/>
    </w:rPr>
  </w:style>
  <w:style w:type="character" w:customStyle="1" w:styleId="plaintext">
    <w:name w:val="plain_text"/>
    <w:rsid w:val="00C64895"/>
    <w:rPr>
      <w:rFonts w:ascii="Arial" w:hAnsi="Arial" w:cs="Arial" w:hint="default"/>
      <w:color w:val="434343"/>
      <w:sz w:val="18"/>
      <w:szCs w:val="18"/>
    </w:rPr>
  </w:style>
  <w:style w:type="character" w:customStyle="1" w:styleId="dropdown">
    <w:name w:val="dropdown"/>
    <w:rsid w:val="00C64895"/>
  </w:style>
  <w:style w:type="character" w:customStyle="1" w:styleId="Title1">
    <w:name w:val="Title1"/>
    <w:rsid w:val="00C64895"/>
    <w:rPr>
      <w:b/>
      <w:bCs/>
      <w:sz w:val="24"/>
      <w:szCs w:val="24"/>
    </w:rPr>
  </w:style>
  <w:style w:type="character" w:customStyle="1" w:styleId="box">
    <w:name w:val="box"/>
    <w:rsid w:val="00C64895"/>
    <w:rPr>
      <w:bdr w:val="single" w:sz="6" w:space="1" w:color="808080" w:frame="1"/>
      <w:shd w:val="clear" w:color="auto" w:fill="FFFFFF"/>
    </w:rPr>
  </w:style>
  <w:style w:type="character" w:customStyle="1" w:styleId="field-info">
    <w:name w:val="field-info"/>
    <w:rsid w:val="00C64895"/>
    <w:rPr>
      <w:vanish w:val="0"/>
      <w:webHidden w:val="0"/>
      <w:specVanish w:val="0"/>
    </w:rPr>
  </w:style>
  <w:style w:type="character" w:customStyle="1" w:styleId="icon">
    <w:name w:val="icon"/>
    <w:rsid w:val="00C64895"/>
  </w:style>
  <w:style w:type="character" w:customStyle="1" w:styleId="icontext">
    <w:name w:val="icon_text"/>
    <w:rsid w:val="00C64895"/>
  </w:style>
  <w:style w:type="character" w:customStyle="1" w:styleId="icon16">
    <w:name w:val="icon16"/>
    <w:rsid w:val="00C64895"/>
  </w:style>
  <w:style w:type="character" w:customStyle="1" w:styleId="icon16text">
    <w:name w:val="icon16_text"/>
    <w:rsid w:val="00C64895"/>
  </w:style>
  <w:style w:type="character" w:customStyle="1" w:styleId="icon32">
    <w:name w:val="icon32"/>
    <w:rsid w:val="00C64895"/>
  </w:style>
  <w:style w:type="character" w:customStyle="1" w:styleId="iconstatus">
    <w:name w:val="iconstatus"/>
    <w:rsid w:val="00C64895"/>
  </w:style>
  <w:style w:type="character" w:customStyle="1" w:styleId="iconstatus-red">
    <w:name w:val="iconstatus-red"/>
    <w:rsid w:val="00C64895"/>
  </w:style>
  <w:style w:type="character" w:customStyle="1" w:styleId="iconstatus-yellow">
    <w:name w:val="iconstatus-yellow"/>
    <w:rsid w:val="00C64895"/>
  </w:style>
  <w:style w:type="character" w:customStyle="1" w:styleId="iconstatus-green">
    <w:name w:val="iconstatus-green"/>
    <w:rsid w:val="00C64895"/>
  </w:style>
  <w:style w:type="character" w:customStyle="1" w:styleId="iconstatus16-red">
    <w:name w:val="iconstatus16-red"/>
    <w:rsid w:val="00C64895"/>
  </w:style>
  <w:style w:type="character" w:customStyle="1" w:styleId="iconstatus16-yellow">
    <w:name w:val="iconstatus16-yellow"/>
    <w:rsid w:val="00C64895"/>
  </w:style>
  <w:style w:type="character" w:customStyle="1" w:styleId="iconstatus16-green">
    <w:name w:val="iconstatus16-green"/>
    <w:rsid w:val="00C64895"/>
  </w:style>
  <w:style w:type="character" w:customStyle="1" w:styleId="iconstatus32-red">
    <w:name w:val="iconstatus32-red"/>
    <w:rsid w:val="00C64895"/>
  </w:style>
  <w:style w:type="character" w:customStyle="1" w:styleId="iconstatus32-yellow">
    <w:name w:val="iconstatus32-yellow"/>
    <w:rsid w:val="00C64895"/>
  </w:style>
  <w:style w:type="character" w:customStyle="1" w:styleId="iconstatus32-green">
    <w:name w:val="iconstatus32-green"/>
    <w:rsid w:val="00C64895"/>
  </w:style>
  <w:style w:type="character" w:customStyle="1" w:styleId="entityicon">
    <w:name w:val="entity_icon"/>
    <w:rsid w:val="00C64895"/>
  </w:style>
  <w:style w:type="character" w:customStyle="1" w:styleId="icon-up">
    <w:name w:val="icon-up"/>
    <w:rsid w:val="00C64895"/>
  </w:style>
  <w:style w:type="character" w:customStyle="1" w:styleId="icon-down">
    <w:name w:val="icon-down"/>
    <w:rsid w:val="00C64895"/>
  </w:style>
  <w:style w:type="character" w:customStyle="1" w:styleId="icon-blank">
    <w:name w:val="icon-blank"/>
    <w:rsid w:val="00C64895"/>
  </w:style>
  <w:style w:type="character" w:customStyle="1" w:styleId="socialnetwork-icon">
    <w:name w:val="socialnetwork-icon"/>
    <w:rsid w:val="00C64895"/>
  </w:style>
  <w:style w:type="character" w:customStyle="1" w:styleId="multitickall">
    <w:name w:val="multi_tickall"/>
    <w:rsid w:val="00C64895"/>
  </w:style>
  <w:style w:type="character" w:customStyle="1" w:styleId="multiuntickall">
    <w:name w:val="multi_untickall"/>
    <w:rsid w:val="00C64895"/>
  </w:style>
  <w:style w:type="character" w:customStyle="1" w:styleId="iqmpopupurlheadertext">
    <w:name w:val="iqm_popupurl_header_text"/>
    <w:rsid w:val="00C64895"/>
    <w:rPr>
      <w:sz w:val="20"/>
      <w:szCs w:val="20"/>
    </w:rPr>
  </w:style>
  <w:style w:type="character" w:customStyle="1" w:styleId="selector">
    <w:name w:val="selector"/>
    <w:rsid w:val="00C64895"/>
  </w:style>
  <w:style w:type="paragraph" w:customStyle="1" w:styleId="ui-widget1">
    <w:name w:val="ui-widget1"/>
    <w:basedOn w:val="Normal"/>
    <w:rsid w:val="00C64895"/>
    <w:pPr>
      <w:suppressAutoHyphens w:val="0"/>
      <w:jc w:val="left"/>
    </w:pPr>
    <w:rPr>
      <w:rFonts w:eastAsia="Times New Roman" w:cs="Arial"/>
      <w:color w:val="434343"/>
      <w:sz w:val="24"/>
      <w:lang w:eastAsia="en-AU"/>
    </w:rPr>
  </w:style>
  <w:style w:type="paragraph" w:customStyle="1" w:styleId="ui-state-default1">
    <w:name w:val="ui-state-default1"/>
    <w:basedOn w:val="Normal"/>
    <w:rsid w:val="00C64895"/>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eastAsia="en-AU"/>
    </w:rPr>
  </w:style>
  <w:style w:type="paragraph" w:customStyle="1" w:styleId="ui-state-default2">
    <w:name w:val="ui-state-default2"/>
    <w:basedOn w:val="Normal"/>
    <w:rsid w:val="00C64895"/>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eastAsia="en-AU"/>
    </w:rPr>
  </w:style>
  <w:style w:type="paragraph" w:customStyle="1" w:styleId="ui-state-hover1">
    <w:name w:val="ui-state-hover1"/>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hover2">
    <w:name w:val="ui-state-hover2"/>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focus1">
    <w:name w:val="ui-state-focus1"/>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focus2">
    <w:name w:val="ui-state-focus2"/>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active1">
    <w:name w:val="ui-state-active1"/>
    <w:basedOn w:val="Normal"/>
    <w:rsid w:val="00C64895"/>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eastAsia="en-AU"/>
    </w:rPr>
  </w:style>
  <w:style w:type="paragraph" w:customStyle="1" w:styleId="ui-state-active2">
    <w:name w:val="ui-state-active2"/>
    <w:basedOn w:val="Normal"/>
    <w:rsid w:val="00C64895"/>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eastAsia="en-AU"/>
    </w:rPr>
  </w:style>
  <w:style w:type="paragraph" w:customStyle="1" w:styleId="ui-state-highlight1">
    <w:name w:val="ui-state-highlight1"/>
    <w:basedOn w:val="Normal"/>
    <w:rsid w:val="00C64895"/>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eastAsia="en-AU"/>
    </w:rPr>
  </w:style>
  <w:style w:type="paragraph" w:customStyle="1" w:styleId="ui-state-highlight2">
    <w:name w:val="ui-state-highlight2"/>
    <w:basedOn w:val="Normal"/>
    <w:rsid w:val="00C64895"/>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eastAsia="en-AU"/>
    </w:rPr>
  </w:style>
  <w:style w:type="paragraph" w:customStyle="1" w:styleId="ui-state-error1">
    <w:name w:val="ui-state-error1"/>
    <w:basedOn w:val="Normal"/>
    <w:rsid w:val="00C64895"/>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eastAsia="en-AU"/>
    </w:rPr>
  </w:style>
  <w:style w:type="paragraph" w:customStyle="1" w:styleId="ui-state-error2">
    <w:name w:val="ui-state-error2"/>
    <w:basedOn w:val="Normal"/>
    <w:rsid w:val="00C64895"/>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eastAsia="en-AU"/>
    </w:rPr>
  </w:style>
  <w:style w:type="paragraph" w:customStyle="1" w:styleId="ui-state-error-text1">
    <w:name w:val="ui-state-error-text1"/>
    <w:basedOn w:val="Normal"/>
    <w:rsid w:val="00C64895"/>
    <w:pPr>
      <w:suppressAutoHyphens w:val="0"/>
      <w:jc w:val="left"/>
    </w:pPr>
    <w:rPr>
      <w:rFonts w:eastAsia="Times New Roman" w:cs="Arial"/>
      <w:color w:val="CD0A0A"/>
      <w:sz w:val="18"/>
      <w:szCs w:val="18"/>
      <w:lang w:eastAsia="en-AU"/>
    </w:rPr>
  </w:style>
  <w:style w:type="paragraph" w:customStyle="1" w:styleId="ui-state-error-text2">
    <w:name w:val="ui-state-error-text2"/>
    <w:basedOn w:val="Normal"/>
    <w:rsid w:val="00C64895"/>
    <w:pPr>
      <w:suppressAutoHyphens w:val="0"/>
      <w:jc w:val="left"/>
    </w:pPr>
    <w:rPr>
      <w:rFonts w:eastAsia="Times New Roman" w:cs="Arial"/>
      <w:color w:val="CD0A0A"/>
      <w:sz w:val="18"/>
      <w:szCs w:val="18"/>
      <w:lang w:eastAsia="en-AU"/>
    </w:rPr>
  </w:style>
  <w:style w:type="paragraph" w:customStyle="1" w:styleId="ui-priority-primary1">
    <w:name w:val="ui-priority-primary1"/>
    <w:basedOn w:val="Normal"/>
    <w:rsid w:val="00C64895"/>
    <w:pPr>
      <w:suppressAutoHyphens w:val="0"/>
      <w:jc w:val="left"/>
    </w:pPr>
    <w:rPr>
      <w:rFonts w:eastAsia="Times New Roman" w:cs="Arial"/>
      <w:b/>
      <w:bCs/>
      <w:color w:val="434343"/>
      <w:sz w:val="18"/>
      <w:szCs w:val="18"/>
      <w:lang w:eastAsia="en-AU"/>
    </w:rPr>
  </w:style>
  <w:style w:type="paragraph" w:customStyle="1" w:styleId="ui-priority-primary2">
    <w:name w:val="ui-priority-primary2"/>
    <w:basedOn w:val="Normal"/>
    <w:rsid w:val="00C64895"/>
    <w:pPr>
      <w:suppressAutoHyphens w:val="0"/>
      <w:jc w:val="left"/>
    </w:pPr>
    <w:rPr>
      <w:rFonts w:eastAsia="Times New Roman" w:cs="Arial"/>
      <w:b/>
      <w:bCs/>
      <w:color w:val="434343"/>
      <w:sz w:val="18"/>
      <w:szCs w:val="18"/>
      <w:lang w:eastAsia="en-AU"/>
    </w:rPr>
  </w:style>
  <w:style w:type="paragraph" w:customStyle="1" w:styleId="ui-priority-secondary1">
    <w:name w:val="ui-priority-secondary1"/>
    <w:basedOn w:val="Normal"/>
    <w:rsid w:val="00C64895"/>
    <w:pPr>
      <w:suppressAutoHyphens w:val="0"/>
      <w:jc w:val="left"/>
    </w:pPr>
    <w:rPr>
      <w:rFonts w:eastAsia="Times New Roman" w:cs="Arial"/>
      <w:b/>
      <w:bCs/>
      <w:color w:val="434343"/>
      <w:sz w:val="18"/>
      <w:szCs w:val="18"/>
      <w:lang w:eastAsia="en-AU"/>
    </w:rPr>
  </w:style>
  <w:style w:type="paragraph" w:customStyle="1" w:styleId="ui-priority-secondary2">
    <w:name w:val="ui-priority-secondary2"/>
    <w:basedOn w:val="Normal"/>
    <w:rsid w:val="00C64895"/>
    <w:pPr>
      <w:suppressAutoHyphens w:val="0"/>
      <w:jc w:val="left"/>
    </w:pPr>
    <w:rPr>
      <w:rFonts w:eastAsia="Times New Roman" w:cs="Arial"/>
      <w:b/>
      <w:bCs/>
      <w:color w:val="434343"/>
      <w:sz w:val="18"/>
      <w:szCs w:val="18"/>
      <w:lang w:eastAsia="en-AU"/>
    </w:rPr>
  </w:style>
  <w:style w:type="paragraph" w:customStyle="1" w:styleId="ui-state-disabled1">
    <w:name w:val="ui-state-disabled1"/>
    <w:basedOn w:val="Normal"/>
    <w:rsid w:val="00C64895"/>
    <w:pPr>
      <w:suppressAutoHyphens w:val="0"/>
      <w:jc w:val="left"/>
    </w:pPr>
    <w:rPr>
      <w:rFonts w:eastAsia="Times New Roman" w:cs="Arial"/>
      <w:color w:val="434343"/>
      <w:sz w:val="18"/>
      <w:szCs w:val="18"/>
      <w:lang w:eastAsia="en-AU"/>
    </w:rPr>
  </w:style>
  <w:style w:type="paragraph" w:customStyle="1" w:styleId="ui-state-disabled2">
    <w:name w:val="ui-state-disabled2"/>
    <w:basedOn w:val="Normal"/>
    <w:rsid w:val="00C64895"/>
    <w:pPr>
      <w:suppressAutoHyphens w:val="0"/>
      <w:jc w:val="left"/>
    </w:pPr>
    <w:rPr>
      <w:rFonts w:eastAsia="Times New Roman" w:cs="Arial"/>
      <w:color w:val="434343"/>
      <w:sz w:val="18"/>
      <w:szCs w:val="18"/>
      <w:lang w:eastAsia="en-AU"/>
    </w:rPr>
  </w:style>
  <w:style w:type="paragraph" w:customStyle="1" w:styleId="ui-icon1">
    <w:name w:val="ui-icon1"/>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2">
    <w:name w:val="ui-icon2"/>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3">
    <w:name w:val="ui-icon3"/>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4">
    <w:name w:val="ui-icon4"/>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5">
    <w:name w:val="ui-icon5"/>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6">
    <w:name w:val="ui-icon6"/>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7">
    <w:name w:val="ui-icon7"/>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8">
    <w:name w:val="ui-icon8"/>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9">
    <w:name w:val="ui-icon9"/>
    <w:basedOn w:val="Normal"/>
    <w:rsid w:val="00C64895"/>
    <w:pPr>
      <w:suppressAutoHyphens w:val="0"/>
      <w:ind w:firstLine="7343"/>
      <w:jc w:val="left"/>
    </w:pPr>
    <w:rPr>
      <w:rFonts w:eastAsia="Times New Roman" w:cs="Arial"/>
      <w:color w:val="434343"/>
      <w:sz w:val="18"/>
      <w:szCs w:val="18"/>
      <w:lang w:eastAsia="en-AU"/>
    </w:rPr>
  </w:style>
  <w:style w:type="paragraph" w:customStyle="1" w:styleId="ui-resizable-handle1">
    <w:name w:val="ui-resizable-handle1"/>
    <w:basedOn w:val="Normal"/>
    <w:rsid w:val="00C64895"/>
    <w:pPr>
      <w:suppressAutoHyphens w:val="0"/>
      <w:jc w:val="left"/>
    </w:pPr>
    <w:rPr>
      <w:rFonts w:eastAsia="Times New Roman" w:cs="Arial"/>
      <w:vanish/>
      <w:color w:val="434343"/>
      <w:sz w:val="2"/>
      <w:szCs w:val="2"/>
      <w:lang w:eastAsia="en-AU"/>
    </w:rPr>
  </w:style>
  <w:style w:type="paragraph" w:customStyle="1" w:styleId="ui-resizable-handle2">
    <w:name w:val="ui-resizable-handle2"/>
    <w:basedOn w:val="Normal"/>
    <w:rsid w:val="00C64895"/>
    <w:pPr>
      <w:suppressAutoHyphens w:val="0"/>
      <w:jc w:val="left"/>
    </w:pPr>
    <w:rPr>
      <w:rFonts w:eastAsia="Times New Roman" w:cs="Arial"/>
      <w:vanish/>
      <w:color w:val="434343"/>
      <w:sz w:val="2"/>
      <w:szCs w:val="2"/>
      <w:lang w:eastAsia="en-AU"/>
    </w:rPr>
  </w:style>
  <w:style w:type="paragraph" w:customStyle="1" w:styleId="ui-accordion-header1">
    <w:name w:val="ui-accordion-header1"/>
    <w:basedOn w:val="Normal"/>
    <w:rsid w:val="00C64895"/>
    <w:pPr>
      <w:suppressAutoHyphens w:val="0"/>
      <w:spacing w:before="15"/>
      <w:jc w:val="left"/>
    </w:pPr>
    <w:rPr>
      <w:rFonts w:eastAsia="Times New Roman" w:cs="Arial"/>
      <w:color w:val="434343"/>
      <w:sz w:val="18"/>
      <w:szCs w:val="18"/>
      <w:lang w:eastAsia="en-AU"/>
    </w:rPr>
  </w:style>
  <w:style w:type="paragraph" w:customStyle="1" w:styleId="ui-accordion-li-fix1">
    <w:name w:val="ui-accordion-li-fix1"/>
    <w:basedOn w:val="Normal"/>
    <w:rsid w:val="00C64895"/>
    <w:pPr>
      <w:suppressAutoHyphens w:val="0"/>
      <w:jc w:val="left"/>
    </w:pPr>
    <w:rPr>
      <w:rFonts w:eastAsia="Times New Roman" w:cs="Arial"/>
      <w:color w:val="434343"/>
      <w:sz w:val="18"/>
      <w:szCs w:val="18"/>
      <w:lang w:eastAsia="en-AU"/>
    </w:rPr>
  </w:style>
  <w:style w:type="paragraph" w:customStyle="1" w:styleId="ui-icon10">
    <w:name w:val="ui-icon10"/>
    <w:basedOn w:val="Normal"/>
    <w:rsid w:val="00C64895"/>
    <w:pPr>
      <w:suppressAutoHyphens w:val="0"/>
      <w:ind w:firstLine="7343"/>
      <w:jc w:val="left"/>
    </w:pPr>
    <w:rPr>
      <w:rFonts w:eastAsia="Times New Roman" w:cs="Arial"/>
      <w:color w:val="434343"/>
      <w:sz w:val="18"/>
      <w:szCs w:val="18"/>
      <w:lang w:eastAsia="en-AU"/>
    </w:rPr>
  </w:style>
  <w:style w:type="paragraph" w:customStyle="1" w:styleId="ui-accordion-content1">
    <w:name w:val="ui-accordion-content1"/>
    <w:basedOn w:val="Normal"/>
    <w:rsid w:val="00C64895"/>
    <w:pPr>
      <w:suppressAutoHyphens w:val="0"/>
      <w:spacing w:after="30"/>
      <w:jc w:val="left"/>
    </w:pPr>
    <w:rPr>
      <w:rFonts w:eastAsia="Times New Roman" w:cs="Arial"/>
      <w:vanish/>
      <w:color w:val="434343"/>
      <w:sz w:val="18"/>
      <w:szCs w:val="18"/>
      <w:lang w:eastAsia="en-AU"/>
    </w:rPr>
  </w:style>
  <w:style w:type="paragraph" w:customStyle="1" w:styleId="ui-accordion-content-active1">
    <w:name w:val="ui-accordion-content-active1"/>
    <w:basedOn w:val="Normal"/>
    <w:rsid w:val="00C64895"/>
    <w:pPr>
      <w:suppressAutoHyphens w:val="0"/>
      <w:jc w:val="left"/>
    </w:pPr>
    <w:rPr>
      <w:rFonts w:eastAsia="Times New Roman" w:cs="Arial"/>
      <w:color w:val="434343"/>
      <w:sz w:val="18"/>
      <w:szCs w:val="18"/>
      <w:lang w:eastAsia="en-AU"/>
    </w:rPr>
  </w:style>
  <w:style w:type="paragraph" w:customStyle="1" w:styleId="ui-menu1">
    <w:name w:val="ui-menu1"/>
    <w:basedOn w:val="Normal"/>
    <w:rsid w:val="00C64895"/>
    <w:pPr>
      <w:shd w:val="clear" w:color="auto" w:fill="FFFFFF"/>
      <w:suppressAutoHyphens w:val="0"/>
      <w:jc w:val="left"/>
    </w:pPr>
    <w:rPr>
      <w:rFonts w:eastAsia="Times New Roman" w:cs="Arial"/>
      <w:color w:val="434343"/>
      <w:sz w:val="18"/>
      <w:szCs w:val="18"/>
      <w:lang w:eastAsia="en-AU"/>
    </w:rPr>
  </w:style>
  <w:style w:type="paragraph" w:customStyle="1" w:styleId="ui-menu-item1">
    <w:name w:val="ui-menu-item1"/>
    <w:basedOn w:val="Normal"/>
    <w:rsid w:val="00C64895"/>
    <w:pPr>
      <w:suppressAutoHyphens w:val="0"/>
      <w:jc w:val="left"/>
    </w:pPr>
    <w:rPr>
      <w:rFonts w:eastAsia="Times New Roman" w:cs="Arial"/>
      <w:color w:val="434343"/>
      <w:sz w:val="18"/>
      <w:szCs w:val="18"/>
      <w:lang w:eastAsia="en-AU"/>
    </w:rPr>
  </w:style>
  <w:style w:type="paragraph" w:customStyle="1" w:styleId="ui-button-text1">
    <w:name w:val="ui-button-text1"/>
    <w:basedOn w:val="Normal"/>
    <w:rsid w:val="00C64895"/>
    <w:pPr>
      <w:suppressAutoHyphens w:val="0"/>
      <w:jc w:val="left"/>
    </w:pPr>
    <w:rPr>
      <w:rFonts w:eastAsia="Times New Roman" w:cs="Arial"/>
      <w:color w:val="434343"/>
      <w:sz w:val="18"/>
      <w:szCs w:val="18"/>
      <w:lang w:eastAsia="en-AU"/>
    </w:rPr>
  </w:style>
  <w:style w:type="paragraph" w:customStyle="1" w:styleId="ui-button-text2">
    <w:name w:val="ui-button-text2"/>
    <w:basedOn w:val="Normal"/>
    <w:rsid w:val="00C64895"/>
    <w:pPr>
      <w:suppressAutoHyphens w:val="0"/>
      <w:jc w:val="left"/>
    </w:pPr>
    <w:rPr>
      <w:rFonts w:eastAsia="Times New Roman" w:cs="Arial"/>
      <w:color w:val="434343"/>
      <w:sz w:val="18"/>
      <w:szCs w:val="18"/>
      <w:lang w:eastAsia="en-AU"/>
    </w:rPr>
  </w:style>
  <w:style w:type="paragraph" w:customStyle="1" w:styleId="ui-button-text3">
    <w:name w:val="ui-button-text3"/>
    <w:basedOn w:val="Normal"/>
    <w:rsid w:val="00C64895"/>
    <w:pPr>
      <w:suppressAutoHyphens w:val="0"/>
      <w:ind w:firstLine="11919"/>
      <w:jc w:val="left"/>
    </w:pPr>
    <w:rPr>
      <w:rFonts w:eastAsia="Times New Roman" w:cs="Arial"/>
      <w:color w:val="434343"/>
      <w:sz w:val="18"/>
      <w:szCs w:val="18"/>
      <w:lang w:eastAsia="en-AU"/>
    </w:rPr>
  </w:style>
  <w:style w:type="paragraph" w:customStyle="1" w:styleId="ui-button-text4">
    <w:name w:val="ui-button-text4"/>
    <w:basedOn w:val="Normal"/>
    <w:rsid w:val="00C64895"/>
    <w:pPr>
      <w:suppressAutoHyphens w:val="0"/>
      <w:ind w:firstLine="11919"/>
      <w:jc w:val="left"/>
    </w:pPr>
    <w:rPr>
      <w:rFonts w:eastAsia="Times New Roman" w:cs="Arial"/>
      <w:color w:val="434343"/>
      <w:sz w:val="18"/>
      <w:szCs w:val="18"/>
      <w:lang w:eastAsia="en-AU"/>
    </w:rPr>
  </w:style>
  <w:style w:type="paragraph" w:customStyle="1" w:styleId="ui-button-text5">
    <w:name w:val="ui-button-text5"/>
    <w:basedOn w:val="Normal"/>
    <w:rsid w:val="00C64895"/>
    <w:pPr>
      <w:suppressAutoHyphens w:val="0"/>
      <w:jc w:val="left"/>
    </w:pPr>
    <w:rPr>
      <w:rFonts w:eastAsia="Times New Roman" w:cs="Arial"/>
      <w:color w:val="434343"/>
      <w:sz w:val="18"/>
      <w:szCs w:val="18"/>
      <w:lang w:eastAsia="en-AU"/>
    </w:rPr>
  </w:style>
  <w:style w:type="paragraph" w:customStyle="1" w:styleId="ui-button-text6">
    <w:name w:val="ui-button-text6"/>
    <w:basedOn w:val="Normal"/>
    <w:rsid w:val="00C64895"/>
    <w:pPr>
      <w:suppressAutoHyphens w:val="0"/>
      <w:jc w:val="left"/>
    </w:pPr>
    <w:rPr>
      <w:rFonts w:eastAsia="Times New Roman" w:cs="Arial"/>
      <w:color w:val="434343"/>
      <w:sz w:val="18"/>
      <w:szCs w:val="18"/>
      <w:lang w:eastAsia="en-AU"/>
    </w:rPr>
  </w:style>
  <w:style w:type="paragraph" w:customStyle="1" w:styleId="ui-button-text7">
    <w:name w:val="ui-button-text7"/>
    <w:basedOn w:val="Normal"/>
    <w:rsid w:val="00C64895"/>
    <w:pPr>
      <w:suppressAutoHyphens w:val="0"/>
      <w:jc w:val="left"/>
    </w:pPr>
    <w:rPr>
      <w:rFonts w:eastAsia="Times New Roman" w:cs="Arial"/>
      <w:color w:val="434343"/>
      <w:sz w:val="18"/>
      <w:szCs w:val="18"/>
      <w:lang w:eastAsia="en-AU"/>
    </w:rPr>
  </w:style>
  <w:style w:type="paragraph" w:customStyle="1" w:styleId="ui-icon11">
    <w:name w:val="ui-icon11"/>
    <w:basedOn w:val="Normal"/>
    <w:rsid w:val="00C64895"/>
    <w:pPr>
      <w:suppressAutoHyphens w:val="0"/>
      <w:ind w:left="-120" w:firstLine="7343"/>
      <w:jc w:val="left"/>
    </w:pPr>
    <w:rPr>
      <w:rFonts w:eastAsia="Times New Roman" w:cs="Arial"/>
      <w:color w:val="434343"/>
      <w:sz w:val="18"/>
      <w:szCs w:val="18"/>
      <w:lang w:eastAsia="en-AU"/>
    </w:rPr>
  </w:style>
  <w:style w:type="paragraph" w:customStyle="1" w:styleId="ui-icon12">
    <w:name w:val="ui-icon12"/>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13">
    <w:name w:val="ui-icon13"/>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14">
    <w:name w:val="ui-icon14"/>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15">
    <w:name w:val="ui-icon15"/>
    <w:basedOn w:val="Normal"/>
    <w:rsid w:val="00C64895"/>
    <w:pPr>
      <w:suppressAutoHyphens w:val="0"/>
      <w:ind w:firstLine="7343"/>
      <w:jc w:val="left"/>
    </w:pPr>
    <w:rPr>
      <w:rFonts w:eastAsia="Times New Roman" w:cs="Arial"/>
      <w:color w:val="434343"/>
      <w:sz w:val="18"/>
      <w:szCs w:val="18"/>
      <w:lang w:eastAsia="en-AU"/>
    </w:rPr>
  </w:style>
  <w:style w:type="paragraph" w:customStyle="1" w:styleId="ui-button1">
    <w:name w:val="ui-button1"/>
    <w:basedOn w:val="Normal"/>
    <w:rsid w:val="00C64895"/>
    <w:pPr>
      <w:suppressAutoHyphens w:val="0"/>
      <w:ind w:right="-72"/>
      <w:jc w:val="center"/>
    </w:pPr>
    <w:rPr>
      <w:rFonts w:eastAsia="Times New Roman" w:cs="Arial"/>
      <w:color w:val="434343"/>
      <w:sz w:val="18"/>
      <w:szCs w:val="18"/>
      <w:lang w:eastAsia="en-AU"/>
    </w:rPr>
  </w:style>
  <w:style w:type="paragraph" w:customStyle="1" w:styleId="ui-dialog-titlebar1">
    <w:name w:val="ui-dialog-titlebar1"/>
    <w:basedOn w:val="Normal"/>
    <w:rsid w:val="00C64895"/>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eastAsia="en-AU"/>
    </w:rPr>
  </w:style>
  <w:style w:type="paragraph" w:customStyle="1" w:styleId="ui-dialog-title1">
    <w:name w:val="ui-dialog-title1"/>
    <w:basedOn w:val="Normal"/>
    <w:rsid w:val="00C64895"/>
    <w:pPr>
      <w:suppressAutoHyphens w:val="0"/>
      <w:jc w:val="left"/>
    </w:pPr>
    <w:rPr>
      <w:rFonts w:eastAsia="Times New Roman" w:cs="Arial"/>
      <w:color w:val="434343"/>
      <w:sz w:val="18"/>
      <w:szCs w:val="18"/>
      <w:lang w:eastAsia="en-AU"/>
    </w:rPr>
  </w:style>
  <w:style w:type="paragraph" w:customStyle="1" w:styleId="ui-dialog-titlebar-close1">
    <w:name w:val="ui-dialog-titlebar-close1"/>
    <w:basedOn w:val="Normal"/>
    <w:rsid w:val="00C64895"/>
    <w:pPr>
      <w:suppressAutoHyphens w:val="0"/>
      <w:jc w:val="left"/>
    </w:pPr>
    <w:rPr>
      <w:rFonts w:eastAsia="Times New Roman" w:cs="Arial"/>
      <w:color w:val="434343"/>
      <w:sz w:val="18"/>
      <w:szCs w:val="18"/>
      <w:lang w:eastAsia="en-AU"/>
    </w:rPr>
  </w:style>
  <w:style w:type="paragraph" w:customStyle="1" w:styleId="ui-dialog-content1">
    <w:name w:val="ui-dialog-content1"/>
    <w:basedOn w:val="Normal"/>
    <w:rsid w:val="00C64895"/>
    <w:pPr>
      <w:suppressAutoHyphens w:val="0"/>
      <w:jc w:val="left"/>
    </w:pPr>
    <w:rPr>
      <w:rFonts w:eastAsia="Times New Roman" w:cs="Arial"/>
      <w:color w:val="434343"/>
      <w:sz w:val="18"/>
      <w:szCs w:val="18"/>
      <w:lang w:eastAsia="en-AU"/>
    </w:rPr>
  </w:style>
  <w:style w:type="paragraph" w:customStyle="1" w:styleId="ui-dialog-buttonpane1">
    <w:name w:val="ui-dialog-buttonpane1"/>
    <w:basedOn w:val="Normal"/>
    <w:rsid w:val="00C64895"/>
    <w:pPr>
      <w:suppressAutoHyphens w:val="0"/>
      <w:spacing w:before="120"/>
      <w:jc w:val="left"/>
    </w:pPr>
    <w:rPr>
      <w:rFonts w:eastAsia="Times New Roman" w:cs="Arial"/>
      <w:color w:val="434343"/>
      <w:sz w:val="18"/>
      <w:szCs w:val="18"/>
      <w:lang w:eastAsia="en-AU"/>
    </w:rPr>
  </w:style>
  <w:style w:type="paragraph" w:customStyle="1" w:styleId="ui-resizable-se1">
    <w:name w:val="ui-resizable-se1"/>
    <w:basedOn w:val="Normal"/>
    <w:rsid w:val="00C64895"/>
    <w:pPr>
      <w:suppressAutoHyphens w:val="0"/>
      <w:jc w:val="left"/>
    </w:pPr>
    <w:rPr>
      <w:rFonts w:eastAsia="Times New Roman" w:cs="Arial"/>
      <w:color w:val="434343"/>
      <w:sz w:val="18"/>
      <w:szCs w:val="18"/>
      <w:lang w:eastAsia="en-AU"/>
    </w:rPr>
  </w:style>
  <w:style w:type="paragraph" w:customStyle="1" w:styleId="ui-slider-handle1">
    <w:name w:val="ui-slider-handle1"/>
    <w:basedOn w:val="Normal"/>
    <w:rsid w:val="00C64895"/>
    <w:pPr>
      <w:suppressAutoHyphens w:val="0"/>
      <w:jc w:val="left"/>
    </w:pPr>
    <w:rPr>
      <w:rFonts w:eastAsia="Times New Roman" w:cs="Arial"/>
      <w:color w:val="434343"/>
      <w:sz w:val="18"/>
      <w:szCs w:val="18"/>
      <w:lang w:eastAsia="en-AU"/>
    </w:rPr>
  </w:style>
  <w:style w:type="paragraph" w:customStyle="1" w:styleId="ui-slider-range1">
    <w:name w:val="ui-slider-range1"/>
    <w:basedOn w:val="Normal"/>
    <w:rsid w:val="00C64895"/>
    <w:pPr>
      <w:suppressAutoHyphens w:val="0"/>
      <w:jc w:val="left"/>
    </w:pPr>
    <w:rPr>
      <w:rFonts w:eastAsia="Times New Roman" w:cs="Arial"/>
      <w:color w:val="434343"/>
      <w:sz w:val="17"/>
      <w:szCs w:val="17"/>
      <w:lang w:eastAsia="en-AU"/>
    </w:rPr>
  </w:style>
  <w:style w:type="paragraph" w:customStyle="1" w:styleId="ui-slider-handle2">
    <w:name w:val="ui-slider-handle2"/>
    <w:basedOn w:val="Normal"/>
    <w:rsid w:val="00C64895"/>
    <w:pPr>
      <w:suppressAutoHyphens w:val="0"/>
      <w:ind w:left="-144"/>
      <w:jc w:val="left"/>
    </w:pPr>
    <w:rPr>
      <w:rFonts w:eastAsia="Times New Roman" w:cs="Arial"/>
      <w:color w:val="434343"/>
      <w:sz w:val="18"/>
      <w:szCs w:val="18"/>
      <w:lang w:eastAsia="en-AU"/>
    </w:rPr>
  </w:style>
  <w:style w:type="paragraph" w:customStyle="1" w:styleId="ui-slider-handle3">
    <w:name w:val="ui-slider-handle3"/>
    <w:basedOn w:val="Normal"/>
    <w:rsid w:val="00C64895"/>
    <w:pPr>
      <w:suppressAutoHyphens w:val="0"/>
      <w:jc w:val="left"/>
    </w:pPr>
    <w:rPr>
      <w:rFonts w:eastAsia="Times New Roman" w:cs="Arial"/>
      <w:color w:val="434343"/>
      <w:sz w:val="18"/>
      <w:szCs w:val="18"/>
      <w:lang w:eastAsia="en-AU"/>
    </w:rPr>
  </w:style>
  <w:style w:type="paragraph" w:customStyle="1" w:styleId="ui-slider-range2">
    <w:name w:val="ui-slider-range2"/>
    <w:basedOn w:val="Normal"/>
    <w:rsid w:val="00C64895"/>
    <w:pPr>
      <w:suppressAutoHyphens w:val="0"/>
      <w:jc w:val="left"/>
    </w:pPr>
    <w:rPr>
      <w:rFonts w:eastAsia="Times New Roman" w:cs="Arial"/>
      <w:color w:val="434343"/>
      <w:sz w:val="18"/>
      <w:szCs w:val="18"/>
      <w:lang w:eastAsia="en-AU"/>
    </w:rPr>
  </w:style>
  <w:style w:type="paragraph" w:customStyle="1" w:styleId="ui-tabs-nav1">
    <w:name w:val="ui-tabs-nav1"/>
    <w:basedOn w:val="Normal"/>
    <w:rsid w:val="00C64895"/>
    <w:pPr>
      <w:suppressAutoHyphens w:val="0"/>
      <w:jc w:val="left"/>
    </w:pPr>
    <w:rPr>
      <w:rFonts w:eastAsia="Times New Roman" w:cs="Arial"/>
      <w:color w:val="434343"/>
      <w:sz w:val="18"/>
      <w:szCs w:val="18"/>
      <w:lang w:eastAsia="en-AU"/>
    </w:rPr>
  </w:style>
  <w:style w:type="paragraph" w:customStyle="1" w:styleId="ui-tabs-panel1">
    <w:name w:val="ui-tabs-panel1"/>
    <w:basedOn w:val="Normal"/>
    <w:rsid w:val="00C64895"/>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eastAsia="en-AU"/>
    </w:rPr>
  </w:style>
  <w:style w:type="paragraph" w:customStyle="1" w:styleId="ui-datepicker-header1">
    <w:name w:val="ui-datepicker-header1"/>
    <w:basedOn w:val="Normal"/>
    <w:rsid w:val="00C64895"/>
    <w:pPr>
      <w:suppressAutoHyphens w:val="0"/>
      <w:jc w:val="left"/>
    </w:pPr>
    <w:rPr>
      <w:rFonts w:eastAsia="Times New Roman" w:cs="Arial"/>
      <w:color w:val="434343"/>
      <w:sz w:val="18"/>
      <w:szCs w:val="18"/>
      <w:lang w:eastAsia="en-AU"/>
    </w:rPr>
  </w:style>
  <w:style w:type="paragraph" w:customStyle="1" w:styleId="ui-datepicker-prev1">
    <w:name w:val="ui-datepicker-prev1"/>
    <w:basedOn w:val="Normal"/>
    <w:rsid w:val="00C64895"/>
    <w:pPr>
      <w:suppressAutoHyphens w:val="0"/>
      <w:jc w:val="left"/>
    </w:pPr>
    <w:rPr>
      <w:rFonts w:eastAsia="Times New Roman" w:cs="Arial"/>
      <w:color w:val="434343"/>
      <w:sz w:val="18"/>
      <w:szCs w:val="18"/>
      <w:lang w:eastAsia="en-AU"/>
    </w:rPr>
  </w:style>
  <w:style w:type="paragraph" w:customStyle="1" w:styleId="ui-datepicker-next1">
    <w:name w:val="ui-datepicker-next1"/>
    <w:basedOn w:val="Normal"/>
    <w:rsid w:val="00C64895"/>
    <w:pPr>
      <w:suppressAutoHyphens w:val="0"/>
      <w:jc w:val="left"/>
    </w:pPr>
    <w:rPr>
      <w:rFonts w:eastAsia="Times New Roman" w:cs="Arial"/>
      <w:color w:val="434343"/>
      <w:sz w:val="18"/>
      <w:szCs w:val="18"/>
      <w:lang w:eastAsia="en-AU"/>
    </w:rPr>
  </w:style>
  <w:style w:type="paragraph" w:customStyle="1" w:styleId="ui-datepicker-title1">
    <w:name w:val="ui-datepicker-title1"/>
    <w:basedOn w:val="Normal"/>
    <w:rsid w:val="00C64895"/>
    <w:pPr>
      <w:suppressAutoHyphens w:val="0"/>
      <w:spacing w:line="432" w:lineRule="atLeast"/>
      <w:ind w:left="552" w:right="552"/>
      <w:jc w:val="center"/>
    </w:pPr>
    <w:rPr>
      <w:rFonts w:eastAsia="Times New Roman" w:cs="Arial"/>
      <w:color w:val="434343"/>
      <w:sz w:val="18"/>
      <w:szCs w:val="18"/>
      <w:lang w:eastAsia="en-AU"/>
    </w:rPr>
  </w:style>
  <w:style w:type="paragraph" w:customStyle="1" w:styleId="ui-datepicker-buttonpane1">
    <w:name w:val="ui-datepicker-buttonpane1"/>
    <w:basedOn w:val="Normal"/>
    <w:rsid w:val="00C64895"/>
    <w:pPr>
      <w:pBdr>
        <w:top w:val="single" w:sz="6" w:space="0" w:color="C3D0D6"/>
      </w:pBdr>
      <w:suppressAutoHyphens w:val="0"/>
      <w:spacing w:before="168"/>
      <w:jc w:val="left"/>
    </w:pPr>
    <w:rPr>
      <w:rFonts w:eastAsia="Times New Roman" w:cs="Arial"/>
      <w:color w:val="434343"/>
      <w:sz w:val="18"/>
      <w:szCs w:val="18"/>
      <w:lang w:eastAsia="en-AU"/>
    </w:rPr>
  </w:style>
  <w:style w:type="paragraph" w:customStyle="1" w:styleId="ui-datepicker-group1">
    <w:name w:val="ui-datepicker-group1"/>
    <w:basedOn w:val="Normal"/>
    <w:rsid w:val="00C64895"/>
    <w:pPr>
      <w:suppressAutoHyphens w:val="0"/>
      <w:jc w:val="left"/>
    </w:pPr>
    <w:rPr>
      <w:rFonts w:eastAsia="Times New Roman" w:cs="Arial"/>
      <w:color w:val="434343"/>
      <w:sz w:val="18"/>
      <w:szCs w:val="18"/>
      <w:lang w:eastAsia="en-AU"/>
    </w:rPr>
  </w:style>
  <w:style w:type="paragraph" w:customStyle="1" w:styleId="ui-datepicker-group2">
    <w:name w:val="ui-datepicker-group2"/>
    <w:basedOn w:val="Normal"/>
    <w:rsid w:val="00C64895"/>
    <w:pPr>
      <w:suppressAutoHyphens w:val="0"/>
      <w:jc w:val="left"/>
    </w:pPr>
    <w:rPr>
      <w:rFonts w:eastAsia="Times New Roman" w:cs="Arial"/>
      <w:color w:val="434343"/>
      <w:sz w:val="18"/>
      <w:szCs w:val="18"/>
      <w:lang w:eastAsia="en-AU"/>
    </w:rPr>
  </w:style>
  <w:style w:type="paragraph" w:customStyle="1" w:styleId="ui-datepicker-group3">
    <w:name w:val="ui-datepicker-group3"/>
    <w:basedOn w:val="Normal"/>
    <w:rsid w:val="00C64895"/>
    <w:pPr>
      <w:suppressAutoHyphens w:val="0"/>
      <w:jc w:val="left"/>
    </w:pPr>
    <w:rPr>
      <w:rFonts w:eastAsia="Times New Roman" w:cs="Arial"/>
      <w:color w:val="434343"/>
      <w:sz w:val="18"/>
      <w:szCs w:val="18"/>
      <w:lang w:eastAsia="en-AU"/>
    </w:rPr>
  </w:style>
  <w:style w:type="paragraph" w:customStyle="1" w:styleId="ui-datepicker-header2">
    <w:name w:val="ui-datepicker-header2"/>
    <w:basedOn w:val="Normal"/>
    <w:rsid w:val="00C64895"/>
    <w:pPr>
      <w:suppressAutoHyphens w:val="0"/>
      <w:jc w:val="left"/>
    </w:pPr>
    <w:rPr>
      <w:rFonts w:eastAsia="Times New Roman" w:cs="Arial"/>
      <w:color w:val="434343"/>
      <w:sz w:val="18"/>
      <w:szCs w:val="18"/>
      <w:lang w:eastAsia="en-AU"/>
    </w:rPr>
  </w:style>
  <w:style w:type="paragraph" w:customStyle="1" w:styleId="ui-datepicker-header3">
    <w:name w:val="ui-datepicker-header3"/>
    <w:basedOn w:val="Normal"/>
    <w:rsid w:val="00C64895"/>
    <w:pPr>
      <w:suppressAutoHyphens w:val="0"/>
      <w:jc w:val="left"/>
    </w:pPr>
    <w:rPr>
      <w:rFonts w:eastAsia="Times New Roman" w:cs="Arial"/>
      <w:color w:val="434343"/>
      <w:sz w:val="18"/>
      <w:szCs w:val="18"/>
      <w:lang w:eastAsia="en-AU"/>
    </w:rPr>
  </w:style>
  <w:style w:type="paragraph" w:customStyle="1" w:styleId="ui-datepicker-buttonpane2">
    <w:name w:val="ui-datepicker-buttonpane2"/>
    <w:basedOn w:val="Normal"/>
    <w:rsid w:val="00C64895"/>
    <w:pPr>
      <w:suppressAutoHyphens w:val="0"/>
      <w:jc w:val="left"/>
    </w:pPr>
    <w:rPr>
      <w:rFonts w:eastAsia="Times New Roman" w:cs="Arial"/>
      <w:color w:val="434343"/>
      <w:sz w:val="18"/>
      <w:szCs w:val="18"/>
      <w:lang w:eastAsia="en-AU"/>
    </w:rPr>
  </w:style>
  <w:style w:type="paragraph" w:customStyle="1" w:styleId="ui-datepicker-buttonpane3">
    <w:name w:val="ui-datepicker-buttonpane3"/>
    <w:basedOn w:val="Normal"/>
    <w:rsid w:val="00C64895"/>
    <w:pPr>
      <w:suppressAutoHyphens w:val="0"/>
      <w:jc w:val="left"/>
    </w:pPr>
    <w:rPr>
      <w:rFonts w:eastAsia="Times New Roman" w:cs="Arial"/>
      <w:color w:val="434343"/>
      <w:sz w:val="18"/>
      <w:szCs w:val="18"/>
      <w:lang w:eastAsia="en-AU"/>
    </w:rPr>
  </w:style>
  <w:style w:type="paragraph" w:customStyle="1" w:styleId="ui-datepicker-header4">
    <w:name w:val="ui-datepicker-header4"/>
    <w:basedOn w:val="Normal"/>
    <w:rsid w:val="00C64895"/>
    <w:pPr>
      <w:suppressAutoHyphens w:val="0"/>
      <w:jc w:val="left"/>
    </w:pPr>
    <w:rPr>
      <w:rFonts w:eastAsia="Times New Roman" w:cs="Arial"/>
      <w:color w:val="434343"/>
      <w:sz w:val="18"/>
      <w:szCs w:val="18"/>
      <w:lang w:eastAsia="en-AU"/>
    </w:rPr>
  </w:style>
  <w:style w:type="paragraph" w:customStyle="1" w:styleId="ui-datepicker-header5">
    <w:name w:val="ui-datepicker-header5"/>
    <w:basedOn w:val="Normal"/>
    <w:rsid w:val="00C64895"/>
    <w:pPr>
      <w:suppressAutoHyphens w:val="0"/>
      <w:jc w:val="left"/>
    </w:pPr>
    <w:rPr>
      <w:rFonts w:eastAsia="Times New Roman" w:cs="Arial"/>
      <w:color w:val="434343"/>
      <w:sz w:val="18"/>
      <w:szCs w:val="18"/>
      <w:lang w:eastAsia="en-AU"/>
    </w:rPr>
  </w:style>
  <w:style w:type="paragraph" w:customStyle="1" w:styleId="ui-progressbar-value1">
    <w:name w:val="ui-progressbar-value1"/>
    <w:basedOn w:val="Normal"/>
    <w:rsid w:val="00C64895"/>
    <w:pPr>
      <w:suppressAutoHyphens w:val="0"/>
      <w:ind w:left="-15" w:right="-15"/>
      <w:jc w:val="left"/>
    </w:pPr>
    <w:rPr>
      <w:rFonts w:eastAsia="Times New Roman" w:cs="Arial"/>
      <w:color w:val="434343"/>
      <w:sz w:val="18"/>
      <w:szCs w:val="18"/>
      <w:lang w:eastAsia="en-AU"/>
    </w:rPr>
  </w:style>
  <w:style w:type="paragraph" w:customStyle="1" w:styleId="header10">
    <w:name w:val="header1"/>
    <w:basedOn w:val="Normal"/>
    <w:rsid w:val="00C64895"/>
    <w:pPr>
      <w:suppressAutoHyphens w:val="0"/>
      <w:jc w:val="left"/>
    </w:pPr>
    <w:rPr>
      <w:rFonts w:eastAsia="Times New Roman" w:cs="Arial"/>
      <w:color w:val="434343"/>
      <w:sz w:val="18"/>
      <w:szCs w:val="18"/>
      <w:lang w:eastAsia="en-AU"/>
    </w:rPr>
  </w:style>
  <w:style w:type="paragraph" w:customStyle="1" w:styleId="header2">
    <w:name w:val="header2"/>
    <w:basedOn w:val="Normal"/>
    <w:rsid w:val="00C64895"/>
    <w:pPr>
      <w:shd w:val="clear" w:color="auto" w:fill="E9F4F8"/>
      <w:suppressAutoHyphens w:val="0"/>
      <w:jc w:val="left"/>
    </w:pPr>
    <w:rPr>
      <w:rFonts w:eastAsia="Times New Roman" w:cs="Arial"/>
      <w:color w:val="434343"/>
      <w:sz w:val="18"/>
      <w:szCs w:val="18"/>
      <w:lang w:eastAsia="en-AU"/>
    </w:rPr>
  </w:style>
  <w:style w:type="paragraph" w:customStyle="1" w:styleId="headersortup1">
    <w:name w:val="headersortup1"/>
    <w:basedOn w:val="Normal"/>
    <w:rsid w:val="00C64895"/>
    <w:pPr>
      <w:shd w:val="clear" w:color="auto" w:fill="E9F4F8"/>
      <w:suppressAutoHyphens w:val="0"/>
      <w:jc w:val="left"/>
    </w:pPr>
    <w:rPr>
      <w:rFonts w:eastAsia="Times New Roman" w:cs="Arial"/>
      <w:color w:val="434343"/>
      <w:sz w:val="18"/>
      <w:szCs w:val="18"/>
      <w:lang w:eastAsia="en-AU"/>
    </w:rPr>
  </w:style>
  <w:style w:type="paragraph" w:customStyle="1" w:styleId="headersortdown1">
    <w:name w:val="headersortdown1"/>
    <w:basedOn w:val="Normal"/>
    <w:rsid w:val="00C64895"/>
    <w:pPr>
      <w:shd w:val="clear" w:color="auto" w:fill="E9F4F8"/>
      <w:suppressAutoHyphens w:val="0"/>
      <w:jc w:val="left"/>
    </w:pPr>
    <w:rPr>
      <w:rFonts w:eastAsia="Times New Roman" w:cs="Arial"/>
      <w:color w:val="434343"/>
      <w:sz w:val="18"/>
      <w:szCs w:val="18"/>
      <w:lang w:eastAsia="en-AU"/>
    </w:rPr>
  </w:style>
  <w:style w:type="paragraph" w:customStyle="1" w:styleId="list10">
    <w:name w:val="list1"/>
    <w:basedOn w:val="Normal"/>
    <w:rsid w:val="00C64895"/>
    <w:pPr>
      <w:suppressAutoHyphens w:val="0"/>
      <w:jc w:val="left"/>
    </w:pPr>
    <w:rPr>
      <w:rFonts w:eastAsia="Times New Roman" w:cs="Arial"/>
      <w:color w:val="434343"/>
      <w:sz w:val="18"/>
      <w:szCs w:val="18"/>
      <w:lang w:eastAsia="en-AU"/>
    </w:rPr>
  </w:style>
  <w:style w:type="paragraph" w:customStyle="1" w:styleId="listc1">
    <w:name w:val="listc1"/>
    <w:basedOn w:val="Normal"/>
    <w:rsid w:val="00C64895"/>
    <w:pPr>
      <w:suppressAutoHyphens w:val="0"/>
      <w:jc w:val="center"/>
    </w:pPr>
    <w:rPr>
      <w:rFonts w:eastAsia="Times New Roman" w:cs="Arial"/>
      <w:color w:val="434343"/>
      <w:sz w:val="18"/>
      <w:szCs w:val="18"/>
      <w:lang w:eastAsia="en-AU"/>
    </w:rPr>
  </w:style>
  <w:style w:type="paragraph" w:customStyle="1" w:styleId="listr1">
    <w:name w:val="listr1"/>
    <w:basedOn w:val="Normal"/>
    <w:rsid w:val="00C64895"/>
    <w:pPr>
      <w:suppressAutoHyphens w:val="0"/>
      <w:jc w:val="right"/>
    </w:pPr>
    <w:rPr>
      <w:rFonts w:eastAsia="Times New Roman" w:cs="Arial"/>
      <w:color w:val="434343"/>
      <w:sz w:val="18"/>
      <w:szCs w:val="18"/>
      <w:lang w:eastAsia="en-AU"/>
    </w:rPr>
  </w:style>
  <w:style w:type="character" w:customStyle="1" w:styleId="selector1">
    <w:name w:val="selector1"/>
    <w:rsid w:val="00C64895"/>
    <w:rPr>
      <w:b w:val="0"/>
      <w:bCs w:val="0"/>
    </w:rPr>
  </w:style>
  <w:style w:type="paragraph" w:customStyle="1" w:styleId="ipstable1">
    <w:name w:val="ipstable1"/>
    <w:basedOn w:val="Normal"/>
    <w:rsid w:val="00C64895"/>
    <w:pPr>
      <w:suppressAutoHyphens w:val="0"/>
      <w:jc w:val="left"/>
      <w:textAlignment w:val="center"/>
    </w:pPr>
    <w:rPr>
      <w:rFonts w:eastAsia="Times New Roman" w:cs="Arial"/>
      <w:color w:val="434343"/>
      <w:sz w:val="18"/>
      <w:szCs w:val="18"/>
      <w:lang w:eastAsia="en-AU"/>
    </w:rPr>
  </w:style>
  <w:style w:type="paragraph" w:customStyle="1" w:styleId="ipstablec1">
    <w:name w:val="ipstablec1"/>
    <w:basedOn w:val="Normal"/>
    <w:rsid w:val="00C64895"/>
    <w:pPr>
      <w:suppressAutoHyphens w:val="0"/>
      <w:jc w:val="center"/>
      <w:textAlignment w:val="center"/>
    </w:pPr>
    <w:rPr>
      <w:rFonts w:eastAsia="Times New Roman" w:cs="Arial"/>
      <w:color w:val="434343"/>
      <w:sz w:val="18"/>
      <w:szCs w:val="18"/>
      <w:lang w:eastAsia="en-AU"/>
    </w:rPr>
  </w:style>
  <w:style w:type="paragraph" w:customStyle="1" w:styleId="ipstabler1">
    <w:name w:val="ipstabler1"/>
    <w:basedOn w:val="Normal"/>
    <w:rsid w:val="00C64895"/>
    <w:pPr>
      <w:suppressAutoHyphens w:val="0"/>
      <w:jc w:val="right"/>
      <w:textAlignment w:val="center"/>
    </w:pPr>
    <w:rPr>
      <w:rFonts w:eastAsia="Times New Roman" w:cs="Arial"/>
      <w:color w:val="434343"/>
      <w:sz w:val="18"/>
      <w:szCs w:val="18"/>
      <w:lang w:eastAsia="en-AU"/>
    </w:rPr>
  </w:style>
  <w:style w:type="paragraph" w:customStyle="1" w:styleId="SoABullet2">
    <w:name w:val="SoA Bullet 2"/>
    <w:qFormat/>
    <w:rsid w:val="004E4C13"/>
    <w:pPr>
      <w:numPr>
        <w:numId w:val="9"/>
      </w:numPr>
      <w:spacing w:before="60" w:after="60"/>
      <w:ind w:left="1797" w:hanging="357"/>
    </w:pPr>
    <w:rPr>
      <w:rFonts w:ascii="Arial" w:hAnsi="Arial" w:cs="Tahoma"/>
      <w:bCs/>
      <w:color w:val="000000"/>
      <w:sz w:val="22"/>
      <w:lang w:eastAsia="ar-SA"/>
    </w:rPr>
  </w:style>
  <w:style w:type="paragraph" w:styleId="PlainText0">
    <w:name w:val="Plain Text"/>
    <w:basedOn w:val="Normal"/>
    <w:link w:val="PlainTextChar"/>
    <w:rsid w:val="004E4C13"/>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link w:val="PlainText0"/>
    <w:rsid w:val="004E4C13"/>
    <w:rPr>
      <w:rFonts w:ascii="Courier New" w:hAnsi="Courier New" w:cs="Courier New"/>
      <w:lang w:val="en-US" w:eastAsia="en-US"/>
    </w:rPr>
  </w:style>
  <w:style w:type="paragraph" w:customStyle="1" w:styleId="SoAText">
    <w:name w:val="SoA Text"/>
    <w:qFormat/>
    <w:rsid w:val="004E4C13"/>
    <w:rPr>
      <w:rFonts w:ascii="Arial" w:hAnsi="Arial" w:cs="Tahoma"/>
      <w:bCs/>
      <w:snapToGrid w:val="0"/>
      <w:color w:val="000000"/>
      <w:sz w:val="22"/>
    </w:rPr>
  </w:style>
  <w:style w:type="paragraph" w:customStyle="1" w:styleId="SoABullet1">
    <w:name w:val="SoA Bullet 1"/>
    <w:qFormat/>
    <w:rsid w:val="004E4C13"/>
    <w:pPr>
      <w:numPr>
        <w:numId w:val="10"/>
      </w:numPr>
      <w:spacing w:before="60" w:after="60"/>
      <w:ind w:left="714" w:hanging="357"/>
    </w:pPr>
    <w:rPr>
      <w:rFonts w:ascii="Arial" w:hAnsi="Arial" w:cs="Tahoma"/>
      <w:bCs/>
      <w:snapToGrid w:val="0"/>
      <w:color w:val="000000"/>
      <w:sz w:val="22"/>
    </w:rPr>
  </w:style>
  <w:style w:type="paragraph" w:customStyle="1" w:styleId="SoAHeading2">
    <w:name w:val="SoA Heading 2"/>
    <w:qFormat/>
    <w:rsid w:val="004E4C13"/>
    <w:pPr>
      <w:spacing w:after="240"/>
    </w:pPr>
    <w:rPr>
      <w:rFonts w:ascii="Arial" w:hAnsi="Arial" w:cs="Arial"/>
      <w:b/>
      <w:bCs/>
      <w:sz w:val="28"/>
      <w:szCs w:val="24"/>
    </w:rPr>
  </w:style>
  <w:style w:type="paragraph" w:customStyle="1" w:styleId="NormalInstructions">
    <w:name w:val="Normal (Instructions)"/>
    <w:basedOn w:val="Normal"/>
    <w:autoRedefine/>
    <w:qFormat/>
    <w:rsid w:val="004E4C13"/>
    <w:pPr>
      <w:suppressAutoHyphens w:val="0"/>
      <w:ind w:left="-284"/>
      <w:jc w:val="left"/>
    </w:pPr>
    <w:rPr>
      <w:rFonts w:ascii="Century Gothic" w:eastAsia="SimSun" w:hAnsi="Century Gothic"/>
      <w:color w:val="FF0000"/>
      <w:w w:val="120"/>
      <w:sz w:val="16"/>
      <w:szCs w:val="20"/>
      <w:lang w:eastAsia="zh-CN"/>
    </w:rPr>
  </w:style>
  <w:style w:type="paragraph" w:customStyle="1" w:styleId="Table3">
    <w:name w:val="Table 3"/>
    <w:basedOn w:val="Normal"/>
    <w:autoRedefine/>
    <w:rsid w:val="004E4C13"/>
    <w:pPr>
      <w:suppressAutoHyphens w:val="0"/>
      <w:jc w:val="left"/>
    </w:pPr>
    <w:rPr>
      <w:rFonts w:ascii="Arial Narrow" w:eastAsia="Times New Roman" w:hAnsi="Arial Narrow"/>
      <w:color w:val="auto"/>
      <w:sz w:val="18"/>
      <w:szCs w:val="22"/>
      <w:lang w:eastAsia="en-US"/>
    </w:rPr>
  </w:style>
  <w:style w:type="paragraph" w:customStyle="1" w:styleId="Table1">
    <w:name w:val="Table 1"/>
    <w:basedOn w:val="Normal"/>
    <w:link w:val="Table1Char"/>
    <w:autoRedefine/>
    <w:rsid w:val="004E4C13"/>
    <w:pPr>
      <w:suppressAutoHyphens w:val="0"/>
      <w:spacing w:before="20" w:after="20"/>
      <w:jc w:val="left"/>
    </w:pPr>
    <w:rPr>
      <w:rFonts w:ascii="Arial Narrow" w:eastAsia="Times New Roman" w:hAnsi="Arial Narrow"/>
      <w:b/>
      <w:color w:val="FFFFFF"/>
      <w:sz w:val="18"/>
      <w:szCs w:val="20"/>
      <w:lang w:eastAsia="en-US"/>
    </w:rPr>
  </w:style>
  <w:style w:type="character" w:customStyle="1" w:styleId="Table1Char">
    <w:name w:val="Table 1 Char"/>
    <w:link w:val="Table1"/>
    <w:rsid w:val="004E4C13"/>
    <w:rPr>
      <w:rFonts w:ascii="Arial Narrow" w:hAnsi="Arial Narrow"/>
      <w:b/>
      <w:color w:val="FFFFFF"/>
      <w:sz w:val="18"/>
      <w:lang w:eastAsia="en-US"/>
    </w:rPr>
  </w:style>
  <w:style w:type="paragraph" w:customStyle="1" w:styleId="Table2">
    <w:name w:val="Table 2"/>
    <w:basedOn w:val="Normal"/>
    <w:link w:val="Table2Char"/>
    <w:autoRedefine/>
    <w:rsid w:val="004E4C13"/>
    <w:pPr>
      <w:suppressAutoHyphens w:val="0"/>
      <w:ind w:left="284" w:hanging="284"/>
      <w:jc w:val="center"/>
    </w:pPr>
    <w:rPr>
      <w:rFonts w:ascii="Arial Narrow" w:eastAsia="Times New Roman" w:hAnsi="Arial Narrow"/>
      <w:color w:val="auto"/>
      <w:sz w:val="18"/>
      <w:szCs w:val="22"/>
      <w:lang w:eastAsia="en-US"/>
    </w:rPr>
  </w:style>
  <w:style w:type="character" w:customStyle="1" w:styleId="Table2Char">
    <w:name w:val="Table 2 Char"/>
    <w:link w:val="Table2"/>
    <w:rsid w:val="004E4C13"/>
    <w:rPr>
      <w:rFonts w:ascii="Arial Narrow" w:hAnsi="Arial Narrow"/>
      <w:sz w:val="18"/>
      <w:szCs w:val="22"/>
      <w:lang w:eastAsia="en-US"/>
    </w:rPr>
  </w:style>
  <w:style w:type="paragraph" w:customStyle="1" w:styleId="HiddenComment">
    <w:name w:val="Hidden Comment"/>
    <w:basedOn w:val="Normal"/>
    <w:link w:val="HiddenCommentChar"/>
    <w:autoRedefine/>
    <w:rsid w:val="004E4C13"/>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4E4C13"/>
    <w:rPr>
      <w:rFonts w:ascii="Arial Narrow" w:hAnsi="Arial Narrow"/>
      <w:b/>
      <w:vanish/>
      <w:color w:val="FF0000"/>
      <w:sz w:val="16"/>
      <w:szCs w:val="22"/>
      <w:lang w:val="en-US" w:eastAsia="en-US"/>
    </w:rPr>
  </w:style>
  <w:style w:type="paragraph" w:customStyle="1" w:styleId="Normal075cmLeft">
    <w:name w:val="Normal (0.75cm Left)"/>
    <w:basedOn w:val="Normal"/>
    <w:link w:val="Normal075cmLeftChar"/>
    <w:autoRedefine/>
    <w:rsid w:val="004E4C13"/>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4E4C13"/>
    <w:rPr>
      <w:rFonts w:ascii="Arial" w:hAnsi="Arial"/>
      <w:szCs w:val="22"/>
      <w:lang w:val="en-US" w:eastAsia="en-US"/>
    </w:rPr>
  </w:style>
  <w:style w:type="paragraph" w:customStyle="1" w:styleId="Normal150cmLeft5ptBefore">
    <w:name w:val="Normal (1.50cm Left + 5pt Before)"/>
    <w:basedOn w:val="Normal"/>
    <w:link w:val="Normal150cmLeft5ptBeforeCharChar"/>
    <w:autoRedefine/>
    <w:rsid w:val="004E4C13"/>
    <w:pPr>
      <w:suppressAutoHyphens w:val="0"/>
      <w:spacing w:before="100"/>
      <w:ind w:left="851"/>
      <w:jc w:val="left"/>
    </w:pPr>
    <w:rPr>
      <w:rFonts w:eastAsia="Times New Roman"/>
      <w:color w:val="auto"/>
      <w:szCs w:val="22"/>
      <w:lang w:eastAsia="en-US"/>
    </w:rPr>
  </w:style>
  <w:style w:type="character" w:customStyle="1" w:styleId="Normal150cmLeft5ptBeforeCharChar">
    <w:name w:val="Normal (1.50cm Left + 5pt Before) Char Char"/>
    <w:link w:val="Normal150cmLeft5ptBefore"/>
    <w:rsid w:val="004E4C13"/>
    <w:rPr>
      <w:rFonts w:ascii="Arial" w:hAnsi="Arial"/>
      <w:szCs w:val="22"/>
      <w:lang w:eastAsia="en-US"/>
    </w:rPr>
  </w:style>
  <w:style w:type="paragraph" w:customStyle="1" w:styleId="Table21ptBefore1ptAfterBold">
    <w:name w:val="Table 2 (1pt Before + 1pt After + Bold)"/>
    <w:basedOn w:val="Normal"/>
    <w:link w:val="Table21ptBefore1ptAfterBoldCharChar"/>
    <w:autoRedefine/>
    <w:rsid w:val="004E4C13"/>
    <w:pPr>
      <w:suppressAutoHyphens w:val="0"/>
      <w:spacing w:before="20" w:after="20"/>
      <w:jc w:val="center"/>
    </w:pPr>
    <w:rPr>
      <w:rFonts w:ascii="Arial Narrow" w:eastAsia="Times New Roman" w:hAnsi="Arial Narrow"/>
      <w:b/>
      <w:color w:val="auto"/>
      <w:sz w:val="18"/>
      <w:szCs w:val="22"/>
      <w:lang w:eastAsia="en-US"/>
    </w:rPr>
  </w:style>
  <w:style w:type="character" w:customStyle="1" w:styleId="Table21ptBefore1ptAfterBoldCharChar">
    <w:name w:val="Table 2 (1pt Before + 1pt After + Bold) Char Char"/>
    <w:link w:val="Table21ptBefore1ptAfterBold"/>
    <w:rsid w:val="004E4C13"/>
    <w:rPr>
      <w:rFonts w:ascii="Arial Narrow" w:hAnsi="Arial Narrow"/>
      <w:b/>
      <w:sz w:val="18"/>
      <w:szCs w:val="22"/>
      <w:lang w:eastAsia="en-US"/>
    </w:rPr>
  </w:style>
  <w:style w:type="paragraph" w:customStyle="1" w:styleId="Table31ptBefore1ptAfterBold">
    <w:name w:val="Table 3 (1pt Before + 1pt After + Bold)"/>
    <w:basedOn w:val="Normal"/>
    <w:autoRedefine/>
    <w:rsid w:val="004E4C13"/>
    <w:pPr>
      <w:suppressAutoHyphens w:val="0"/>
      <w:spacing w:before="20" w:after="20"/>
      <w:jc w:val="left"/>
    </w:pPr>
    <w:rPr>
      <w:rFonts w:ascii="Arial Narrow" w:eastAsia="Times New Roman" w:hAnsi="Arial Narrow"/>
      <w:b/>
      <w:color w:val="auto"/>
      <w:sz w:val="18"/>
      <w:szCs w:val="20"/>
      <w:lang w:eastAsia="en-US"/>
    </w:rPr>
  </w:style>
  <w:style w:type="paragraph" w:customStyle="1" w:styleId="Table41ptBefore1ptAfterBold">
    <w:name w:val="Table 4 (1pt Before + 1pt After +Bold)"/>
    <w:basedOn w:val="Normal"/>
    <w:autoRedefine/>
    <w:rsid w:val="004E4C13"/>
    <w:pPr>
      <w:suppressAutoHyphens w:val="0"/>
      <w:spacing w:before="20" w:after="20"/>
      <w:jc w:val="right"/>
    </w:pPr>
    <w:rPr>
      <w:rFonts w:ascii="Arial Narrow" w:eastAsia="Times New Roman" w:hAnsi="Arial Narrow"/>
      <w:b/>
      <w:color w:val="auto"/>
      <w:sz w:val="18"/>
      <w:szCs w:val="20"/>
      <w:lang w:eastAsia="en-US"/>
    </w:rPr>
  </w:style>
  <w:style w:type="paragraph" w:customStyle="1" w:styleId="Table1Centered">
    <w:name w:val="Table 1 (Centered)"/>
    <w:basedOn w:val="Normal"/>
    <w:autoRedefine/>
    <w:rsid w:val="004E4C13"/>
    <w:pPr>
      <w:suppressAutoHyphens w:val="0"/>
      <w:spacing w:before="40" w:after="40"/>
      <w:jc w:val="center"/>
    </w:pPr>
    <w:rPr>
      <w:rFonts w:ascii="Arial Narrow" w:eastAsia="Times New Roman" w:hAnsi="Arial Narrow"/>
      <w:b/>
      <w:color w:val="FFFFFF"/>
      <w:sz w:val="18"/>
      <w:szCs w:val="20"/>
      <w:lang w:eastAsia="en-US"/>
    </w:rPr>
  </w:style>
  <w:style w:type="paragraph" w:customStyle="1" w:styleId="Bullet075cmLeft5ptBefore">
    <w:name w:val="Bullet (0.75cm Left + 5pt Before)"/>
    <w:basedOn w:val="Normal"/>
    <w:link w:val="Bullet075cmLeft5ptBeforeCharChar"/>
    <w:autoRedefine/>
    <w:qFormat/>
    <w:rsid w:val="004E4C13"/>
    <w:pPr>
      <w:tabs>
        <w:tab w:val="left" w:pos="851"/>
      </w:tabs>
      <w:suppressAutoHyphens w:val="0"/>
      <w:spacing w:before="100"/>
      <w:ind w:left="850" w:hanging="425"/>
      <w:jc w:val="left"/>
    </w:pPr>
    <w:rPr>
      <w:rFonts w:eastAsia="Times New Roman"/>
      <w:color w:val="auto"/>
      <w:szCs w:val="22"/>
      <w:lang w:eastAsia="en-US"/>
    </w:rPr>
  </w:style>
  <w:style w:type="character" w:customStyle="1" w:styleId="Bullet075cmLeft5ptBeforeCharChar">
    <w:name w:val="Bullet (0.75cm Left + 5pt Before) Char Char"/>
    <w:link w:val="Bullet075cmLeft5ptBefore"/>
    <w:rsid w:val="004E4C13"/>
    <w:rPr>
      <w:rFonts w:ascii="Arial" w:hAnsi="Arial"/>
      <w:szCs w:val="22"/>
      <w:lang w:eastAsia="en-US"/>
    </w:rPr>
  </w:style>
  <w:style w:type="paragraph" w:customStyle="1" w:styleId="Normal075cmLeft5ptBefore">
    <w:name w:val="Normal (0.75cm Left + 5pt Before)"/>
    <w:basedOn w:val="Normal"/>
    <w:autoRedefine/>
    <w:rsid w:val="004E4C13"/>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4E4C13"/>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EF6C86"/>
    <w:pPr>
      <w:tabs>
        <w:tab w:val="left" w:pos="1276"/>
      </w:tabs>
      <w:suppressAutoHyphens w:val="0"/>
      <w:spacing w:before="100"/>
      <w:jc w:val="left"/>
    </w:pPr>
    <w:rPr>
      <w:rFonts w:eastAsia="Times New Roman"/>
      <w:color w:val="auto"/>
      <w:szCs w:val="22"/>
      <w:lang w:eastAsia="en-US"/>
    </w:rPr>
  </w:style>
  <w:style w:type="character" w:customStyle="1" w:styleId="Bullet150cmLeft5ptBeforeChar">
    <w:name w:val="Bullet (1.50cm Left + 5pt Before) Char"/>
    <w:link w:val="Bullet150cmLeft5ptBefore"/>
    <w:rsid w:val="00EF6C86"/>
    <w:rPr>
      <w:rFonts w:ascii="Calibri" w:hAnsi="Calibri"/>
      <w:szCs w:val="22"/>
      <w:lang w:eastAsia="en-US"/>
    </w:rPr>
  </w:style>
  <w:style w:type="character" w:customStyle="1" w:styleId="WBCBodyText3Char">
    <w:name w:val="WBC Body Text3 Char"/>
    <w:link w:val="WBCBodyText3"/>
    <w:uiPriority w:val="99"/>
    <w:locked/>
    <w:rsid w:val="004E4C13"/>
    <w:rPr>
      <w:rFonts w:ascii="Arial" w:hAnsi="Arial" w:cs="Arial"/>
    </w:rPr>
  </w:style>
  <w:style w:type="paragraph" w:customStyle="1" w:styleId="WBCBodyText3">
    <w:name w:val="WBC Body Text3"/>
    <w:basedOn w:val="Normal"/>
    <w:link w:val="WBCBodyText3Char"/>
    <w:uiPriority w:val="99"/>
    <w:qFormat/>
    <w:rsid w:val="004E4C13"/>
    <w:pPr>
      <w:suppressAutoHyphens w:val="0"/>
      <w:spacing w:after="200"/>
      <w:ind w:left="180"/>
      <w:jc w:val="left"/>
    </w:pPr>
    <w:rPr>
      <w:rFonts w:eastAsia="Times New Roman" w:cs="Arial"/>
      <w:color w:val="auto"/>
      <w:szCs w:val="20"/>
      <w:lang w:eastAsia="en-AU"/>
    </w:rPr>
  </w:style>
  <w:style w:type="paragraph" w:customStyle="1" w:styleId="InterPracBullet1">
    <w:name w:val="InterPrac Bullet 1"/>
    <w:basedOn w:val="Normal"/>
    <w:link w:val="InterPracBullet1Char"/>
    <w:autoRedefine/>
    <w:qFormat/>
    <w:rsid w:val="001B7654"/>
    <w:pPr>
      <w:tabs>
        <w:tab w:val="left" w:pos="425"/>
      </w:tabs>
      <w:suppressAutoHyphens w:val="0"/>
      <w:spacing w:before="100"/>
      <w:jc w:val="left"/>
    </w:pPr>
    <w:rPr>
      <w:rFonts w:eastAsia="SimSun"/>
      <w:b/>
      <w:color w:val="auto"/>
      <w:szCs w:val="22"/>
      <w:lang w:val="x-none" w:eastAsia="x-none"/>
    </w:rPr>
  </w:style>
  <w:style w:type="character" w:customStyle="1" w:styleId="InterPracBullet1Char">
    <w:name w:val="InterPrac Bullet 1 Char"/>
    <w:link w:val="InterPracBullet1"/>
    <w:rsid w:val="001B7654"/>
    <w:rPr>
      <w:rFonts w:ascii="Calibri" w:eastAsia="SimSun" w:hAnsi="Calibri"/>
      <w:b/>
      <w:szCs w:val="22"/>
      <w:lang w:val="x-none" w:eastAsia="x-none"/>
    </w:rPr>
  </w:style>
  <w:style w:type="paragraph" w:customStyle="1" w:styleId="NormalBoldItalic">
    <w:name w:val="Normal (Bold + Italic"/>
    <w:basedOn w:val="Normal"/>
    <w:autoRedefine/>
    <w:qFormat/>
    <w:rsid w:val="0060576E"/>
    <w:rPr>
      <w:b/>
      <w:i/>
    </w:rPr>
  </w:style>
  <w:style w:type="paragraph" w:customStyle="1" w:styleId="InterPracBullet2">
    <w:name w:val="InterPrac Bullet 2"/>
    <w:basedOn w:val="InterPracBullet1"/>
    <w:link w:val="InterPracBullet2Char"/>
    <w:autoRedefine/>
    <w:qFormat/>
    <w:rsid w:val="004D02E6"/>
    <w:pPr>
      <w:numPr>
        <w:numId w:val="50"/>
      </w:numPr>
      <w:tabs>
        <w:tab w:val="clear" w:pos="425"/>
        <w:tab w:val="left" w:pos="851"/>
      </w:tabs>
      <w:suppressAutoHyphens/>
      <w:snapToGrid w:val="0"/>
      <w:jc w:val="both"/>
    </w:pPr>
  </w:style>
  <w:style w:type="paragraph" w:customStyle="1" w:styleId="InterPracBullet1Red">
    <w:name w:val="InterPrac Bullet 1 (Red)"/>
    <w:basedOn w:val="InterPracBullet1"/>
    <w:autoRedefine/>
    <w:qFormat/>
    <w:rsid w:val="00D2432D"/>
    <w:rPr>
      <w:color w:val="FF0000"/>
    </w:rPr>
  </w:style>
  <w:style w:type="paragraph" w:customStyle="1" w:styleId="InterPracBullet2red">
    <w:name w:val="InterPrac Bullet 2 (red)"/>
    <w:basedOn w:val="InterPracBullet2"/>
    <w:autoRedefine/>
    <w:qFormat/>
    <w:rsid w:val="00D2432D"/>
    <w:rPr>
      <w:color w:val="FF0000"/>
    </w:rPr>
  </w:style>
  <w:style w:type="paragraph" w:customStyle="1" w:styleId="InterPracBullet">
    <w:name w:val="InterPrac Bullet"/>
    <w:basedOn w:val="Normal"/>
    <w:link w:val="InterPracBulletChar"/>
    <w:autoRedefine/>
    <w:qFormat/>
    <w:rsid w:val="00DC7765"/>
    <w:pPr>
      <w:tabs>
        <w:tab w:val="left" w:pos="322"/>
      </w:tabs>
      <w:suppressAutoHyphens w:val="0"/>
      <w:spacing w:before="100"/>
    </w:pPr>
    <w:rPr>
      <w:rFonts w:eastAsia="SimSun"/>
      <w:color w:val="7030A0"/>
      <w:szCs w:val="22"/>
      <w:lang w:val="x-none" w:eastAsia="x-none"/>
    </w:rPr>
  </w:style>
  <w:style w:type="character" w:customStyle="1" w:styleId="InterPracBulletChar">
    <w:name w:val="InterPrac Bullet Char"/>
    <w:link w:val="InterPracBullet"/>
    <w:rsid w:val="00DC7765"/>
    <w:rPr>
      <w:rFonts w:ascii="Calibri" w:eastAsia="SimSun" w:hAnsi="Calibri"/>
      <w:color w:val="7030A0"/>
      <w:szCs w:val="22"/>
      <w:lang w:val="x-none" w:eastAsia="x-none"/>
    </w:rPr>
  </w:style>
  <w:style w:type="character" w:customStyle="1" w:styleId="InterPracBullet2Char">
    <w:name w:val="InterPrac Bullet 2 Char"/>
    <w:link w:val="InterPracBullet2"/>
    <w:rsid w:val="004D02E6"/>
    <w:rPr>
      <w:rFonts w:ascii="Calibri" w:eastAsia="SimSun" w:hAnsi="Calibri"/>
      <w:b/>
      <w:szCs w:val="22"/>
      <w:lang w:val="x-none" w:eastAsia="x-none"/>
    </w:rPr>
  </w:style>
  <w:style w:type="paragraph" w:customStyle="1" w:styleId="Pa1">
    <w:name w:val="Pa1"/>
    <w:basedOn w:val="Normal"/>
    <w:next w:val="Normal"/>
    <w:rsid w:val="00EB705F"/>
    <w:pPr>
      <w:suppressAutoHyphens w:val="0"/>
      <w:autoSpaceDE w:val="0"/>
      <w:autoSpaceDN w:val="0"/>
      <w:adjustRightInd w:val="0"/>
      <w:spacing w:line="180" w:lineRule="atLeast"/>
      <w:jc w:val="left"/>
    </w:pPr>
    <w:rPr>
      <w:rFonts w:ascii="Helvetica 45 Light" w:eastAsia="Times New Roman" w:hAnsi="Helvetica 45 Light"/>
      <w:color w:val="auto"/>
      <w:sz w:val="24"/>
      <w:lang w:eastAsia="en-AU"/>
    </w:rPr>
  </w:style>
  <w:style w:type="character" w:customStyle="1" w:styleId="Heading6Char">
    <w:name w:val="Heading 6 Char"/>
    <w:link w:val="Heading6"/>
    <w:rsid w:val="003B0B14"/>
    <w:rPr>
      <w:rFonts w:ascii="Arial" w:eastAsia="SimSun" w:hAnsi="Arial" w:cs="Arial"/>
      <w:b/>
      <w:bCs/>
      <w:lang w:val="en-US" w:eastAsia="en-US" w:bidi="en-US"/>
    </w:rPr>
  </w:style>
  <w:style w:type="character" w:customStyle="1" w:styleId="Heading7Char">
    <w:name w:val="Heading 7 Char"/>
    <w:link w:val="Heading7"/>
    <w:rsid w:val="003B0B14"/>
    <w:rPr>
      <w:rFonts w:ascii="Arial" w:eastAsia="SimSun" w:hAnsi="Arial" w:cs="Arial"/>
      <w:szCs w:val="24"/>
      <w:lang w:val="en-US" w:eastAsia="en-US" w:bidi="en-US"/>
    </w:rPr>
  </w:style>
  <w:style w:type="character" w:customStyle="1" w:styleId="Heading8Char">
    <w:name w:val="Heading 8 Char"/>
    <w:link w:val="Heading8"/>
    <w:rsid w:val="003B0B14"/>
    <w:rPr>
      <w:rFonts w:ascii="Arial" w:eastAsia="SimSun" w:hAnsi="Arial" w:cs="Arial"/>
      <w:i/>
      <w:iCs/>
      <w:szCs w:val="24"/>
      <w:lang w:val="en-US" w:eastAsia="en-US" w:bidi="en-US"/>
    </w:rPr>
  </w:style>
  <w:style w:type="character" w:customStyle="1" w:styleId="Heading9Char">
    <w:name w:val="Heading 9 Char"/>
    <w:link w:val="Heading9"/>
    <w:rsid w:val="003B0B14"/>
    <w:rPr>
      <w:rFonts w:ascii="Cambria" w:eastAsia="SimSun" w:hAnsi="Cambria" w:cs="Arial"/>
      <w:lang w:val="en-US" w:eastAsia="en-US" w:bidi="en-US"/>
    </w:rPr>
  </w:style>
  <w:style w:type="paragraph" w:styleId="Caption">
    <w:name w:val="caption"/>
    <w:basedOn w:val="Normal"/>
    <w:qFormat/>
    <w:rsid w:val="003B0B14"/>
    <w:pPr>
      <w:suppressLineNumbers/>
      <w:spacing w:before="120" w:after="120"/>
      <w:jc w:val="left"/>
    </w:pPr>
    <w:rPr>
      <w:rFonts w:ascii="Arial" w:eastAsia="SimSun" w:hAnsi="Arial" w:cs="Tahoma"/>
      <w:i/>
      <w:iCs/>
      <w:color w:val="auto"/>
      <w:sz w:val="24"/>
      <w:lang w:val="en-US" w:eastAsia="en-US" w:bidi="en-US"/>
    </w:rPr>
  </w:style>
  <w:style w:type="character" w:customStyle="1" w:styleId="apple-converted-space">
    <w:name w:val="apple-converted-space"/>
    <w:rsid w:val="00084A41"/>
  </w:style>
  <w:style w:type="character" w:customStyle="1" w:styleId="UnresolvedMention1">
    <w:name w:val="Unresolved Mention1"/>
    <w:basedOn w:val="DefaultParagraphFont"/>
    <w:uiPriority w:val="99"/>
    <w:semiHidden/>
    <w:unhideWhenUsed/>
    <w:rsid w:val="00E161F9"/>
    <w:rPr>
      <w:color w:val="808080"/>
      <w:shd w:val="clear" w:color="auto" w:fill="E6E6E6"/>
    </w:rPr>
  </w:style>
  <w:style w:type="paragraph" w:customStyle="1" w:styleId="BulletPointNormal">
    <w:name w:val="Bullet Point Normal"/>
    <w:basedOn w:val="Normal"/>
    <w:rsid w:val="002F74F5"/>
    <w:pPr>
      <w:widowControl w:val="0"/>
      <w:numPr>
        <w:numId w:val="71"/>
      </w:numPr>
      <w:suppressAutoHyphens w:val="0"/>
      <w:spacing w:after="60"/>
      <w:jc w:val="left"/>
    </w:pPr>
    <w:rPr>
      <w:rFonts w:ascii="Arial" w:eastAsia="Times New Roman" w:hAnsi="Arial"/>
      <w:bCs/>
      <w:color w:val="auto"/>
      <w:szCs w:val="20"/>
      <w:lang w:eastAsia="en-US"/>
    </w:rPr>
  </w:style>
  <w:style w:type="character" w:customStyle="1" w:styleId="NoSpacingChar">
    <w:name w:val="No Spacing Char"/>
    <w:aliases w:val="Bold normal Char"/>
    <w:basedOn w:val="DefaultParagraphFont"/>
    <w:link w:val="NoSpacing"/>
    <w:uiPriority w:val="1"/>
    <w:rsid w:val="002F74F5"/>
    <w:rPr>
      <w:rFonts w:ascii="Arial" w:eastAsia="MS Mincho" w:hAnsi="Arial"/>
      <w:color w:val="000000"/>
      <w:szCs w:val="24"/>
      <w:lang w:val="en-NZ" w:eastAsia="ar-SA"/>
    </w:rPr>
  </w:style>
  <w:style w:type="character" w:customStyle="1" w:styleId="TblTxtChar">
    <w:name w:val="TblTxt Char"/>
    <w:basedOn w:val="DefaultParagraphFont"/>
    <w:link w:val="TblTxt"/>
    <w:locked/>
    <w:rsid w:val="000450F4"/>
    <w:rPr>
      <w:rFonts w:ascii="Arial" w:hAnsi="Arial" w:cs="Arial"/>
      <w:spacing w:val="-2"/>
    </w:rPr>
  </w:style>
  <w:style w:type="paragraph" w:customStyle="1" w:styleId="TblTxt">
    <w:name w:val="TblTxt"/>
    <w:basedOn w:val="Normal"/>
    <w:link w:val="TblTxtChar"/>
    <w:qFormat/>
    <w:rsid w:val="000450F4"/>
    <w:pPr>
      <w:suppressAutoHyphens w:val="0"/>
      <w:spacing w:before="60" w:after="60"/>
      <w:jc w:val="left"/>
    </w:pPr>
    <w:rPr>
      <w:rFonts w:ascii="Arial" w:eastAsia="Times New Roman" w:hAnsi="Arial" w:cs="Arial"/>
      <w:color w:val="auto"/>
      <w:spacing w:val="-2"/>
      <w:szCs w:val="20"/>
      <w:lang w:eastAsia="en-AU"/>
    </w:rPr>
  </w:style>
  <w:style w:type="character" w:styleId="UnresolvedMention">
    <w:name w:val="Unresolved Mention"/>
    <w:basedOn w:val="DefaultParagraphFont"/>
    <w:uiPriority w:val="99"/>
    <w:semiHidden/>
    <w:unhideWhenUsed/>
    <w:rsid w:val="003F2CD8"/>
    <w:rPr>
      <w:color w:val="605E5C"/>
      <w:shd w:val="clear" w:color="auto" w:fill="E1DFDD"/>
    </w:rPr>
  </w:style>
  <w:style w:type="character" w:customStyle="1" w:styleId="ListParagraphChar">
    <w:name w:val="List Paragraph Char"/>
    <w:basedOn w:val="DefaultParagraphFont"/>
    <w:link w:val="ListParagraph"/>
    <w:uiPriority w:val="34"/>
    <w:locked/>
    <w:rsid w:val="008435F8"/>
    <w:rPr>
      <w:rFonts w:ascii="Calibri" w:eastAsia="MS Mincho" w:hAnsi="Calibri"/>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871">
      <w:bodyDiv w:val="1"/>
      <w:marLeft w:val="0"/>
      <w:marRight w:val="0"/>
      <w:marTop w:val="0"/>
      <w:marBottom w:val="0"/>
      <w:divBdr>
        <w:top w:val="none" w:sz="0" w:space="0" w:color="auto"/>
        <w:left w:val="none" w:sz="0" w:space="0" w:color="auto"/>
        <w:bottom w:val="none" w:sz="0" w:space="0" w:color="auto"/>
        <w:right w:val="none" w:sz="0" w:space="0" w:color="auto"/>
      </w:divBdr>
      <w:divsChild>
        <w:div w:id="1662926465">
          <w:marLeft w:val="0"/>
          <w:marRight w:val="0"/>
          <w:marTop w:val="0"/>
          <w:marBottom w:val="0"/>
          <w:divBdr>
            <w:top w:val="none" w:sz="0" w:space="0" w:color="auto"/>
            <w:left w:val="none" w:sz="0" w:space="0" w:color="auto"/>
            <w:bottom w:val="none" w:sz="0" w:space="0" w:color="auto"/>
            <w:right w:val="none" w:sz="0" w:space="0" w:color="auto"/>
          </w:divBdr>
        </w:div>
      </w:divsChild>
    </w:div>
    <w:div w:id="20059581">
      <w:bodyDiv w:val="1"/>
      <w:marLeft w:val="0"/>
      <w:marRight w:val="0"/>
      <w:marTop w:val="0"/>
      <w:marBottom w:val="0"/>
      <w:divBdr>
        <w:top w:val="none" w:sz="0" w:space="0" w:color="auto"/>
        <w:left w:val="none" w:sz="0" w:space="0" w:color="auto"/>
        <w:bottom w:val="none" w:sz="0" w:space="0" w:color="auto"/>
        <w:right w:val="none" w:sz="0" w:space="0" w:color="auto"/>
      </w:divBdr>
    </w:div>
    <w:div w:id="30346876">
      <w:bodyDiv w:val="1"/>
      <w:marLeft w:val="0"/>
      <w:marRight w:val="0"/>
      <w:marTop w:val="0"/>
      <w:marBottom w:val="0"/>
      <w:divBdr>
        <w:top w:val="none" w:sz="0" w:space="0" w:color="auto"/>
        <w:left w:val="none" w:sz="0" w:space="0" w:color="auto"/>
        <w:bottom w:val="none" w:sz="0" w:space="0" w:color="auto"/>
        <w:right w:val="none" w:sz="0" w:space="0" w:color="auto"/>
      </w:divBdr>
      <w:divsChild>
        <w:div w:id="4135418">
          <w:marLeft w:val="0"/>
          <w:marRight w:val="0"/>
          <w:marTop w:val="0"/>
          <w:marBottom w:val="0"/>
          <w:divBdr>
            <w:top w:val="none" w:sz="0" w:space="0" w:color="auto"/>
            <w:left w:val="none" w:sz="0" w:space="0" w:color="auto"/>
            <w:bottom w:val="none" w:sz="0" w:space="0" w:color="auto"/>
            <w:right w:val="none" w:sz="0" w:space="0" w:color="auto"/>
          </w:divBdr>
        </w:div>
        <w:div w:id="300962656">
          <w:marLeft w:val="0"/>
          <w:marRight w:val="0"/>
          <w:marTop w:val="0"/>
          <w:marBottom w:val="0"/>
          <w:divBdr>
            <w:top w:val="none" w:sz="0" w:space="0" w:color="auto"/>
            <w:left w:val="none" w:sz="0" w:space="0" w:color="auto"/>
            <w:bottom w:val="none" w:sz="0" w:space="0" w:color="auto"/>
            <w:right w:val="none" w:sz="0" w:space="0" w:color="auto"/>
          </w:divBdr>
        </w:div>
        <w:div w:id="314649299">
          <w:marLeft w:val="0"/>
          <w:marRight w:val="0"/>
          <w:marTop w:val="0"/>
          <w:marBottom w:val="0"/>
          <w:divBdr>
            <w:top w:val="none" w:sz="0" w:space="0" w:color="auto"/>
            <w:left w:val="none" w:sz="0" w:space="0" w:color="auto"/>
            <w:bottom w:val="none" w:sz="0" w:space="0" w:color="auto"/>
            <w:right w:val="none" w:sz="0" w:space="0" w:color="auto"/>
          </w:divBdr>
        </w:div>
        <w:div w:id="433791827">
          <w:marLeft w:val="0"/>
          <w:marRight w:val="0"/>
          <w:marTop w:val="0"/>
          <w:marBottom w:val="0"/>
          <w:divBdr>
            <w:top w:val="none" w:sz="0" w:space="0" w:color="auto"/>
            <w:left w:val="none" w:sz="0" w:space="0" w:color="auto"/>
            <w:bottom w:val="none" w:sz="0" w:space="0" w:color="auto"/>
            <w:right w:val="none" w:sz="0" w:space="0" w:color="auto"/>
          </w:divBdr>
        </w:div>
        <w:div w:id="711811498">
          <w:marLeft w:val="0"/>
          <w:marRight w:val="0"/>
          <w:marTop w:val="0"/>
          <w:marBottom w:val="0"/>
          <w:divBdr>
            <w:top w:val="none" w:sz="0" w:space="0" w:color="auto"/>
            <w:left w:val="none" w:sz="0" w:space="0" w:color="auto"/>
            <w:bottom w:val="none" w:sz="0" w:space="0" w:color="auto"/>
            <w:right w:val="none" w:sz="0" w:space="0" w:color="auto"/>
          </w:divBdr>
        </w:div>
        <w:div w:id="966005584">
          <w:marLeft w:val="0"/>
          <w:marRight w:val="0"/>
          <w:marTop w:val="0"/>
          <w:marBottom w:val="0"/>
          <w:divBdr>
            <w:top w:val="none" w:sz="0" w:space="0" w:color="auto"/>
            <w:left w:val="none" w:sz="0" w:space="0" w:color="auto"/>
            <w:bottom w:val="none" w:sz="0" w:space="0" w:color="auto"/>
            <w:right w:val="none" w:sz="0" w:space="0" w:color="auto"/>
          </w:divBdr>
        </w:div>
        <w:div w:id="976449357">
          <w:marLeft w:val="0"/>
          <w:marRight w:val="0"/>
          <w:marTop w:val="0"/>
          <w:marBottom w:val="0"/>
          <w:divBdr>
            <w:top w:val="none" w:sz="0" w:space="0" w:color="auto"/>
            <w:left w:val="none" w:sz="0" w:space="0" w:color="auto"/>
            <w:bottom w:val="none" w:sz="0" w:space="0" w:color="auto"/>
            <w:right w:val="none" w:sz="0" w:space="0" w:color="auto"/>
          </w:divBdr>
        </w:div>
        <w:div w:id="1708993049">
          <w:marLeft w:val="0"/>
          <w:marRight w:val="0"/>
          <w:marTop w:val="0"/>
          <w:marBottom w:val="0"/>
          <w:divBdr>
            <w:top w:val="none" w:sz="0" w:space="0" w:color="auto"/>
            <w:left w:val="none" w:sz="0" w:space="0" w:color="auto"/>
            <w:bottom w:val="none" w:sz="0" w:space="0" w:color="auto"/>
            <w:right w:val="none" w:sz="0" w:space="0" w:color="auto"/>
          </w:divBdr>
        </w:div>
        <w:div w:id="1742210656">
          <w:marLeft w:val="0"/>
          <w:marRight w:val="0"/>
          <w:marTop w:val="0"/>
          <w:marBottom w:val="0"/>
          <w:divBdr>
            <w:top w:val="none" w:sz="0" w:space="0" w:color="auto"/>
            <w:left w:val="none" w:sz="0" w:space="0" w:color="auto"/>
            <w:bottom w:val="none" w:sz="0" w:space="0" w:color="auto"/>
            <w:right w:val="none" w:sz="0" w:space="0" w:color="auto"/>
          </w:divBdr>
        </w:div>
        <w:div w:id="2089647476">
          <w:marLeft w:val="0"/>
          <w:marRight w:val="0"/>
          <w:marTop w:val="0"/>
          <w:marBottom w:val="0"/>
          <w:divBdr>
            <w:top w:val="none" w:sz="0" w:space="0" w:color="auto"/>
            <w:left w:val="none" w:sz="0" w:space="0" w:color="auto"/>
            <w:bottom w:val="none" w:sz="0" w:space="0" w:color="auto"/>
            <w:right w:val="none" w:sz="0" w:space="0" w:color="auto"/>
          </w:divBdr>
        </w:div>
      </w:divsChild>
    </w:div>
    <w:div w:id="31269838">
      <w:bodyDiv w:val="1"/>
      <w:marLeft w:val="0"/>
      <w:marRight w:val="0"/>
      <w:marTop w:val="0"/>
      <w:marBottom w:val="0"/>
      <w:divBdr>
        <w:top w:val="none" w:sz="0" w:space="0" w:color="auto"/>
        <w:left w:val="none" w:sz="0" w:space="0" w:color="auto"/>
        <w:bottom w:val="none" w:sz="0" w:space="0" w:color="auto"/>
        <w:right w:val="none" w:sz="0" w:space="0" w:color="auto"/>
      </w:divBdr>
    </w:div>
    <w:div w:id="36857960">
      <w:bodyDiv w:val="1"/>
      <w:marLeft w:val="0"/>
      <w:marRight w:val="0"/>
      <w:marTop w:val="0"/>
      <w:marBottom w:val="0"/>
      <w:divBdr>
        <w:top w:val="none" w:sz="0" w:space="0" w:color="auto"/>
        <w:left w:val="none" w:sz="0" w:space="0" w:color="auto"/>
        <w:bottom w:val="none" w:sz="0" w:space="0" w:color="auto"/>
        <w:right w:val="none" w:sz="0" w:space="0" w:color="auto"/>
      </w:divBdr>
    </w:div>
    <w:div w:id="52194602">
      <w:bodyDiv w:val="1"/>
      <w:marLeft w:val="0"/>
      <w:marRight w:val="0"/>
      <w:marTop w:val="0"/>
      <w:marBottom w:val="0"/>
      <w:divBdr>
        <w:top w:val="none" w:sz="0" w:space="0" w:color="auto"/>
        <w:left w:val="none" w:sz="0" w:space="0" w:color="auto"/>
        <w:bottom w:val="none" w:sz="0" w:space="0" w:color="auto"/>
        <w:right w:val="none" w:sz="0" w:space="0" w:color="auto"/>
      </w:divBdr>
    </w:div>
    <w:div w:id="100347487">
      <w:bodyDiv w:val="1"/>
      <w:marLeft w:val="0"/>
      <w:marRight w:val="0"/>
      <w:marTop w:val="0"/>
      <w:marBottom w:val="0"/>
      <w:divBdr>
        <w:top w:val="none" w:sz="0" w:space="0" w:color="auto"/>
        <w:left w:val="none" w:sz="0" w:space="0" w:color="auto"/>
        <w:bottom w:val="none" w:sz="0" w:space="0" w:color="auto"/>
        <w:right w:val="none" w:sz="0" w:space="0" w:color="auto"/>
      </w:divBdr>
    </w:div>
    <w:div w:id="105194849">
      <w:bodyDiv w:val="1"/>
      <w:marLeft w:val="0"/>
      <w:marRight w:val="0"/>
      <w:marTop w:val="0"/>
      <w:marBottom w:val="0"/>
      <w:divBdr>
        <w:top w:val="none" w:sz="0" w:space="0" w:color="auto"/>
        <w:left w:val="none" w:sz="0" w:space="0" w:color="auto"/>
        <w:bottom w:val="none" w:sz="0" w:space="0" w:color="auto"/>
        <w:right w:val="none" w:sz="0" w:space="0" w:color="auto"/>
      </w:divBdr>
    </w:div>
    <w:div w:id="142162351">
      <w:bodyDiv w:val="1"/>
      <w:marLeft w:val="0"/>
      <w:marRight w:val="0"/>
      <w:marTop w:val="0"/>
      <w:marBottom w:val="0"/>
      <w:divBdr>
        <w:top w:val="none" w:sz="0" w:space="0" w:color="auto"/>
        <w:left w:val="none" w:sz="0" w:space="0" w:color="auto"/>
        <w:bottom w:val="none" w:sz="0" w:space="0" w:color="auto"/>
        <w:right w:val="none" w:sz="0" w:space="0" w:color="auto"/>
      </w:divBdr>
      <w:divsChild>
        <w:div w:id="1915814088">
          <w:marLeft w:val="0"/>
          <w:marRight w:val="0"/>
          <w:marTop w:val="0"/>
          <w:marBottom w:val="0"/>
          <w:divBdr>
            <w:top w:val="none" w:sz="0" w:space="0" w:color="auto"/>
            <w:left w:val="none" w:sz="0" w:space="0" w:color="auto"/>
            <w:bottom w:val="none" w:sz="0" w:space="0" w:color="auto"/>
            <w:right w:val="none" w:sz="0" w:space="0" w:color="auto"/>
          </w:divBdr>
          <w:divsChild>
            <w:div w:id="1866401375">
              <w:marLeft w:val="0"/>
              <w:marRight w:val="0"/>
              <w:marTop w:val="0"/>
              <w:marBottom w:val="0"/>
              <w:divBdr>
                <w:top w:val="none" w:sz="0" w:space="0" w:color="auto"/>
                <w:left w:val="none" w:sz="0" w:space="0" w:color="auto"/>
                <w:bottom w:val="none" w:sz="0" w:space="0" w:color="auto"/>
                <w:right w:val="none" w:sz="0" w:space="0" w:color="auto"/>
              </w:divBdr>
              <w:divsChild>
                <w:div w:id="253636115">
                  <w:marLeft w:val="0"/>
                  <w:marRight w:val="0"/>
                  <w:marTop w:val="0"/>
                  <w:marBottom w:val="0"/>
                  <w:divBdr>
                    <w:top w:val="none" w:sz="0" w:space="0" w:color="auto"/>
                    <w:left w:val="none" w:sz="0" w:space="0" w:color="auto"/>
                    <w:bottom w:val="none" w:sz="0" w:space="0" w:color="auto"/>
                    <w:right w:val="none" w:sz="0" w:space="0" w:color="auto"/>
                  </w:divBdr>
                </w:div>
                <w:div w:id="440417390">
                  <w:marLeft w:val="0"/>
                  <w:marRight w:val="0"/>
                  <w:marTop w:val="0"/>
                  <w:marBottom w:val="0"/>
                  <w:divBdr>
                    <w:top w:val="none" w:sz="0" w:space="0" w:color="auto"/>
                    <w:left w:val="none" w:sz="0" w:space="0" w:color="auto"/>
                    <w:bottom w:val="none" w:sz="0" w:space="0" w:color="auto"/>
                    <w:right w:val="none" w:sz="0" w:space="0" w:color="auto"/>
                  </w:divBdr>
                </w:div>
                <w:div w:id="593823713">
                  <w:marLeft w:val="0"/>
                  <w:marRight w:val="0"/>
                  <w:marTop w:val="0"/>
                  <w:marBottom w:val="0"/>
                  <w:divBdr>
                    <w:top w:val="none" w:sz="0" w:space="0" w:color="auto"/>
                    <w:left w:val="none" w:sz="0" w:space="0" w:color="auto"/>
                    <w:bottom w:val="none" w:sz="0" w:space="0" w:color="auto"/>
                    <w:right w:val="none" w:sz="0" w:space="0" w:color="auto"/>
                  </w:divBdr>
                </w:div>
                <w:div w:id="1255628454">
                  <w:marLeft w:val="0"/>
                  <w:marRight w:val="0"/>
                  <w:marTop w:val="0"/>
                  <w:marBottom w:val="0"/>
                  <w:divBdr>
                    <w:top w:val="none" w:sz="0" w:space="0" w:color="auto"/>
                    <w:left w:val="none" w:sz="0" w:space="0" w:color="auto"/>
                    <w:bottom w:val="none" w:sz="0" w:space="0" w:color="auto"/>
                    <w:right w:val="none" w:sz="0" w:space="0" w:color="auto"/>
                  </w:divBdr>
                </w:div>
                <w:div w:id="1513838875">
                  <w:marLeft w:val="0"/>
                  <w:marRight w:val="0"/>
                  <w:marTop w:val="0"/>
                  <w:marBottom w:val="0"/>
                  <w:divBdr>
                    <w:top w:val="none" w:sz="0" w:space="0" w:color="auto"/>
                    <w:left w:val="none" w:sz="0" w:space="0" w:color="auto"/>
                    <w:bottom w:val="none" w:sz="0" w:space="0" w:color="auto"/>
                    <w:right w:val="none" w:sz="0" w:space="0" w:color="auto"/>
                  </w:divBdr>
                </w:div>
                <w:div w:id="192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5831">
      <w:bodyDiv w:val="1"/>
      <w:marLeft w:val="0"/>
      <w:marRight w:val="0"/>
      <w:marTop w:val="0"/>
      <w:marBottom w:val="0"/>
      <w:divBdr>
        <w:top w:val="none" w:sz="0" w:space="0" w:color="auto"/>
        <w:left w:val="none" w:sz="0" w:space="0" w:color="auto"/>
        <w:bottom w:val="none" w:sz="0" w:space="0" w:color="auto"/>
        <w:right w:val="none" w:sz="0" w:space="0" w:color="auto"/>
      </w:divBdr>
    </w:div>
    <w:div w:id="243878957">
      <w:bodyDiv w:val="1"/>
      <w:marLeft w:val="0"/>
      <w:marRight w:val="0"/>
      <w:marTop w:val="0"/>
      <w:marBottom w:val="0"/>
      <w:divBdr>
        <w:top w:val="none" w:sz="0" w:space="0" w:color="auto"/>
        <w:left w:val="none" w:sz="0" w:space="0" w:color="auto"/>
        <w:bottom w:val="none" w:sz="0" w:space="0" w:color="auto"/>
        <w:right w:val="none" w:sz="0" w:space="0" w:color="auto"/>
      </w:divBdr>
    </w:div>
    <w:div w:id="256670764">
      <w:bodyDiv w:val="1"/>
      <w:marLeft w:val="0"/>
      <w:marRight w:val="0"/>
      <w:marTop w:val="0"/>
      <w:marBottom w:val="0"/>
      <w:divBdr>
        <w:top w:val="none" w:sz="0" w:space="0" w:color="auto"/>
        <w:left w:val="none" w:sz="0" w:space="0" w:color="auto"/>
        <w:bottom w:val="none" w:sz="0" w:space="0" w:color="auto"/>
        <w:right w:val="none" w:sz="0" w:space="0" w:color="auto"/>
      </w:divBdr>
    </w:div>
    <w:div w:id="257950532">
      <w:bodyDiv w:val="1"/>
      <w:marLeft w:val="0"/>
      <w:marRight w:val="0"/>
      <w:marTop w:val="0"/>
      <w:marBottom w:val="0"/>
      <w:divBdr>
        <w:top w:val="none" w:sz="0" w:space="0" w:color="auto"/>
        <w:left w:val="none" w:sz="0" w:space="0" w:color="auto"/>
        <w:bottom w:val="none" w:sz="0" w:space="0" w:color="auto"/>
        <w:right w:val="none" w:sz="0" w:space="0" w:color="auto"/>
      </w:divBdr>
    </w:div>
    <w:div w:id="316811395">
      <w:bodyDiv w:val="1"/>
      <w:marLeft w:val="0"/>
      <w:marRight w:val="0"/>
      <w:marTop w:val="0"/>
      <w:marBottom w:val="0"/>
      <w:divBdr>
        <w:top w:val="none" w:sz="0" w:space="0" w:color="auto"/>
        <w:left w:val="none" w:sz="0" w:space="0" w:color="auto"/>
        <w:bottom w:val="none" w:sz="0" w:space="0" w:color="auto"/>
        <w:right w:val="none" w:sz="0" w:space="0" w:color="auto"/>
      </w:divBdr>
    </w:div>
    <w:div w:id="328678335">
      <w:bodyDiv w:val="1"/>
      <w:marLeft w:val="0"/>
      <w:marRight w:val="0"/>
      <w:marTop w:val="0"/>
      <w:marBottom w:val="0"/>
      <w:divBdr>
        <w:top w:val="none" w:sz="0" w:space="0" w:color="auto"/>
        <w:left w:val="none" w:sz="0" w:space="0" w:color="auto"/>
        <w:bottom w:val="none" w:sz="0" w:space="0" w:color="auto"/>
        <w:right w:val="none" w:sz="0" w:space="0" w:color="auto"/>
      </w:divBdr>
    </w:div>
    <w:div w:id="362950358">
      <w:bodyDiv w:val="1"/>
      <w:marLeft w:val="0"/>
      <w:marRight w:val="0"/>
      <w:marTop w:val="0"/>
      <w:marBottom w:val="0"/>
      <w:divBdr>
        <w:top w:val="none" w:sz="0" w:space="0" w:color="auto"/>
        <w:left w:val="none" w:sz="0" w:space="0" w:color="auto"/>
        <w:bottom w:val="none" w:sz="0" w:space="0" w:color="auto"/>
        <w:right w:val="none" w:sz="0" w:space="0" w:color="auto"/>
      </w:divBdr>
      <w:divsChild>
        <w:div w:id="708141172">
          <w:marLeft w:val="0"/>
          <w:marRight w:val="0"/>
          <w:marTop w:val="0"/>
          <w:marBottom w:val="0"/>
          <w:divBdr>
            <w:top w:val="none" w:sz="0" w:space="0" w:color="auto"/>
            <w:left w:val="none" w:sz="0" w:space="0" w:color="auto"/>
            <w:bottom w:val="none" w:sz="0" w:space="0" w:color="auto"/>
            <w:right w:val="none" w:sz="0" w:space="0" w:color="auto"/>
          </w:divBdr>
        </w:div>
        <w:div w:id="774984059">
          <w:marLeft w:val="0"/>
          <w:marRight w:val="0"/>
          <w:marTop w:val="0"/>
          <w:marBottom w:val="0"/>
          <w:divBdr>
            <w:top w:val="none" w:sz="0" w:space="0" w:color="auto"/>
            <w:left w:val="none" w:sz="0" w:space="0" w:color="auto"/>
            <w:bottom w:val="none" w:sz="0" w:space="0" w:color="auto"/>
            <w:right w:val="none" w:sz="0" w:space="0" w:color="auto"/>
          </w:divBdr>
        </w:div>
        <w:div w:id="945309143">
          <w:marLeft w:val="0"/>
          <w:marRight w:val="0"/>
          <w:marTop w:val="0"/>
          <w:marBottom w:val="0"/>
          <w:divBdr>
            <w:top w:val="none" w:sz="0" w:space="0" w:color="auto"/>
            <w:left w:val="none" w:sz="0" w:space="0" w:color="auto"/>
            <w:bottom w:val="none" w:sz="0" w:space="0" w:color="auto"/>
            <w:right w:val="none" w:sz="0" w:space="0" w:color="auto"/>
          </w:divBdr>
        </w:div>
        <w:div w:id="1227183528">
          <w:marLeft w:val="0"/>
          <w:marRight w:val="0"/>
          <w:marTop w:val="0"/>
          <w:marBottom w:val="0"/>
          <w:divBdr>
            <w:top w:val="none" w:sz="0" w:space="0" w:color="auto"/>
            <w:left w:val="none" w:sz="0" w:space="0" w:color="auto"/>
            <w:bottom w:val="none" w:sz="0" w:space="0" w:color="auto"/>
            <w:right w:val="none" w:sz="0" w:space="0" w:color="auto"/>
          </w:divBdr>
        </w:div>
        <w:div w:id="1492326490">
          <w:marLeft w:val="0"/>
          <w:marRight w:val="0"/>
          <w:marTop w:val="0"/>
          <w:marBottom w:val="0"/>
          <w:divBdr>
            <w:top w:val="none" w:sz="0" w:space="0" w:color="auto"/>
            <w:left w:val="none" w:sz="0" w:space="0" w:color="auto"/>
            <w:bottom w:val="none" w:sz="0" w:space="0" w:color="auto"/>
            <w:right w:val="none" w:sz="0" w:space="0" w:color="auto"/>
          </w:divBdr>
        </w:div>
        <w:div w:id="1527212168">
          <w:marLeft w:val="0"/>
          <w:marRight w:val="0"/>
          <w:marTop w:val="0"/>
          <w:marBottom w:val="0"/>
          <w:divBdr>
            <w:top w:val="none" w:sz="0" w:space="0" w:color="auto"/>
            <w:left w:val="none" w:sz="0" w:space="0" w:color="auto"/>
            <w:bottom w:val="none" w:sz="0" w:space="0" w:color="auto"/>
            <w:right w:val="none" w:sz="0" w:space="0" w:color="auto"/>
          </w:divBdr>
        </w:div>
        <w:div w:id="1542548315">
          <w:marLeft w:val="0"/>
          <w:marRight w:val="0"/>
          <w:marTop w:val="0"/>
          <w:marBottom w:val="0"/>
          <w:divBdr>
            <w:top w:val="none" w:sz="0" w:space="0" w:color="auto"/>
            <w:left w:val="none" w:sz="0" w:space="0" w:color="auto"/>
            <w:bottom w:val="none" w:sz="0" w:space="0" w:color="auto"/>
            <w:right w:val="none" w:sz="0" w:space="0" w:color="auto"/>
          </w:divBdr>
        </w:div>
        <w:div w:id="1733458178">
          <w:marLeft w:val="0"/>
          <w:marRight w:val="0"/>
          <w:marTop w:val="0"/>
          <w:marBottom w:val="0"/>
          <w:divBdr>
            <w:top w:val="none" w:sz="0" w:space="0" w:color="auto"/>
            <w:left w:val="none" w:sz="0" w:space="0" w:color="auto"/>
            <w:bottom w:val="none" w:sz="0" w:space="0" w:color="auto"/>
            <w:right w:val="none" w:sz="0" w:space="0" w:color="auto"/>
          </w:divBdr>
        </w:div>
        <w:div w:id="1916283927">
          <w:marLeft w:val="0"/>
          <w:marRight w:val="0"/>
          <w:marTop w:val="0"/>
          <w:marBottom w:val="0"/>
          <w:divBdr>
            <w:top w:val="none" w:sz="0" w:space="0" w:color="auto"/>
            <w:left w:val="none" w:sz="0" w:space="0" w:color="auto"/>
            <w:bottom w:val="none" w:sz="0" w:space="0" w:color="auto"/>
            <w:right w:val="none" w:sz="0" w:space="0" w:color="auto"/>
          </w:divBdr>
        </w:div>
        <w:div w:id="1975600554">
          <w:marLeft w:val="0"/>
          <w:marRight w:val="0"/>
          <w:marTop w:val="0"/>
          <w:marBottom w:val="0"/>
          <w:divBdr>
            <w:top w:val="none" w:sz="0" w:space="0" w:color="auto"/>
            <w:left w:val="none" w:sz="0" w:space="0" w:color="auto"/>
            <w:bottom w:val="none" w:sz="0" w:space="0" w:color="auto"/>
            <w:right w:val="none" w:sz="0" w:space="0" w:color="auto"/>
          </w:divBdr>
        </w:div>
      </w:divsChild>
    </w:div>
    <w:div w:id="363483360">
      <w:bodyDiv w:val="1"/>
      <w:marLeft w:val="0"/>
      <w:marRight w:val="0"/>
      <w:marTop w:val="0"/>
      <w:marBottom w:val="0"/>
      <w:divBdr>
        <w:top w:val="none" w:sz="0" w:space="0" w:color="auto"/>
        <w:left w:val="none" w:sz="0" w:space="0" w:color="auto"/>
        <w:bottom w:val="none" w:sz="0" w:space="0" w:color="auto"/>
        <w:right w:val="none" w:sz="0" w:space="0" w:color="auto"/>
      </w:divBdr>
    </w:div>
    <w:div w:id="373776129">
      <w:bodyDiv w:val="1"/>
      <w:marLeft w:val="0"/>
      <w:marRight w:val="0"/>
      <w:marTop w:val="0"/>
      <w:marBottom w:val="0"/>
      <w:divBdr>
        <w:top w:val="none" w:sz="0" w:space="0" w:color="auto"/>
        <w:left w:val="none" w:sz="0" w:space="0" w:color="auto"/>
        <w:bottom w:val="none" w:sz="0" w:space="0" w:color="auto"/>
        <w:right w:val="none" w:sz="0" w:space="0" w:color="auto"/>
      </w:divBdr>
    </w:div>
    <w:div w:id="378239567">
      <w:bodyDiv w:val="1"/>
      <w:marLeft w:val="0"/>
      <w:marRight w:val="0"/>
      <w:marTop w:val="0"/>
      <w:marBottom w:val="0"/>
      <w:divBdr>
        <w:top w:val="none" w:sz="0" w:space="0" w:color="auto"/>
        <w:left w:val="none" w:sz="0" w:space="0" w:color="auto"/>
        <w:bottom w:val="none" w:sz="0" w:space="0" w:color="auto"/>
        <w:right w:val="none" w:sz="0" w:space="0" w:color="auto"/>
      </w:divBdr>
    </w:div>
    <w:div w:id="378865611">
      <w:bodyDiv w:val="1"/>
      <w:marLeft w:val="0"/>
      <w:marRight w:val="0"/>
      <w:marTop w:val="0"/>
      <w:marBottom w:val="0"/>
      <w:divBdr>
        <w:top w:val="none" w:sz="0" w:space="0" w:color="auto"/>
        <w:left w:val="none" w:sz="0" w:space="0" w:color="auto"/>
        <w:bottom w:val="none" w:sz="0" w:space="0" w:color="auto"/>
        <w:right w:val="none" w:sz="0" w:space="0" w:color="auto"/>
      </w:divBdr>
    </w:div>
    <w:div w:id="402221678">
      <w:bodyDiv w:val="1"/>
      <w:marLeft w:val="0"/>
      <w:marRight w:val="0"/>
      <w:marTop w:val="0"/>
      <w:marBottom w:val="0"/>
      <w:divBdr>
        <w:top w:val="none" w:sz="0" w:space="0" w:color="auto"/>
        <w:left w:val="none" w:sz="0" w:space="0" w:color="auto"/>
        <w:bottom w:val="none" w:sz="0" w:space="0" w:color="auto"/>
        <w:right w:val="none" w:sz="0" w:space="0" w:color="auto"/>
      </w:divBdr>
      <w:divsChild>
        <w:div w:id="711074908">
          <w:marLeft w:val="0"/>
          <w:marRight w:val="0"/>
          <w:marTop w:val="0"/>
          <w:marBottom w:val="0"/>
          <w:divBdr>
            <w:top w:val="none" w:sz="0" w:space="0" w:color="auto"/>
            <w:left w:val="none" w:sz="0" w:space="0" w:color="auto"/>
            <w:bottom w:val="none" w:sz="0" w:space="0" w:color="auto"/>
            <w:right w:val="none" w:sz="0" w:space="0" w:color="auto"/>
          </w:divBdr>
        </w:div>
        <w:div w:id="1712222750">
          <w:marLeft w:val="0"/>
          <w:marRight w:val="0"/>
          <w:marTop w:val="0"/>
          <w:marBottom w:val="0"/>
          <w:divBdr>
            <w:top w:val="none" w:sz="0" w:space="0" w:color="auto"/>
            <w:left w:val="none" w:sz="0" w:space="0" w:color="auto"/>
            <w:bottom w:val="none" w:sz="0" w:space="0" w:color="auto"/>
            <w:right w:val="none" w:sz="0" w:space="0" w:color="auto"/>
          </w:divBdr>
        </w:div>
      </w:divsChild>
    </w:div>
    <w:div w:id="427309959">
      <w:bodyDiv w:val="1"/>
      <w:marLeft w:val="0"/>
      <w:marRight w:val="0"/>
      <w:marTop w:val="0"/>
      <w:marBottom w:val="0"/>
      <w:divBdr>
        <w:top w:val="none" w:sz="0" w:space="0" w:color="auto"/>
        <w:left w:val="none" w:sz="0" w:space="0" w:color="auto"/>
        <w:bottom w:val="none" w:sz="0" w:space="0" w:color="auto"/>
        <w:right w:val="none" w:sz="0" w:space="0" w:color="auto"/>
      </w:divBdr>
    </w:div>
    <w:div w:id="430203504">
      <w:bodyDiv w:val="1"/>
      <w:marLeft w:val="0"/>
      <w:marRight w:val="0"/>
      <w:marTop w:val="0"/>
      <w:marBottom w:val="0"/>
      <w:divBdr>
        <w:top w:val="none" w:sz="0" w:space="0" w:color="auto"/>
        <w:left w:val="none" w:sz="0" w:space="0" w:color="auto"/>
        <w:bottom w:val="none" w:sz="0" w:space="0" w:color="auto"/>
        <w:right w:val="none" w:sz="0" w:space="0" w:color="auto"/>
      </w:divBdr>
    </w:div>
    <w:div w:id="528027033">
      <w:bodyDiv w:val="1"/>
      <w:marLeft w:val="0"/>
      <w:marRight w:val="0"/>
      <w:marTop w:val="0"/>
      <w:marBottom w:val="0"/>
      <w:divBdr>
        <w:top w:val="none" w:sz="0" w:space="0" w:color="auto"/>
        <w:left w:val="none" w:sz="0" w:space="0" w:color="auto"/>
        <w:bottom w:val="none" w:sz="0" w:space="0" w:color="auto"/>
        <w:right w:val="none" w:sz="0" w:space="0" w:color="auto"/>
      </w:divBdr>
    </w:div>
    <w:div w:id="549072094">
      <w:bodyDiv w:val="1"/>
      <w:marLeft w:val="0"/>
      <w:marRight w:val="0"/>
      <w:marTop w:val="0"/>
      <w:marBottom w:val="0"/>
      <w:divBdr>
        <w:top w:val="none" w:sz="0" w:space="0" w:color="auto"/>
        <w:left w:val="none" w:sz="0" w:space="0" w:color="auto"/>
        <w:bottom w:val="none" w:sz="0" w:space="0" w:color="auto"/>
        <w:right w:val="none" w:sz="0" w:space="0" w:color="auto"/>
      </w:divBdr>
    </w:div>
    <w:div w:id="562956300">
      <w:bodyDiv w:val="1"/>
      <w:marLeft w:val="0"/>
      <w:marRight w:val="0"/>
      <w:marTop w:val="0"/>
      <w:marBottom w:val="0"/>
      <w:divBdr>
        <w:top w:val="none" w:sz="0" w:space="0" w:color="auto"/>
        <w:left w:val="none" w:sz="0" w:space="0" w:color="auto"/>
        <w:bottom w:val="none" w:sz="0" w:space="0" w:color="auto"/>
        <w:right w:val="none" w:sz="0" w:space="0" w:color="auto"/>
      </w:divBdr>
    </w:div>
    <w:div w:id="579216287">
      <w:bodyDiv w:val="1"/>
      <w:marLeft w:val="0"/>
      <w:marRight w:val="0"/>
      <w:marTop w:val="0"/>
      <w:marBottom w:val="0"/>
      <w:divBdr>
        <w:top w:val="none" w:sz="0" w:space="0" w:color="auto"/>
        <w:left w:val="none" w:sz="0" w:space="0" w:color="auto"/>
        <w:bottom w:val="none" w:sz="0" w:space="0" w:color="auto"/>
        <w:right w:val="none" w:sz="0" w:space="0" w:color="auto"/>
      </w:divBdr>
    </w:div>
    <w:div w:id="601840590">
      <w:bodyDiv w:val="1"/>
      <w:marLeft w:val="0"/>
      <w:marRight w:val="0"/>
      <w:marTop w:val="0"/>
      <w:marBottom w:val="0"/>
      <w:divBdr>
        <w:top w:val="none" w:sz="0" w:space="0" w:color="auto"/>
        <w:left w:val="none" w:sz="0" w:space="0" w:color="auto"/>
        <w:bottom w:val="none" w:sz="0" w:space="0" w:color="auto"/>
        <w:right w:val="none" w:sz="0" w:space="0" w:color="auto"/>
      </w:divBdr>
    </w:div>
    <w:div w:id="604460035">
      <w:bodyDiv w:val="1"/>
      <w:marLeft w:val="0"/>
      <w:marRight w:val="0"/>
      <w:marTop w:val="0"/>
      <w:marBottom w:val="0"/>
      <w:divBdr>
        <w:top w:val="none" w:sz="0" w:space="0" w:color="auto"/>
        <w:left w:val="none" w:sz="0" w:space="0" w:color="auto"/>
        <w:bottom w:val="none" w:sz="0" w:space="0" w:color="auto"/>
        <w:right w:val="none" w:sz="0" w:space="0" w:color="auto"/>
      </w:divBdr>
    </w:div>
    <w:div w:id="611518052">
      <w:bodyDiv w:val="1"/>
      <w:marLeft w:val="0"/>
      <w:marRight w:val="0"/>
      <w:marTop w:val="0"/>
      <w:marBottom w:val="0"/>
      <w:divBdr>
        <w:top w:val="none" w:sz="0" w:space="0" w:color="auto"/>
        <w:left w:val="none" w:sz="0" w:space="0" w:color="auto"/>
        <w:bottom w:val="none" w:sz="0" w:space="0" w:color="auto"/>
        <w:right w:val="none" w:sz="0" w:space="0" w:color="auto"/>
      </w:divBdr>
    </w:div>
    <w:div w:id="628437668">
      <w:bodyDiv w:val="1"/>
      <w:marLeft w:val="0"/>
      <w:marRight w:val="0"/>
      <w:marTop w:val="0"/>
      <w:marBottom w:val="0"/>
      <w:divBdr>
        <w:top w:val="none" w:sz="0" w:space="0" w:color="auto"/>
        <w:left w:val="none" w:sz="0" w:space="0" w:color="auto"/>
        <w:bottom w:val="none" w:sz="0" w:space="0" w:color="auto"/>
        <w:right w:val="none" w:sz="0" w:space="0" w:color="auto"/>
      </w:divBdr>
    </w:div>
    <w:div w:id="656764570">
      <w:bodyDiv w:val="1"/>
      <w:marLeft w:val="0"/>
      <w:marRight w:val="0"/>
      <w:marTop w:val="0"/>
      <w:marBottom w:val="0"/>
      <w:divBdr>
        <w:top w:val="none" w:sz="0" w:space="0" w:color="auto"/>
        <w:left w:val="none" w:sz="0" w:space="0" w:color="auto"/>
        <w:bottom w:val="none" w:sz="0" w:space="0" w:color="auto"/>
        <w:right w:val="none" w:sz="0" w:space="0" w:color="auto"/>
      </w:divBdr>
    </w:div>
    <w:div w:id="665598584">
      <w:bodyDiv w:val="1"/>
      <w:marLeft w:val="0"/>
      <w:marRight w:val="0"/>
      <w:marTop w:val="0"/>
      <w:marBottom w:val="0"/>
      <w:divBdr>
        <w:top w:val="none" w:sz="0" w:space="0" w:color="auto"/>
        <w:left w:val="none" w:sz="0" w:space="0" w:color="auto"/>
        <w:bottom w:val="none" w:sz="0" w:space="0" w:color="auto"/>
        <w:right w:val="none" w:sz="0" w:space="0" w:color="auto"/>
      </w:divBdr>
    </w:div>
    <w:div w:id="668482343">
      <w:bodyDiv w:val="1"/>
      <w:marLeft w:val="0"/>
      <w:marRight w:val="0"/>
      <w:marTop w:val="0"/>
      <w:marBottom w:val="0"/>
      <w:divBdr>
        <w:top w:val="none" w:sz="0" w:space="0" w:color="auto"/>
        <w:left w:val="none" w:sz="0" w:space="0" w:color="auto"/>
        <w:bottom w:val="none" w:sz="0" w:space="0" w:color="auto"/>
        <w:right w:val="none" w:sz="0" w:space="0" w:color="auto"/>
      </w:divBdr>
      <w:divsChild>
        <w:div w:id="17853606">
          <w:marLeft w:val="0"/>
          <w:marRight w:val="0"/>
          <w:marTop w:val="0"/>
          <w:marBottom w:val="0"/>
          <w:divBdr>
            <w:top w:val="none" w:sz="0" w:space="0" w:color="auto"/>
            <w:left w:val="none" w:sz="0" w:space="0" w:color="auto"/>
            <w:bottom w:val="none" w:sz="0" w:space="0" w:color="auto"/>
            <w:right w:val="none" w:sz="0" w:space="0" w:color="auto"/>
          </w:divBdr>
        </w:div>
        <w:div w:id="173955516">
          <w:marLeft w:val="0"/>
          <w:marRight w:val="0"/>
          <w:marTop w:val="0"/>
          <w:marBottom w:val="0"/>
          <w:divBdr>
            <w:top w:val="none" w:sz="0" w:space="0" w:color="auto"/>
            <w:left w:val="none" w:sz="0" w:space="0" w:color="auto"/>
            <w:bottom w:val="none" w:sz="0" w:space="0" w:color="auto"/>
            <w:right w:val="none" w:sz="0" w:space="0" w:color="auto"/>
          </w:divBdr>
        </w:div>
        <w:div w:id="211885736">
          <w:marLeft w:val="0"/>
          <w:marRight w:val="0"/>
          <w:marTop w:val="0"/>
          <w:marBottom w:val="0"/>
          <w:divBdr>
            <w:top w:val="none" w:sz="0" w:space="0" w:color="auto"/>
            <w:left w:val="none" w:sz="0" w:space="0" w:color="auto"/>
            <w:bottom w:val="none" w:sz="0" w:space="0" w:color="auto"/>
            <w:right w:val="none" w:sz="0" w:space="0" w:color="auto"/>
          </w:divBdr>
        </w:div>
        <w:div w:id="236018490">
          <w:marLeft w:val="0"/>
          <w:marRight w:val="0"/>
          <w:marTop w:val="0"/>
          <w:marBottom w:val="0"/>
          <w:divBdr>
            <w:top w:val="none" w:sz="0" w:space="0" w:color="auto"/>
            <w:left w:val="none" w:sz="0" w:space="0" w:color="auto"/>
            <w:bottom w:val="none" w:sz="0" w:space="0" w:color="auto"/>
            <w:right w:val="none" w:sz="0" w:space="0" w:color="auto"/>
          </w:divBdr>
        </w:div>
        <w:div w:id="427627282">
          <w:marLeft w:val="0"/>
          <w:marRight w:val="0"/>
          <w:marTop w:val="0"/>
          <w:marBottom w:val="0"/>
          <w:divBdr>
            <w:top w:val="none" w:sz="0" w:space="0" w:color="auto"/>
            <w:left w:val="none" w:sz="0" w:space="0" w:color="auto"/>
            <w:bottom w:val="none" w:sz="0" w:space="0" w:color="auto"/>
            <w:right w:val="none" w:sz="0" w:space="0" w:color="auto"/>
          </w:divBdr>
        </w:div>
        <w:div w:id="581254378">
          <w:marLeft w:val="360"/>
          <w:marRight w:val="0"/>
          <w:marTop w:val="0"/>
          <w:marBottom w:val="0"/>
          <w:divBdr>
            <w:top w:val="none" w:sz="0" w:space="0" w:color="auto"/>
            <w:left w:val="none" w:sz="0" w:space="0" w:color="auto"/>
            <w:bottom w:val="none" w:sz="0" w:space="0" w:color="auto"/>
            <w:right w:val="none" w:sz="0" w:space="0" w:color="auto"/>
          </w:divBdr>
        </w:div>
        <w:div w:id="591932712">
          <w:marLeft w:val="0"/>
          <w:marRight w:val="0"/>
          <w:marTop w:val="0"/>
          <w:marBottom w:val="0"/>
          <w:divBdr>
            <w:top w:val="none" w:sz="0" w:space="0" w:color="auto"/>
            <w:left w:val="none" w:sz="0" w:space="0" w:color="auto"/>
            <w:bottom w:val="none" w:sz="0" w:space="0" w:color="auto"/>
            <w:right w:val="none" w:sz="0" w:space="0" w:color="auto"/>
          </w:divBdr>
        </w:div>
        <w:div w:id="701397241">
          <w:marLeft w:val="0"/>
          <w:marRight w:val="0"/>
          <w:marTop w:val="0"/>
          <w:marBottom w:val="0"/>
          <w:divBdr>
            <w:top w:val="none" w:sz="0" w:space="0" w:color="auto"/>
            <w:left w:val="none" w:sz="0" w:space="0" w:color="auto"/>
            <w:bottom w:val="none" w:sz="0" w:space="0" w:color="auto"/>
            <w:right w:val="none" w:sz="0" w:space="0" w:color="auto"/>
          </w:divBdr>
        </w:div>
        <w:div w:id="816385974">
          <w:marLeft w:val="0"/>
          <w:marRight w:val="0"/>
          <w:marTop w:val="0"/>
          <w:marBottom w:val="0"/>
          <w:divBdr>
            <w:top w:val="none" w:sz="0" w:space="0" w:color="auto"/>
            <w:left w:val="none" w:sz="0" w:space="0" w:color="auto"/>
            <w:bottom w:val="none" w:sz="0" w:space="0" w:color="auto"/>
            <w:right w:val="none" w:sz="0" w:space="0" w:color="auto"/>
          </w:divBdr>
        </w:div>
        <w:div w:id="868033786">
          <w:marLeft w:val="0"/>
          <w:marRight w:val="0"/>
          <w:marTop w:val="0"/>
          <w:marBottom w:val="0"/>
          <w:divBdr>
            <w:top w:val="none" w:sz="0" w:space="0" w:color="auto"/>
            <w:left w:val="none" w:sz="0" w:space="0" w:color="auto"/>
            <w:bottom w:val="none" w:sz="0" w:space="0" w:color="auto"/>
            <w:right w:val="none" w:sz="0" w:space="0" w:color="auto"/>
          </w:divBdr>
        </w:div>
        <w:div w:id="1004161955">
          <w:marLeft w:val="0"/>
          <w:marRight w:val="0"/>
          <w:marTop w:val="0"/>
          <w:marBottom w:val="0"/>
          <w:divBdr>
            <w:top w:val="none" w:sz="0" w:space="0" w:color="auto"/>
            <w:left w:val="none" w:sz="0" w:space="0" w:color="auto"/>
            <w:bottom w:val="none" w:sz="0" w:space="0" w:color="auto"/>
            <w:right w:val="none" w:sz="0" w:space="0" w:color="auto"/>
          </w:divBdr>
        </w:div>
        <w:div w:id="1035277094">
          <w:marLeft w:val="0"/>
          <w:marRight w:val="0"/>
          <w:marTop w:val="0"/>
          <w:marBottom w:val="0"/>
          <w:divBdr>
            <w:top w:val="none" w:sz="0" w:space="0" w:color="auto"/>
            <w:left w:val="none" w:sz="0" w:space="0" w:color="auto"/>
            <w:bottom w:val="none" w:sz="0" w:space="0" w:color="auto"/>
            <w:right w:val="none" w:sz="0" w:space="0" w:color="auto"/>
          </w:divBdr>
        </w:div>
        <w:div w:id="1078790170">
          <w:marLeft w:val="0"/>
          <w:marRight w:val="0"/>
          <w:marTop w:val="0"/>
          <w:marBottom w:val="0"/>
          <w:divBdr>
            <w:top w:val="none" w:sz="0" w:space="0" w:color="auto"/>
            <w:left w:val="none" w:sz="0" w:space="0" w:color="auto"/>
            <w:bottom w:val="none" w:sz="0" w:space="0" w:color="auto"/>
            <w:right w:val="none" w:sz="0" w:space="0" w:color="auto"/>
          </w:divBdr>
        </w:div>
        <w:div w:id="1371413792">
          <w:marLeft w:val="0"/>
          <w:marRight w:val="0"/>
          <w:marTop w:val="0"/>
          <w:marBottom w:val="0"/>
          <w:divBdr>
            <w:top w:val="none" w:sz="0" w:space="0" w:color="auto"/>
            <w:left w:val="none" w:sz="0" w:space="0" w:color="auto"/>
            <w:bottom w:val="none" w:sz="0" w:space="0" w:color="auto"/>
            <w:right w:val="none" w:sz="0" w:space="0" w:color="auto"/>
          </w:divBdr>
        </w:div>
        <w:div w:id="1402755894">
          <w:marLeft w:val="0"/>
          <w:marRight w:val="0"/>
          <w:marTop w:val="0"/>
          <w:marBottom w:val="0"/>
          <w:divBdr>
            <w:top w:val="none" w:sz="0" w:space="0" w:color="auto"/>
            <w:left w:val="none" w:sz="0" w:space="0" w:color="auto"/>
            <w:bottom w:val="none" w:sz="0" w:space="0" w:color="auto"/>
            <w:right w:val="none" w:sz="0" w:space="0" w:color="auto"/>
          </w:divBdr>
        </w:div>
        <w:div w:id="1407336446">
          <w:marLeft w:val="0"/>
          <w:marRight w:val="0"/>
          <w:marTop w:val="0"/>
          <w:marBottom w:val="0"/>
          <w:divBdr>
            <w:top w:val="none" w:sz="0" w:space="0" w:color="auto"/>
            <w:left w:val="none" w:sz="0" w:space="0" w:color="auto"/>
            <w:bottom w:val="none" w:sz="0" w:space="0" w:color="auto"/>
            <w:right w:val="none" w:sz="0" w:space="0" w:color="auto"/>
          </w:divBdr>
        </w:div>
        <w:div w:id="1425110243">
          <w:marLeft w:val="720"/>
          <w:marRight w:val="0"/>
          <w:marTop w:val="0"/>
          <w:marBottom w:val="0"/>
          <w:divBdr>
            <w:top w:val="none" w:sz="0" w:space="0" w:color="auto"/>
            <w:left w:val="none" w:sz="0" w:space="0" w:color="auto"/>
            <w:bottom w:val="none" w:sz="0" w:space="0" w:color="auto"/>
            <w:right w:val="none" w:sz="0" w:space="0" w:color="auto"/>
          </w:divBdr>
        </w:div>
        <w:div w:id="1456020972">
          <w:marLeft w:val="0"/>
          <w:marRight w:val="0"/>
          <w:marTop w:val="0"/>
          <w:marBottom w:val="0"/>
          <w:divBdr>
            <w:top w:val="none" w:sz="0" w:space="0" w:color="auto"/>
            <w:left w:val="none" w:sz="0" w:space="0" w:color="auto"/>
            <w:bottom w:val="none" w:sz="0" w:space="0" w:color="auto"/>
            <w:right w:val="none" w:sz="0" w:space="0" w:color="auto"/>
          </w:divBdr>
        </w:div>
        <w:div w:id="1592816660">
          <w:marLeft w:val="0"/>
          <w:marRight w:val="0"/>
          <w:marTop w:val="0"/>
          <w:marBottom w:val="0"/>
          <w:divBdr>
            <w:top w:val="none" w:sz="0" w:space="0" w:color="auto"/>
            <w:left w:val="none" w:sz="0" w:space="0" w:color="auto"/>
            <w:bottom w:val="none" w:sz="0" w:space="0" w:color="auto"/>
            <w:right w:val="none" w:sz="0" w:space="0" w:color="auto"/>
          </w:divBdr>
        </w:div>
        <w:div w:id="1724867088">
          <w:marLeft w:val="0"/>
          <w:marRight w:val="0"/>
          <w:marTop w:val="0"/>
          <w:marBottom w:val="0"/>
          <w:divBdr>
            <w:top w:val="none" w:sz="0" w:space="0" w:color="auto"/>
            <w:left w:val="none" w:sz="0" w:space="0" w:color="auto"/>
            <w:bottom w:val="none" w:sz="0" w:space="0" w:color="auto"/>
            <w:right w:val="none" w:sz="0" w:space="0" w:color="auto"/>
          </w:divBdr>
        </w:div>
        <w:div w:id="2083329455">
          <w:marLeft w:val="0"/>
          <w:marRight w:val="0"/>
          <w:marTop w:val="0"/>
          <w:marBottom w:val="0"/>
          <w:divBdr>
            <w:top w:val="none" w:sz="0" w:space="0" w:color="auto"/>
            <w:left w:val="none" w:sz="0" w:space="0" w:color="auto"/>
            <w:bottom w:val="none" w:sz="0" w:space="0" w:color="auto"/>
            <w:right w:val="none" w:sz="0" w:space="0" w:color="auto"/>
          </w:divBdr>
        </w:div>
        <w:div w:id="2139372292">
          <w:marLeft w:val="0"/>
          <w:marRight w:val="0"/>
          <w:marTop w:val="0"/>
          <w:marBottom w:val="0"/>
          <w:divBdr>
            <w:top w:val="none" w:sz="0" w:space="0" w:color="auto"/>
            <w:left w:val="none" w:sz="0" w:space="0" w:color="auto"/>
            <w:bottom w:val="none" w:sz="0" w:space="0" w:color="auto"/>
            <w:right w:val="none" w:sz="0" w:space="0" w:color="auto"/>
          </w:divBdr>
        </w:div>
      </w:divsChild>
    </w:div>
    <w:div w:id="682167480">
      <w:bodyDiv w:val="1"/>
      <w:marLeft w:val="0"/>
      <w:marRight w:val="0"/>
      <w:marTop w:val="0"/>
      <w:marBottom w:val="0"/>
      <w:divBdr>
        <w:top w:val="none" w:sz="0" w:space="0" w:color="auto"/>
        <w:left w:val="none" w:sz="0" w:space="0" w:color="auto"/>
        <w:bottom w:val="none" w:sz="0" w:space="0" w:color="auto"/>
        <w:right w:val="none" w:sz="0" w:space="0" w:color="auto"/>
      </w:divBdr>
    </w:div>
    <w:div w:id="701904481">
      <w:bodyDiv w:val="1"/>
      <w:marLeft w:val="0"/>
      <w:marRight w:val="0"/>
      <w:marTop w:val="0"/>
      <w:marBottom w:val="0"/>
      <w:divBdr>
        <w:top w:val="none" w:sz="0" w:space="0" w:color="auto"/>
        <w:left w:val="none" w:sz="0" w:space="0" w:color="auto"/>
        <w:bottom w:val="none" w:sz="0" w:space="0" w:color="auto"/>
        <w:right w:val="none" w:sz="0" w:space="0" w:color="auto"/>
      </w:divBdr>
      <w:divsChild>
        <w:div w:id="1786845867">
          <w:marLeft w:val="0"/>
          <w:marRight w:val="0"/>
          <w:marTop w:val="0"/>
          <w:marBottom w:val="0"/>
          <w:divBdr>
            <w:top w:val="none" w:sz="0" w:space="0" w:color="auto"/>
            <w:left w:val="none" w:sz="0" w:space="0" w:color="auto"/>
            <w:bottom w:val="none" w:sz="0" w:space="0" w:color="auto"/>
            <w:right w:val="none" w:sz="0" w:space="0" w:color="auto"/>
          </w:divBdr>
          <w:divsChild>
            <w:div w:id="1244031687">
              <w:marLeft w:val="0"/>
              <w:marRight w:val="0"/>
              <w:marTop w:val="0"/>
              <w:marBottom w:val="0"/>
              <w:divBdr>
                <w:top w:val="none" w:sz="0" w:space="0" w:color="auto"/>
                <w:left w:val="none" w:sz="0" w:space="0" w:color="auto"/>
                <w:bottom w:val="none" w:sz="0" w:space="0" w:color="auto"/>
                <w:right w:val="none" w:sz="0" w:space="0" w:color="auto"/>
              </w:divBdr>
              <w:divsChild>
                <w:div w:id="76830824">
                  <w:marLeft w:val="0"/>
                  <w:marRight w:val="0"/>
                  <w:marTop w:val="0"/>
                  <w:marBottom w:val="0"/>
                  <w:divBdr>
                    <w:top w:val="none" w:sz="0" w:space="0" w:color="auto"/>
                    <w:left w:val="none" w:sz="0" w:space="0" w:color="auto"/>
                    <w:bottom w:val="none" w:sz="0" w:space="0" w:color="auto"/>
                    <w:right w:val="none" w:sz="0" w:space="0" w:color="auto"/>
                  </w:divBdr>
                </w:div>
                <w:div w:id="477579022">
                  <w:marLeft w:val="0"/>
                  <w:marRight w:val="0"/>
                  <w:marTop w:val="0"/>
                  <w:marBottom w:val="0"/>
                  <w:divBdr>
                    <w:top w:val="none" w:sz="0" w:space="0" w:color="auto"/>
                    <w:left w:val="none" w:sz="0" w:space="0" w:color="auto"/>
                    <w:bottom w:val="none" w:sz="0" w:space="0" w:color="auto"/>
                    <w:right w:val="none" w:sz="0" w:space="0" w:color="auto"/>
                  </w:divBdr>
                </w:div>
                <w:div w:id="1125856888">
                  <w:marLeft w:val="0"/>
                  <w:marRight w:val="0"/>
                  <w:marTop w:val="0"/>
                  <w:marBottom w:val="0"/>
                  <w:divBdr>
                    <w:top w:val="none" w:sz="0" w:space="0" w:color="auto"/>
                    <w:left w:val="none" w:sz="0" w:space="0" w:color="auto"/>
                    <w:bottom w:val="none" w:sz="0" w:space="0" w:color="auto"/>
                    <w:right w:val="none" w:sz="0" w:space="0" w:color="auto"/>
                  </w:divBdr>
                </w:div>
                <w:div w:id="1138305262">
                  <w:marLeft w:val="0"/>
                  <w:marRight w:val="0"/>
                  <w:marTop w:val="0"/>
                  <w:marBottom w:val="0"/>
                  <w:divBdr>
                    <w:top w:val="none" w:sz="0" w:space="0" w:color="auto"/>
                    <w:left w:val="none" w:sz="0" w:space="0" w:color="auto"/>
                    <w:bottom w:val="none" w:sz="0" w:space="0" w:color="auto"/>
                    <w:right w:val="none" w:sz="0" w:space="0" w:color="auto"/>
                  </w:divBdr>
                </w:div>
                <w:div w:id="1623489694">
                  <w:marLeft w:val="0"/>
                  <w:marRight w:val="0"/>
                  <w:marTop w:val="0"/>
                  <w:marBottom w:val="0"/>
                  <w:divBdr>
                    <w:top w:val="none" w:sz="0" w:space="0" w:color="auto"/>
                    <w:left w:val="none" w:sz="0" w:space="0" w:color="auto"/>
                    <w:bottom w:val="none" w:sz="0" w:space="0" w:color="auto"/>
                    <w:right w:val="none" w:sz="0" w:space="0" w:color="auto"/>
                  </w:divBdr>
                </w:div>
                <w:div w:id="17807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5285">
      <w:bodyDiv w:val="1"/>
      <w:marLeft w:val="0"/>
      <w:marRight w:val="0"/>
      <w:marTop w:val="0"/>
      <w:marBottom w:val="0"/>
      <w:divBdr>
        <w:top w:val="none" w:sz="0" w:space="0" w:color="auto"/>
        <w:left w:val="none" w:sz="0" w:space="0" w:color="auto"/>
        <w:bottom w:val="none" w:sz="0" w:space="0" w:color="auto"/>
        <w:right w:val="none" w:sz="0" w:space="0" w:color="auto"/>
      </w:divBdr>
    </w:div>
    <w:div w:id="727143203">
      <w:bodyDiv w:val="1"/>
      <w:marLeft w:val="0"/>
      <w:marRight w:val="0"/>
      <w:marTop w:val="0"/>
      <w:marBottom w:val="0"/>
      <w:divBdr>
        <w:top w:val="none" w:sz="0" w:space="0" w:color="auto"/>
        <w:left w:val="none" w:sz="0" w:space="0" w:color="auto"/>
        <w:bottom w:val="none" w:sz="0" w:space="0" w:color="auto"/>
        <w:right w:val="none" w:sz="0" w:space="0" w:color="auto"/>
      </w:divBdr>
    </w:div>
    <w:div w:id="795680837">
      <w:bodyDiv w:val="1"/>
      <w:marLeft w:val="0"/>
      <w:marRight w:val="0"/>
      <w:marTop w:val="0"/>
      <w:marBottom w:val="0"/>
      <w:divBdr>
        <w:top w:val="none" w:sz="0" w:space="0" w:color="auto"/>
        <w:left w:val="none" w:sz="0" w:space="0" w:color="auto"/>
        <w:bottom w:val="none" w:sz="0" w:space="0" w:color="auto"/>
        <w:right w:val="none" w:sz="0" w:space="0" w:color="auto"/>
      </w:divBdr>
    </w:div>
    <w:div w:id="808978982">
      <w:bodyDiv w:val="1"/>
      <w:marLeft w:val="0"/>
      <w:marRight w:val="0"/>
      <w:marTop w:val="0"/>
      <w:marBottom w:val="0"/>
      <w:divBdr>
        <w:top w:val="none" w:sz="0" w:space="0" w:color="auto"/>
        <w:left w:val="none" w:sz="0" w:space="0" w:color="auto"/>
        <w:bottom w:val="none" w:sz="0" w:space="0" w:color="auto"/>
        <w:right w:val="none" w:sz="0" w:space="0" w:color="auto"/>
      </w:divBdr>
      <w:divsChild>
        <w:div w:id="1405949478">
          <w:marLeft w:val="0"/>
          <w:marRight w:val="0"/>
          <w:marTop w:val="0"/>
          <w:marBottom w:val="0"/>
          <w:divBdr>
            <w:top w:val="none" w:sz="0" w:space="0" w:color="auto"/>
            <w:left w:val="none" w:sz="0" w:space="0" w:color="auto"/>
            <w:bottom w:val="none" w:sz="0" w:space="0" w:color="auto"/>
            <w:right w:val="none" w:sz="0" w:space="0" w:color="auto"/>
          </w:divBdr>
          <w:divsChild>
            <w:div w:id="5302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5547">
      <w:bodyDiv w:val="1"/>
      <w:marLeft w:val="0"/>
      <w:marRight w:val="0"/>
      <w:marTop w:val="0"/>
      <w:marBottom w:val="0"/>
      <w:divBdr>
        <w:top w:val="none" w:sz="0" w:space="0" w:color="auto"/>
        <w:left w:val="none" w:sz="0" w:space="0" w:color="auto"/>
        <w:bottom w:val="none" w:sz="0" w:space="0" w:color="auto"/>
        <w:right w:val="none" w:sz="0" w:space="0" w:color="auto"/>
      </w:divBdr>
    </w:div>
    <w:div w:id="890075822">
      <w:bodyDiv w:val="1"/>
      <w:marLeft w:val="0"/>
      <w:marRight w:val="0"/>
      <w:marTop w:val="0"/>
      <w:marBottom w:val="0"/>
      <w:divBdr>
        <w:top w:val="none" w:sz="0" w:space="0" w:color="auto"/>
        <w:left w:val="none" w:sz="0" w:space="0" w:color="auto"/>
        <w:bottom w:val="none" w:sz="0" w:space="0" w:color="auto"/>
        <w:right w:val="none" w:sz="0" w:space="0" w:color="auto"/>
      </w:divBdr>
    </w:div>
    <w:div w:id="901984740">
      <w:bodyDiv w:val="1"/>
      <w:marLeft w:val="0"/>
      <w:marRight w:val="0"/>
      <w:marTop w:val="0"/>
      <w:marBottom w:val="0"/>
      <w:divBdr>
        <w:top w:val="none" w:sz="0" w:space="0" w:color="auto"/>
        <w:left w:val="none" w:sz="0" w:space="0" w:color="auto"/>
        <w:bottom w:val="none" w:sz="0" w:space="0" w:color="auto"/>
        <w:right w:val="none" w:sz="0" w:space="0" w:color="auto"/>
      </w:divBdr>
      <w:divsChild>
        <w:div w:id="2036999786">
          <w:marLeft w:val="0"/>
          <w:marRight w:val="0"/>
          <w:marTop w:val="0"/>
          <w:marBottom w:val="0"/>
          <w:divBdr>
            <w:top w:val="none" w:sz="0" w:space="0" w:color="auto"/>
            <w:left w:val="none" w:sz="0" w:space="0" w:color="auto"/>
            <w:bottom w:val="none" w:sz="0" w:space="0" w:color="auto"/>
            <w:right w:val="none" w:sz="0" w:space="0" w:color="auto"/>
          </w:divBdr>
        </w:div>
      </w:divsChild>
    </w:div>
    <w:div w:id="925765695">
      <w:bodyDiv w:val="1"/>
      <w:marLeft w:val="0"/>
      <w:marRight w:val="0"/>
      <w:marTop w:val="0"/>
      <w:marBottom w:val="0"/>
      <w:divBdr>
        <w:top w:val="none" w:sz="0" w:space="0" w:color="auto"/>
        <w:left w:val="none" w:sz="0" w:space="0" w:color="auto"/>
        <w:bottom w:val="none" w:sz="0" w:space="0" w:color="auto"/>
        <w:right w:val="none" w:sz="0" w:space="0" w:color="auto"/>
      </w:divBdr>
    </w:div>
    <w:div w:id="926576069">
      <w:bodyDiv w:val="1"/>
      <w:marLeft w:val="0"/>
      <w:marRight w:val="0"/>
      <w:marTop w:val="0"/>
      <w:marBottom w:val="0"/>
      <w:divBdr>
        <w:top w:val="none" w:sz="0" w:space="0" w:color="auto"/>
        <w:left w:val="none" w:sz="0" w:space="0" w:color="auto"/>
        <w:bottom w:val="none" w:sz="0" w:space="0" w:color="auto"/>
        <w:right w:val="none" w:sz="0" w:space="0" w:color="auto"/>
      </w:divBdr>
    </w:div>
    <w:div w:id="980036940">
      <w:bodyDiv w:val="1"/>
      <w:marLeft w:val="0"/>
      <w:marRight w:val="0"/>
      <w:marTop w:val="0"/>
      <w:marBottom w:val="0"/>
      <w:divBdr>
        <w:top w:val="none" w:sz="0" w:space="0" w:color="auto"/>
        <w:left w:val="none" w:sz="0" w:space="0" w:color="auto"/>
        <w:bottom w:val="none" w:sz="0" w:space="0" w:color="auto"/>
        <w:right w:val="none" w:sz="0" w:space="0" w:color="auto"/>
      </w:divBdr>
      <w:divsChild>
        <w:div w:id="459614035">
          <w:marLeft w:val="0"/>
          <w:marRight w:val="0"/>
          <w:marTop w:val="0"/>
          <w:marBottom w:val="0"/>
          <w:divBdr>
            <w:top w:val="none" w:sz="0" w:space="0" w:color="auto"/>
            <w:left w:val="none" w:sz="0" w:space="0" w:color="auto"/>
            <w:bottom w:val="none" w:sz="0" w:space="0" w:color="auto"/>
            <w:right w:val="none" w:sz="0" w:space="0" w:color="auto"/>
          </w:divBdr>
        </w:div>
      </w:divsChild>
    </w:div>
    <w:div w:id="997802484">
      <w:bodyDiv w:val="1"/>
      <w:marLeft w:val="0"/>
      <w:marRight w:val="0"/>
      <w:marTop w:val="0"/>
      <w:marBottom w:val="0"/>
      <w:divBdr>
        <w:top w:val="none" w:sz="0" w:space="0" w:color="auto"/>
        <w:left w:val="none" w:sz="0" w:space="0" w:color="auto"/>
        <w:bottom w:val="none" w:sz="0" w:space="0" w:color="auto"/>
        <w:right w:val="none" w:sz="0" w:space="0" w:color="auto"/>
      </w:divBdr>
      <w:divsChild>
        <w:div w:id="53552712">
          <w:marLeft w:val="0"/>
          <w:marRight w:val="120"/>
          <w:marTop w:val="45"/>
          <w:marBottom w:val="0"/>
          <w:divBdr>
            <w:top w:val="none" w:sz="0" w:space="0" w:color="auto"/>
            <w:left w:val="single" w:sz="48" w:space="0" w:color="F8931E"/>
            <w:bottom w:val="none" w:sz="0" w:space="0" w:color="auto"/>
            <w:right w:val="none" w:sz="0" w:space="0" w:color="auto"/>
          </w:divBdr>
        </w:div>
        <w:div w:id="1538661554">
          <w:marLeft w:val="0"/>
          <w:marRight w:val="0"/>
          <w:marTop w:val="45"/>
          <w:marBottom w:val="0"/>
          <w:divBdr>
            <w:top w:val="none" w:sz="0" w:space="0" w:color="auto"/>
            <w:left w:val="none" w:sz="0" w:space="0" w:color="auto"/>
            <w:bottom w:val="none" w:sz="0" w:space="0" w:color="auto"/>
            <w:right w:val="none" w:sz="0" w:space="0" w:color="auto"/>
          </w:divBdr>
        </w:div>
        <w:div w:id="1861426912">
          <w:marLeft w:val="0"/>
          <w:marRight w:val="0"/>
          <w:marTop w:val="45"/>
          <w:marBottom w:val="0"/>
          <w:divBdr>
            <w:top w:val="none" w:sz="0" w:space="0" w:color="auto"/>
            <w:left w:val="none" w:sz="0" w:space="0" w:color="auto"/>
            <w:bottom w:val="none" w:sz="0" w:space="0" w:color="auto"/>
            <w:right w:val="none" w:sz="0" w:space="0" w:color="auto"/>
          </w:divBdr>
        </w:div>
        <w:div w:id="1918202871">
          <w:marLeft w:val="0"/>
          <w:marRight w:val="120"/>
          <w:marTop w:val="45"/>
          <w:marBottom w:val="0"/>
          <w:divBdr>
            <w:top w:val="none" w:sz="0" w:space="0" w:color="auto"/>
            <w:left w:val="single" w:sz="48" w:space="0" w:color="F8931E"/>
            <w:bottom w:val="none" w:sz="0" w:space="0" w:color="auto"/>
            <w:right w:val="none" w:sz="0" w:space="0" w:color="auto"/>
          </w:divBdr>
        </w:div>
      </w:divsChild>
    </w:div>
    <w:div w:id="1022128707">
      <w:bodyDiv w:val="1"/>
      <w:marLeft w:val="0"/>
      <w:marRight w:val="0"/>
      <w:marTop w:val="0"/>
      <w:marBottom w:val="0"/>
      <w:divBdr>
        <w:top w:val="none" w:sz="0" w:space="0" w:color="auto"/>
        <w:left w:val="none" w:sz="0" w:space="0" w:color="auto"/>
        <w:bottom w:val="none" w:sz="0" w:space="0" w:color="auto"/>
        <w:right w:val="none" w:sz="0" w:space="0" w:color="auto"/>
      </w:divBdr>
      <w:divsChild>
        <w:div w:id="574902219">
          <w:marLeft w:val="0"/>
          <w:marRight w:val="0"/>
          <w:marTop w:val="0"/>
          <w:marBottom w:val="0"/>
          <w:divBdr>
            <w:top w:val="none" w:sz="0" w:space="0" w:color="auto"/>
            <w:left w:val="none" w:sz="0" w:space="0" w:color="auto"/>
            <w:bottom w:val="none" w:sz="0" w:space="0" w:color="auto"/>
            <w:right w:val="none" w:sz="0" w:space="0" w:color="auto"/>
          </w:divBdr>
        </w:div>
      </w:divsChild>
    </w:div>
    <w:div w:id="1078484218">
      <w:bodyDiv w:val="1"/>
      <w:marLeft w:val="0"/>
      <w:marRight w:val="0"/>
      <w:marTop w:val="0"/>
      <w:marBottom w:val="0"/>
      <w:divBdr>
        <w:top w:val="none" w:sz="0" w:space="0" w:color="auto"/>
        <w:left w:val="none" w:sz="0" w:space="0" w:color="auto"/>
        <w:bottom w:val="none" w:sz="0" w:space="0" w:color="auto"/>
        <w:right w:val="none" w:sz="0" w:space="0" w:color="auto"/>
      </w:divBdr>
    </w:div>
    <w:div w:id="1089817417">
      <w:bodyDiv w:val="1"/>
      <w:marLeft w:val="0"/>
      <w:marRight w:val="0"/>
      <w:marTop w:val="0"/>
      <w:marBottom w:val="0"/>
      <w:divBdr>
        <w:top w:val="none" w:sz="0" w:space="0" w:color="auto"/>
        <w:left w:val="none" w:sz="0" w:space="0" w:color="auto"/>
        <w:bottom w:val="none" w:sz="0" w:space="0" w:color="auto"/>
        <w:right w:val="none" w:sz="0" w:space="0" w:color="auto"/>
      </w:divBdr>
    </w:div>
    <w:div w:id="1110665370">
      <w:bodyDiv w:val="1"/>
      <w:marLeft w:val="0"/>
      <w:marRight w:val="0"/>
      <w:marTop w:val="0"/>
      <w:marBottom w:val="0"/>
      <w:divBdr>
        <w:top w:val="none" w:sz="0" w:space="0" w:color="auto"/>
        <w:left w:val="none" w:sz="0" w:space="0" w:color="auto"/>
        <w:bottom w:val="none" w:sz="0" w:space="0" w:color="auto"/>
        <w:right w:val="none" w:sz="0" w:space="0" w:color="auto"/>
      </w:divBdr>
    </w:div>
    <w:div w:id="1132796187">
      <w:bodyDiv w:val="1"/>
      <w:marLeft w:val="0"/>
      <w:marRight w:val="0"/>
      <w:marTop w:val="0"/>
      <w:marBottom w:val="0"/>
      <w:divBdr>
        <w:top w:val="none" w:sz="0" w:space="0" w:color="auto"/>
        <w:left w:val="none" w:sz="0" w:space="0" w:color="auto"/>
        <w:bottom w:val="none" w:sz="0" w:space="0" w:color="auto"/>
        <w:right w:val="none" w:sz="0" w:space="0" w:color="auto"/>
      </w:divBdr>
    </w:div>
    <w:div w:id="1159346610">
      <w:bodyDiv w:val="1"/>
      <w:marLeft w:val="0"/>
      <w:marRight w:val="0"/>
      <w:marTop w:val="0"/>
      <w:marBottom w:val="0"/>
      <w:divBdr>
        <w:top w:val="none" w:sz="0" w:space="0" w:color="auto"/>
        <w:left w:val="none" w:sz="0" w:space="0" w:color="auto"/>
        <w:bottom w:val="none" w:sz="0" w:space="0" w:color="auto"/>
        <w:right w:val="none" w:sz="0" w:space="0" w:color="auto"/>
      </w:divBdr>
    </w:div>
    <w:div w:id="1172330769">
      <w:bodyDiv w:val="1"/>
      <w:marLeft w:val="0"/>
      <w:marRight w:val="0"/>
      <w:marTop w:val="0"/>
      <w:marBottom w:val="0"/>
      <w:divBdr>
        <w:top w:val="none" w:sz="0" w:space="0" w:color="auto"/>
        <w:left w:val="none" w:sz="0" w:space="0" w:color="auto"/>
        <w:bottom w:val="none" w:sz="0" w:space="0" w:color="auto"/>
        <w:right w:val="none" w:sz="0" w:space="0" w:color="auto"/>
      </w:divBdr>
    </w:div>
    <w:div w:id="1190529709">
      <w:bodyDiv w:val="1"/>
      <w:marLeft w:val="0"/>
      <w:marRight w:val="0"/>
      <w:marTop w:val="0"/>
      <w:marBottom w:val="0"/>
      <w:divBdr>
        <w:top w:val="none" w:sz="0" w:space="0" w:color="auto"/>
        <w:left w:val="none" w:sz="0" w:space="0" w:color="auto"/>
        <w:bottom w:val="none" w:sz="0" w:space="0" w:color="auto"/>
        <w:right w:val="none" w:sz="0" w:space="0" w:color="auto"/>
      </w:divBdr>
    </w:div>
    <w:div w:id="1197812633">
      <w:bodyDiv w:val="1"/>
      <w:marLeft w:val="0"/>
      <w:marRight w:val="0"/>
      <w:marTop w:val="0"/>
      <w:marBottom w:val="0"/>
      <w:divBdr>
        <w:top w:val="none" w:sz="0" w:space="0" w:color="auto"/>
        <w:left w:val="none" w:sz="0" w:space="0" w:color="auto"/>
        <w:bottom w:val="none" w:sz="0" w:space="0" w:color="auto"/>
        <w:right w:val="none" w:sz="0" w:space="0" w:color="auto"/>
      </w:divBdr>
    </w:div>
    <w:div w:id="1233127732">
      <w:bodyDiv w:val="1"/>
      <w:marLeft w:val="0"/>
      <w:marRight w:val="0"/>
      <w:marTop w:val="0"/>
      <w:marBottom w:val="0"/>
      <w:divBdr>
        <w:top w:val="none" w:sz="0" w:space="0" w:color="auto"/>
        <w:left w:val="none" w:sz="0" w:space="0" w:color="auto"/>
        <w:bottom w:val="none" w:sz="0" w:space="0" w:color="auto"/>
        <w:right w:val="none" w:sz="0" w:space="0" w:color="auto"/>
      </w:divBdr>
    </w:div>
    <w:div w:id="1278219102">
      <w:bodyDiv w:val="1"/>
      <w:marLeft w:val="0"/>
      <w:marRight w:val="0"/>
      <w:marTop w:val="0"/>
      <w:marBottom w:val="0"/>
      <w:divBdr>
        <w:top w:val="none" w:sz="0" w:space="0" w:color="auto"/>
        <w:left w:val="none" w:sz="0" w:space="0" w:color="auto"/>
        <w:bottom w:val="none" w:sz="0" w:space="0" w:color="auto"/>
        <w:right w:val="none" w:sz="0" w:space="0" w:color="auto"/>
      </w:divBdr>
    </w:div>
    <w:div w:id="1445074369">
      <w:bodyDiv w:val="1"/>
      <w:marLeft w:val="0"/>
      <w:marRight w:val="0"/>
      <w:marTop w:val="0"/>
      <w:marBottom w:val="0"/>
      <w:divBdr>
        <w:top w:val="none" w:sz="0" w:space="0" w:color="auto"/>
        <w:left w:val="none" w:sz="0" w:space="0" w:color="auto"/>
        <w:bottom w:val="none" w:sz="0" w:space="0" w:color="auto"/>
        <w:right w:val="none" w:sz="0" w:space="0" w:color="auto"/>
      </w:divBdr>
    </w:div>
    <w:div w:id="1505701022">
      <w:bodyDiv w:val="1"/>
      <w:marLeft w:val="0"/>
      <w:marRight w:val="0"/>
      <w:marTop w:val="0"/>
      <w:marBottom w:val="0"/>
      <w:divBdr>
        <w:top w:val="none" w:sz="0" w:space="0" w:color="auto"/>
        <w:left w:val="none" w:sz="0" w:space="0" w:color="auto"/>
        <w:bottom w:val="none" w:sz="0" w:space="0" w:color="auto"/>
        <w:right w:val="none" w:sz="0" w:space="0" w:color="auto"/>
      </w:divBdr>
    </w:div>
    <w:div w:id="1547794390">
      <w:bodyDiv w:val="1"/>
      <w:marLeft w:val="0"/>
      <w:marRight w:val="0"/>
      <w:marTop w:val="0"/>
      <w:marBottom w:val="0"/>
      <w:divBdr>
        <w:top w:val="none" w:sz="0" w:space="0" w:color="auto"/>
        <w:left w:val="none" w:sz="0" w:space="0" w:color="auto"/>
        <w:bottom w:val="none" w:sz="0" w:space="0" w:color="auto"/>
        <w:right w:val="none" w:sz="0" w:space="0" w:color="auto"/>
      </w:divBdr>
    </w:div>
    <w:div w:id="1549998877">
      <w:bodyDiv w:val="1"/>
      <w:marLeft w:val="0"/>
      <w:marRight w:val="0"/>
      <w:marTop w:val="0"/>
      <w:marBottom w:val="0"/>
      <w:divBdr>
        <w:top w:val="none" w:sz="0" w:space="0" w:color="auto"/>
        <w:left w:val="none" w:sz="0" w:space="0" w:color="auto"/>
        <w:bottom w:val="none" w:sz="0" w:space="0" w:color="auto"/>
        <w:right w:val="none" w:sz="0" w:space="0" w:color="auto"/>
      </w:divBdr>
      <w:divsChild>
        <w:div w:id="217009453">
          <w:marLeft w:val="0"/>
          <w:marRight w:val="0"/>
          <w:marTop w:val="0"/>
          <w:marBottom w:val="0"/>
          <w:divBdr>
            <w:top w:val="none" w:sz="0" w:space="0" w:color="auto"/>
            <w:left w:val="none" w:sz="0" w:space="0" w:color="auto"/>
            <w:bottom w:val="none" w:sz="0" w:space="0" w:color="auto"/>
            <w:right w:val="none" w:sz="0" w:space="0" w:color="auto"/>
          </w:divBdr>
        </w:div>
        <w:div w:id="635767282">
          <w:marLeft w:val="0"/>
          <w:marRight w:val="0"/>
          <w:marTop w:val="0"/>
          <w:marBottom w:val="0"/>
          <w:divBdr>
            <w:top w:val="none" w:sz="0" w:space="0" w:color="auto"/>
            <w:left w:val="none" w:sz="0" w:space="0" w:color="auto"/>
            <w:bottom w:val="none" w:sz="0" w:space="0" w:color="auto"/>
            <w:right w:val="none" w:sz="0" w:space="0" w:color="auto"/>
          </w:divBdr>
        </w:div>
        <w:div w:id="777215220">
          <w:marLeft w:val="0"/>
          <w:marRight w:val="0"/>
          <w:marTop w:val="0"/>
          <w:marBottom w:val="0"/>
          <w:divBdr>
            <w:top w:val="none" w:sz="0" w:space="0" w:color="auto"/>
            <w:left w:val="none" w:sz="0" w:space="0" w:color="auto"/>
            <w:bottom w:val="none" w:sz="0" w:space="0" w:color="auto"/>
            <w:right w:val="none" w:sz="0" w:space="0" w:color="auto"/>
          </w:divBdr>
        </w:div>
        <w:div w:id="793523800">
          <w:marLeft w:val="0"/>
          <w:marRight w:val="0"/>
          <w:marTop w:val="0"/>
          <w:marBottom w:val="0"/>
          <w:divBdr>
            <w:top w:val="none" w:sz="0" w:space="0" w:color="auto"/>
            <w:left w:val="none" w:sz="0" w:space="0" w:color="auto"/>
            <w:bottom w:val="none" w:sz="0" w:space="0" w:color="auto"/>
            <w:right w:val="none" w:sz="0" w:space="0" w:color="auto"/>
          </w:divBdr>
        </w:div>
        <w:div w:id="846138645">
          <w:marLeft w:val="0"/>
          <w:marRight w:val="0"/>
          <w:marTop w:val="0"/>
          <w:marBottom w:val="0"/>
          <w:divBdr>
            <w:top w:val="none" w:sz="0" w:space="0" w:color="auto"/>
            <w:left w:val="none" w:sz="0" w:space="0" w:color="auto"/>
            <w:bottom w:val="none" w:sz="0" w:space="0" w:color="auto"/>
            <w:right w:val="none" w:sz="0" w:space="0" w:color="auto"/>
          </w:divBdr>
        </w:div>
        <w:div w:id="857500599">
          <w:marLeft w:val="720"/>
          <w:marRight w:val="0"/>
          <w:marTop w:val="0"/>
          <w:marBottom w:val="0"/>
          <w:divBdr>
            <w:top w:val="none" w:sz="0" w:space="0" w:color="auto"/>
            <w:left w:val="none" w:sz="0" w:space="0" w:color="auto"/>
            <w:bottom w:val="none" w:sz="0" w:space="0" w:color="auto"/>
            <w:right w:val="none" w:sz="0" w:space="0" w:color="auto"/>
          </w:divBdr>
        </w:div>
        <w:div w:id="864172751">
          <w:marLeft w:val="360"/>
          <w:marRight w:val="0"/>
          <w:marTop w:val="0"/>
          <w:marBottom w:val="0"/>
          <w:divBdr>
            <w:top w:val="none" w:sz="0" w:space="0" w:color="auto"/>
            <w:left w:val="none" w:sz="0" w:space="0" w:color="auto"/>
            <w:bottom w:val="none" w:sz="0" w:space="0" w:color="auto"/>
            <w:right w:val="none" w:sz="0" w:space="0" w:color="auto"/>
          </w:divBdr>
        </w:div>
        <w:div w:id="999036828">
          <w:marLeft w:val="0"/>
          <w:marRight w:val="0"/>
          <w:marTop w:val="0"/>
          <w:marBottom w:val="0"/>
          <w:divBdr>
            <w:top w:val="none" w:sz="0" w:space="0" w:color="auto"/>
            <w:left w:val="none" w:sz="0" w:space="0" w:color="auto"/>
            <w:bottom w:val="none" w:sz="0" w:space="0" w:color="auto"/>
            <w:right w:val="none" w:sz="0" w:space="0" w:color="auto"/>
          </w:divBdr>
        </w:div>
        <w:div w:id="1012952009">
          <w:marLeft w:val="0"/>
          <w:marRight w:val="0"/>
          <w:marTop w:val="0"/>
          <w:marBottom w:val="0"/>
          <w:divBdr>
            <w:top w:val="none" w:sz="0" w:space="0" w:color="auto"/>
            <w:left w:val="none" w:sz="0" w:space="0" w:color="auto"/>
            <w:bottom w:val="none" w:sz="0" w:space="0" w:color="auto"/>
            <w:right w:val="none" w:sz="0" w:space="0" w:color="auto"/>
          </w:divBdr>
        </w:div>
        <w:div w:id="1048184908">
          <w:marLeft w:val="0"/>
          <w:marRight w:val="0"/>
          <w:marTop w:val="0"/>
          <w:marBottom w:val="0"/>
          <w:divBdr>
            <w:top w:val="none" w:sz="0" w:space="0" w:color="auto"/>
            <w:left w:val="none" w:sz="0" w:space="0" w:color="auto"/>
            <w:bottom w:val="none" w:sz="0" w:space="0" w:color="auto"/>
            <w:right w:val="none" w:sz="0" w:space="0" w:color="auto"/>
          </w:divBdr>
        </w:div>
        <w:div w:id="1077093257">
          <w:marLeft w:val="0"/>
          <w:marRight w:val="0"/>
          <w:marTop w:val="0"/>
          <w:marBottom w:val="0"/>
          <w:divBdr>
            <w:top w:val="none" w:sz="0" w:space="0" w:color="auto"/>
            <w:left w:val="none" w:sz="0" w:space="0" w:color="auto"/>
            <w:bottom w:val="none" w:sz="0" w:space="0" w:color="auto"/>
            <w:right w:val="none" w:sz="0" w:space="0" w:color="auto"/>
          </w:divBdr>
        </w:div>
        <w:div w:id="1171603435">
          <w:marLeft w:val="0"/>
          <w:marRight w:val="0"/>
          <w:marTop w:val="0"/>
          <w:marBottom w:val="0"/>
          <w:divBdr>
            <w:top w:val="none" w:sz="0" w:space="0" w:color="auto"/>
            <w:left w:val="none" w:sz="0" w:space="0" w:color="auto"/>
            <w:bottom w:val="none" w:sz="0" w:space="0" w:color="auto"/>
            <w:right w:val="none" w:sz="0" w:space="0" w:color="auto"/>
          </w:divBdr>
        </w:div>
        <w:div w:id="1410690377">
          <w:marLeft w:val="0"/>
          <w:marRight w:val="0"/>
          <w:marTop w:val="0"/>
          <w:marBottom w:val="0"/>
          <w:divBdr>
            <w:top w:val="none" w:sz="0" w:space="0" w:color="auto"/>
            <w:left w:val="none" w:sz="0" w:space="0" w:color="auto"/>
            <w:bottom w:val="none" w:sz="0" w:space="0" w:color="auto"/>
            <w:right w:val="none" w:sz="0" w:space="0" w:color="auto"/>
          </w:divBdr>
        </w:div>
        <w:div w:id="1480927892">
          <w:marLeft w:val="0"/>
          <w:marRight w:val="0"/>
          <w:marTop w:val="0"/>
          <w:marBottom w:val="0"/>
          <w:divBdr>
            <w:top w:val="none" w:sz="0" w:space="0" w:color="auto"/>
            <w:left w:val="none" w:sz="0" w:space="0" w:color="auto"/>
            <w:bottom w:val="none" w:sz="0" w:space="0" w:color="auto"/>
            <w:right w:val="none" w:sz="0" w:space="0" w:color="auto"/>
          </w:divBdr>
        </w:div>
        <w:div w:id="1488327921">
          <w:marLeft w:val="0"/>
          <w:marRight w:val="0"/>
          <w:marTop w:val="0"/>
          <w:marBottom w:val="0"/>
          <w:divBdr>
            <w:top w:val="none" w:sz="0" w:space="0" w:color="auto"/>
            <w:left w:val="none" w:sz="0" w:space="0" w:color="auto"/>
            <w:bottom w:val="none" w:sz="0" w:space="0" w:color="auto"/>
            <w:right w:val="none" w:sz="0" w:space="0" w:color="auto"/>
          </w:divBdr>
        </w:div>
        <w:div w:id="1615869731">
          <w:marLeft w:val="0"/>
          <w:marRight w:val="0"/>
          <w:marTop w:val="0"/>
          <w:marBottom w:val="0"/>
          <w:divBdr>
            <w:top w:val="none" w:sz="0" w:space="0" w:color="auto"/>
            <w:left w:val="none" w:sz="0" w:space="0" w:color="auto"/>
            <w:bottom w:val="none" w:sz="0" w:space="0" w:color="auto"/>
            <w:right w:val="none" w:sz="0" w:space="0" w:color="auto"/>
          </w:divBdr>
        </w:div>
        <w:div w:id="1656840278">
          <w:marLeft w:val="0"/>
          <w:marRight w:val="0"/>
          <w:marTop w:val="0"/>
          <w:marBottom w:val="0"/>
          <w:divBdr>
            <w:top w:val="none" w:sz="0" w:space="0" w:color="auto"/>
            <w:left w:val="none" w:sz="0" w:space="0" w:color="auto"/>
            <w:bottom w:val="none" w:sz="0" w:space="0" w:color="auto"/>
            <w:right w:val="none" w:sz="0" w:space="0" w:color="auto"/>
          </w:divBdr>
        </w:div>
        <w:div w:id="1658536799">
          <w:marLeft w:val="0"/>
          <w:marRight w:val="0"/>
          <w:marTop w:val="0"/>
          <w:marBottom w:val="0"/>
          <w:divBdr>
            <w:top w:val="none" w:sz="0" w:space="0" w:color="auto"/>
            <w:left w:val="none" w:sz="0" w:space="0" w:color="auto"/>
            <w:bottom w:val="none" w:sz="0" w:space="0" w:color="auto"/>
            <w:right w:val="none" w:sz="0" w:space="0" w:color="auto"/>
          </w:divBdr>
        </w:div>
        <w:div w:id="1715695870">
          <w:marLeft w:val="0"/>
          <w:marRight w:val="0"/>
          <w:marTop w:val="0"/>
          <w:marBottom w:val="0"/>
          <w:divBdr>
            <w:top w:val="none" w:sz="0" w:space="0" w:color="auto"/>
            <w:left w:val="none" w:sz="0" w:space="0" w:color="auto"/>
            <w:bottom w:val="none" w:sz="0" w:space="0" w:color="auto"/>
            <w:right w:val="none" w:sz="0" w:space="0" w:color="auto"/>
          </w:divBdr>
        </w:div>
        <w:div w:id="1745372858">
          <w:marLeft w:val="0"/>
          <w:marRight w:val="0"/>
          <w:marTop w:val="0"/>
          <w:marBottom w:val="0"/>
          <w:divBdr>
            <w:top w:val="none" w:sz="0" w:space="0" w:color="auto"/>
            <w:left w:val="none" w:sz="0" w:space="0" w:color="auto"/>
            <w:bottom w:val="none" w:sz="0" w:space="0" w:color="auto"/>
            <w:right w:val="none" w:sz="0" w:space="0" w:color="auto"/>
          </w:divBdr>
        </w:div>
        <w:div w:id="1906914641">
          <w:marLeft w:val="0"/>
          <w:marRight w:val="0"/>
          <w:marTop w:val="0"/>
          <w:marBottom w:val="0"/>
          <w:divBdr>
            <w:top w:val="none" w:sz="0" w:space="0" w:color="auto"/>
            <w:left w:val="none" w:sz="0" w:space="0" w:color="auto"/>
            <w:bottom w:val="none" w:sz="0" w:space="0" w:color="auto"/>
            <w:right w:val="none" w:sz="0" w:space="0" w:color="auto"/>
          </w:divBdr>
        </w:div>
        <w:div w:id="2001231982">
          <w:marLeft w:val="0"/>
          <w:marRight w:val="0"/>
          <w:marTop w:val="0"/>
          <w:marBottom w:val="0"/>
          <w:divBdr>
            <w:top w:val="none" w:sz="0" w:space="0" w:color="auto"/>
            <w:left w:val="none" w:sz="0" w:space="0" w:color="auto"/>
            <w:bottom w:val="none" w:sz="0" w:space="0" w:color="auto"/>
            <w:right w:val="none" w:sz="0" w:space="0" w:color="auto"/>
          </w:divBdr>
        </w:div>
      </w:divsChild>
    </w:div>
    <w:div w:id="1648584880">
      <w:bodyDiv w:val="1"/>
      <w:marLeft w:val="0"/>
      <w:marRight w:val="0"/>
      <w:marTop w:val="0"/>
      <w:marBottom w:val="0"/>
      <w:divBdr>
        <w:top w:val="none" w:sz="0" w:space="0" w:color="auto"/>
        <w:left w:val="none" w:sz="0" w:space="0" w:color="auto"/>
        <w:bottom w:val="none" w:sz="0" w:space="0" w:color="auto"/>
        <w:right w:val="none" w:sz="0" w:space="0" w:color="auto"/>
      </w:divBdr>
    </w:div>
    <w:div w:id="1652556155">
      <w:bodyDiv w:val="1"/>
      <w:marLeft w:val="0"/>
      <w:marRight w:val="0"/>
      <w:marTop w:val="0"/>
      <w:marBottom w:val="0"/>
      <w:divBdr>
        <w:top w:val="none" w:sz="0" w:space="0" w:color="auto"/>
        <w:left w:val="none" w:sz="0" w:space="0" w:color="auto"/>
        <w:bottom w:val="none" w:sz="0" w:space="0" w:color="auto"/>
        <w:right w:val="none" w:sz="0" w:space="0" w:color="auto"/>
      </w:divBdr>
    </w:div>
    <w:div w:id="1659648125">
      <w:bodyDiv w:val="1"/>
      <w:marLeft w:val="0"/>
      <w:marRight w:val="0"/>
      <w:marTop w:val="0"/>
      <w:marBottom w:val="0"/>
      <w:divBdr>
        <w:top w:val="none" w:sz="0" w:space="0" w:color="auto"/>
        <w:left w:val="none" w:sz="0" w:space="0" w:color="auto"/>
        <w:bottom w:val="none" w:sz="0" w:space="0" w:color="auto"/>
        <w:right w:val="none" w:sz="0" w:space="0" w:color="auto"/>
      </w:divBdr>
      <w:divsChild>
        <w:div w:id="203715191">
          <w:marLeft w:val="0"/>
          <w:marRight w:val="0"/>
          <w:marTop w:val="0"/>
          <w:marBottom w:val="0"/>
          <w:divBdr>
            <w:top w:val="none" w:sz="0" w:space="0" w:color="auto"/>
            <w:left w:val="none" w:sz="0" w:space="0" w:color="auto"/>
            <w:bottom w:val="none" w:sz="0" w:space="0" w:color="auto"/>
            <w:right w:val="none" w:sz="0" w:space="0" w:color="auto"/>
          </w:divBdr>
        </w:div>
      </w:divsChild>
    </w:div>
    <w:div w:id="1728532910">
      <w:bodyDiv w:val="1"/>
      <w:marLeft w:val="0"/>
      <w:marRight w:val="0"/>
      <w:marTop w:val="0"/>
      <w:marBottom w:val="0"/>
      <w:divBdr>
        <w:top w:val="none" w:sz="0" w:space="0" w:color="auto"/>
        <w:left w:val="none" w:sz="0" w:space="0" w:color="auto"/>
        <w:bottom w:val="none" w:sz="0" w:space="0" w:color="auto"/>
        <w:right w:val="none" w:sz="0" w:space="0" w:color="auto"/>
      </w:divBdr>
    </w:div>
    <w:div w:id="1730373853">
      <w:bodyDiv w:val="1"/>
      <w:marLeft w:val="0"/>
      <w:marRight w:val="0"/>
      <w:marTop w:val="0"/>
      <w:marBottom w:val="0"/>
      <w:divBdr>
        <w:top w:val="none" w:sz="0" w:space="0" w:color="auto"/>
        <w:left w:val="none" w:sz="0" w:space="0" w:color="auto"/>
        <w:bottom w:val="none" w:sz="0" w:space="0" w:color="auto"/>
        <w:right w:val="none" w:sz="0" w:space="0" w:color="auto"/>
      </w:divBdr>
    </w:div>
    <w:div w:id="1765498148">
      <w:bodyDiv w:val="1"/>
      <w:marLeft w:val="0"/>
      <w:marRight w:val="0"/>
      <w:marTop w:val="0"/>
      <w:marBottom w:val="0"/>
      <w:divBdr>
        <w:top w:val="none" w:sz="0" w:space="0" w:color="auto"/>
        <w:left w:val="none" w:sz="0" w:space="0" w:color="auto"/>
        <w:bottom w:val="none" w:sz="0" w:space="0" w:color="auto"/>
        <w:right w:val="none" w:sz="0" w:space="0" w:color="auto"/>
      </w:divBdr>
    </w:div>
    <w:div w:id="1790926029">
      <w:bodyDiv w:val="1"/>
      <w:marLeft w:val="0"/>
      <w:marRight w:val="0"/>
      <w:marTop w:val="0"/>
      <w:marBottom w:val="0"/>
      <w:divBdr>
        <w:top w:val="none" w:sz="0" w:space="0" w:color="auto"/>
        <w:left w:val="none" w:sz="0" w:space="0" w:color="auto"/>
        <w:bottom w:val="none" w:sz="0" w:space="0" w:color="auto"/>
        <w:right w:val="none" w:sz="0" w:space="0" w:color="auto"/>
      </w:divBdr>
    </w:div>
    <w:div w:id="1837067703">
      <w:bodyDiv w:val="1"/>
      <w:marLeft w:val="0"/>
      <w:marRight w:val="0"/>
      <w:marTop w:val="0"/>
      <w:marBottom w:val="0"/>
      <w:divBdr>
        <w:top w:val="none" w:sz="0" w:space="0" w:color="auto"/>
        <w:left w:val="none" w:sz="0" w:space="0" w:color="auto"/>
        <w:bottom w:val="none" w:sz="0" w:space="0" w:color="auto"/>
        <w:right w:val="none" w:sz="0" w:space="0" w:color="auto"/>
      </w:divBdr>
      <w:divsChild>
        <w:div w:id="254561725">
          <w:marLeft w:val="0"/>
          <w:marRight w:val="0"/>
          <w:marTop w:val="75"/>
          <w:marBottom w:val="0"/>
          <w:divBdr>
            <w:top w:val="none" w:sz="0" w:space="0" w:color="auto"/>
            <w:left w:val="none" w:sz="0" w:space="0" w:color="auto"/>
            <w:bottom w:val="none" w:sz="0" w:space="0" w:color="auto"/>
            <w:right w:val="none" w:sz="0" w:space="0" w:color="auto"/>
          </w:divBdr>
          <w:divsChild>
            <w:div w:id="1453331087">
              <w:marLeft w:val="375"/>
              <w:marRight w:val="375"/>
              <w:marTop w:val="0"/>
              <w:marBottom w:val="0"/>
              <w:divBdr>
                <w:top w:val="none" w:sz="0" w:space="0" w:color="auto"/>
                <w:left w:val="none" w:sz="0" w:space="0" w:color="auto"/>
                <w:bottom w:val="none" w:sz="0" w:space="0" w:color="auto"/>
                <w:right w:val="none" w:sz="0" w:space="0" w:color="auto"/>
              </w:divBdr>
              <w:divsChild>
                <w:div w:id="1779332970">
                  <w:marLeft w:val="0"/>
                  <w:marRight w:val="0"/>
                  <w:marTop w:val="0"/>
                  <w:marBottom w:val="0"/>
                  <w:divBdr>
                    <w:top w:val="none" w:sz="0" w:space="0" w:color="auto"/>
                    <w:left w:val="none" w:sz="0" w:space="0" w:color="auto"/>
                    <w:bottom w:val="none" w:sz="0" w:space="0" w:color="auto"/>
                    <w:right w:val="none" w:sz="0" w:space="0" w:color="auto"/>
                  </w:divBdr>
                  <w:divsChild>
                    <w:div w:id="875461149">
                      <w:marLeft w:val="0"/>
                      <w:marRight w:val="0"/>
                      <w:marTop w:val="0"/>
                      <w:marBottom w:val="0"/>
                      <w:divBdr>
                        <w:top w:val="none" w:sz="0" w:space="0" w:color="auto"/>
                        <w:left w:val="none" w:sz="0" w:space="0" w:color="auto"/>
                        <w:bottom w:val="none" w:sz="0" w:space="0" w:color="auto"/>
                        <w:right w:val="none" w:sz="0" w:space="0" w:color="auto"/>
                      </w:divBdr>
                      <w:divsChild>
                        <w:div w:id="360015807">
                          <w:marLeft w:val="0"/>
                          <w:marRight w:val="0"/>
                          <w:marTop w:val="0"/>
                          <w:marBottom w:val="0"/>
                          <w:divBdr>
                            <w:top w:val="none" w:sz="0" w:space="0" w:color="auto"/>
                            <w:left w:val="none" w:sz="0" w:space="0" w:color="auto"/>
                            <w:bottom w:val="none" w:sz="0" w:space="0" w:color="auto"/>
                            <w:right w:val="none" w:sz="0" w:space="0" w:color="auto"/>
                          </w:divBdr>
                          <w:divsChild>
                            <w:div w:id="204756836">
                              <w:marLeft w:val="0"/>
                              <w:marRight w:val="0"/>
                              <w:marTop w:val="0"/>
                              <w:marBottom w:val="150"/>
                              <w:divBdr>
                                <w:top w:val="single" w:sz="6" w:space="0" w:color="DDDDDD"/>
                                <w:left w:val="single" w:sz="6" w:space="0" w:color="DDDDDD"/>
                                <w:bottom w:val="single" w:sz="6" w:space="0" w:color="DDDDDD"/>
                                <w:right w:val="single" w:sz="6" w:space="0" w:color="DDDDDD"/>
                              </w:divBdr>
                              <w:divsChild>
                                <w:div w:id="1924337415">
                                  <w:marLeft w:val="0"/>
                                  <w:marRight w:val="0"/>
                                  <w:marTop w:val="0"/>
                                  <w:marBottom w:val="0"/>
                                  <w:divBdr>
                                    <w:top w:val="none" w:sz="0" w:space="0" w:color="auto"/>
                                    <w:left w:val="none" w:sz="0" w:space="0" w:color="auto"/>
                                    <w:bottom w:val="none" w:sz="0" w:space="0" w:color="auto"/>
                                    <w:right w:val="none" w:sz="0" w:space="0" w:color="auto"/>
                                  </w:divBdr>
                                </w:div>
                              </w:divsChild>
                            </w:div>
                            <w:div w:id="697900808">
                              <w:marLeft w:val="0"/>
                              <w:marRight w:val="0"/>
                              <w:marTop w:val="0"/>
                              <w:marBottom w:val="150"/>
                              <w:divBdr>
                                <w:top w:val="single" w:sz="6" w:space="0" w:color="DDDDDD"/>
                                <w:left w:val="single" w:sz="6" w:space="0" w:color="DDDDDD"/>
                                <w:bottom w:val="single" w:sz="6" w:space="0" w:color="DDDDDD"/>
                                <w:right w:val="single" w:sz="6" w:space="0" w:color="DDDDDD"/>
                              </w:divBdr>
                              <w:divsChild>
                                <w:div w:id="534999679">
                                  <w:marLeft w:val="0"/>
                                  <w:marRight w:val="0"/>
                                  <w:marTop w:val="0"/>
                                  <w:marBottom w:val="0"/>
                                  <w:divBdr>
                                    <w:top w:val="none" w:sz="0" w:space="0" w:color="auto"/>
                                    <w:left w:val="none" w:sz="0" w:space="0" w:color="auto"/>
                                    <w:bottom w:val="none" w:sz="0" w:space="0" w:color="auto"/>
                                    <w:right w:val="none" w:sz="0" w:space="0" w:color="auto"/>
                                  </w:divBdr>
                                </w:div>
                              </w:divsChild>
                            </w:div>
                            <w:div w:id="1185169046">
                              <w:marLeft w:val="0"/>
                              <w:marRight w:val="0"/>
                              <w:marTop w:val="0"/>
                              <w:marBottom w:val="150"/>
                              <w:divBdr>
                                <w:top w:val="single" w:sz="6" w:space="0" w:color="DDDDDD"/>
                                <w:left w:val="single" w:sz="6" w:space="0" w:color="DDDDDD"/>
                                <w:bottom w:val="single" w:sz="6" w:space="0" w:color="DDDDDD"/>
                                <w:right w:val="single" w:sz="6" w:space="0" w:color="DDDDDD"/>
                              </w:divBdr>
                              <w:divsChild>
                                <w:div w:id="1301226914">
                                  <w:marLeft w:val="0"/>
                                  <w:marRight w:val="0"/>
                                  <w:marTop w:val="0"/>
                                  <w:marBottom w:val="0"/>
                                  <w:divBdr>
                                    <w:top w:val="none" w:sz="0" w:space="0" w:color="auto"/>
                                    <w:left w:val="none" w:sz="0" w:space="0" w:color="auto"/>
                                    <w:bottom w:val="none" w:sz="0" w:space="0" w:color="auto"/>
                                    <w:right w:val="none" w:sz="0" w:space="0" w:color="auto"/>
                                  </w:divBdr>
                                </w:div>
                              </w:divsChild>
                            </w:div>
                            <w:div w:id="1701319839">
                              <w:marLeft w:val="0"/>
                              <w:marRight w:val="0"/>
                              <w:marTop w:val="0"/>
                              <w:marBottom w:val="150"/>
                              <w:divBdr>
                                <w:top w:val="single" w:sz="6" w:space="0" w:color="DDDDDD"/>
                                <w:left w:val="single" w:sz="6" w:space="0" w:color="DDDDDD"/>
                                <w:bottom w:val="single" w:sz="6" w:space="0" w:color="DDDDDD"/>
                                <w:right w:val="single" w:sz="6" w:space="0" w:color="DDDDDD"/>
                              </w:divBdr>
                              <w:divsChild>
                                <w:div w:id="816923045">
                                  <w:marLeft w:val="0"/>
                                  <w:marRight w:val="0"/>
                                  <w:marTop w:val="0"/>
                                  <w:marBottom w:val="0"/>
                                  <w:divBdr>
                                    <w:top w:val="none" w:sz="0" w:space="0" w:color="auto"/>
                                    <w:left w:val="none" w:sz="0" w:space="0" w:color="auto"/>
                                    <w:bottom w:val="none" w:sz="0" w:space="0" w:color="auto"/>
                                    <w:right w:val="none" w:sz="0" w:space="0" w:color="auto"/>
                                  </w:divBdr>
                                </w:div>
                              </w:divsChild>
                            </w:div>
                            <w:div w:id="1783109550">
                              <w:marLeft w:val="0"/>
                              <w:marRight w:val="0"/>
                              <w:marTop w:val="0"/>
                              <w:marBottom w:val="150"/>
                              <w:divBdr>
                                <w:top w:val="single" w:sz="6" w:space="0" w:color="DDDDDD"/>
                                <w:left w:val="single" w:sz="6" w:space="0" w:color="DDDDDD"/>
                                <w:bottom w:val="single" w:sz="6" w:space="0" w:color="DDDDDD"/>
                                <w:right w:val="single" w:sz="6" w:space="0" w:color="DDDDDD"/>
                              </w:divBdr>
                              <w:divsChild>
                                <w:div w:id="415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51276">
      <w:bodyDiv w:val="1"/>
      <w:marLeft w:val="0"/>
      <w:marRight w:val="0"/>
      <w:marTop w:val="0"/>
      <w:marBottom w:val="0"/>
      <w:divBdr>
        <w:top w:val="none" w:sz="0" w:space="0" w:color="auto"/>
        <w:left w:val="none" w:sz="0" w:space="0" w:color="auto"/>
        <w:bottom w:val="none" w:sz="0" w:space="0" w:color="auto"/>
        <w:right w:val="none" w:sz="0" w:space="0" w:color="auto"/>
      </w:divBdr>
    </w:div>
    <w:div w:id="1855530184">
      <w:bodyDiv w:val="1"/>
      <w:marLeft w:val="0"/>
      <w:marRight w:val="0"/>
      <w:marTop w:val="0"/>
      <w:marBottom w:val="0"/>
      <w:divBdr>
        <w:top w:val="none" w:sz="0" w:space="0" w:color="auto"/>
        <w:left w:val="none" w:sz="0" w:space="0" w:color="auto"/>
        <w:bottom w:val="none" w:sz="0" w:space="0" w:color="auto"/>
        <w:right w:val="none" w:sz="0" w:space="0" w:color="auto"/>
      </w:divBdr>
    </w:div>
    <w:div w:id="1861160576">
      <w:bodyDiv w:val="1"/>
      <w:marLeft w:val="0"/>
      <w:marRight w:val="0"/>
      <w:marTop w:val="0"/>
      <w:marBottom w:val="0"/>
      <w:divBdr>
        <w:top w:val="none" w:sz="0" w:space="0" w:color="auto"/>
        <w:left w:val="none" w:sz="0" w:space="0" w:color="auto"/>
        <w:bottom w:val="none" w:sz="0" w:space="0" w:color="auto"/>
        <w:right w:val="none" w:sz="0" w:space="0" w:color="auto"/>
      </w:divBdr>
    </w:div>
    <w:div w:id="1874539701">
      <w:bodyDiv w:val="1"/>
      <w:marLeft w:val="0"/>
      <w:marRight w:val="0"/>
      <w:marTop w:val="0"/>
      <w:marBottom w:val="0"/>
      <w:divBdr>
        <w:top w:val="none" w:sz="0" w:space="0" w:color="auto"/>
        <w:left w:val="none" w:sz="0" w:space="0" w:color="auto"/>
        <w:bottom w:val="none" w:sz="0" w:space="0" w:color="auto"/>
        <w:right w:val="none" w:sz="0" w:space="0" w:color="auto"/>
      </w:divBdr>
      <w:divsChild>
        <w:div w:id="455638844">
          <w:marLeft w:val="0"/>
          <w:marRight w:val="0"/>
          <w:marTop w:val="0"/>
          <w:marBottom w:val="0"/>
          <w:divBdr>
            <w:top w:val="none" w:sz="0" w:space="0" w:color="auto"/>
            <w:left w:val="none" w:sz="0" w:space="0" w:color="auto"/>
            <w:bottom w:val="none" w:sz="0" w:space="0" w:color="auto"/>
            <w:right w:val="none" w:sz="0" w:space="0" w:color="auto"/>
          </w:divBdr>
        </w:div>
        <w:div w:id="1397781568">
          <w:marLeft w:val="0"/>
          <w:marRight w:val="0"/>
          <w:marTop w:val="0"/>
          <w:marBottom w:val="0"/>
          <w:divBdr>
            <w:top w:val="none" w:sz="0" w:space="0" w:color="auto"/>
            <w:left w:val="none" w:sz="0" w:space="0" w:color="auto"/>
            <w:bottom w:val="none" w:sz="0" w:space="0" w:color="auto"/>
            <w:right w:val="none" w:sz="0" w:space="0" w:color="auto"/>
          </w:divBdr>
        </w:div>
        <w:div w:id="1522547430">
          <w:marLeft w:val="0"/>
          <w:marRight w:val="0"/>
          <w:marTop w:val="0"/>
          <w:marBottom w:val="0"/>
          <w:divBdr>
            <w:top w:val="none" w:sz="0" w:space="0" w:color="auto"/>
            <w:left w:val="none" w:sz="0" w:space="0" w:color="auto"/>
            <w:bottom w:val="none" w:sz="0" w:space="0" w:color="auto"/>
            <w:right w:val="none" w:sz="0" w:space="0" w:color="auto"/>
          </w:divBdr>
        </w:div>
        <w:div w:id="1556353215">
          <w:marLeft w:val="0"/>
          <w:marRight w:val="0"/>
          <w:marTop w:val="0"/>
          <w:marBottom w:val="0"/>
          <w:divBdr>
            <w:top w:val="none" w:sz="0" w:space="0" w:color="auto"/>
            <w:left w:val="none" w:sz="0" w:space="0" w:color="auto"/>
            <w:bottom w:val="none" w:sz="0" w:space="0" w:color="auto"/>
            <w:right w:val="none" w:sz="0" w:space="0" w:color="auto"/>
          </w:divBdr>
        </w:div>
        <w:div w:id="1591884713">
          <w:marLeft w:val="0"/>
          <w:marRight w:val="0"/>
          <w:marTop w:val="0"/>
          <w:marBottom w:val="0"/>
          <w:divBdr>
            <w:top w:val="none" w:sz="0" w:space="0" w:color="auto"/>
            <w:left w:val="none" w:sz="0" w:space="0" w:color="auto"/>
            <w:bottom w:val="none" w:sz="0" w:space="0" w:color="auto"/>
            <w:right w:val="none" w:sz="0" w:space="0" w:color="auto"/>
          </w:divBdr>
        </w:div>
        <w:div w:id="2115440740">
          <w:marLeft w:val="0"/>
          <w:marRight w:val="0"/>
          <w:marTop w:val="0"/>
          <w:marBottom w:val="0"/>
          <w:divBdr>
            <w:top w:val="none" w:sz="0" w:space="0" w:color="auto"/>
            <w:left w:val="none" w:sz="0" w:space="0" w:color="auto"/>
            <w:bottom w:val="none" w:sz="0" w:space="0" w:color="auto"/>
            <w:right w:val="none" w:sz="0" w:space="0" w:color="auto"/>
          </w:divBdr>
        </w:div>
      </w:divsChild>
    </w:div>
    <w:div w:id="1896508941">
      <w:bodyDiv w:val="1"/>
      <w:marLeft w:val="0"/>
      <w:marRight w:val="0"/>
      <w:marTop w:val="0"/>
      <w:marBottom w:val="0"/>
      <w:divBdr>
        <w:top w:val="none" w:sz="0" w:space="0" w:color="auto"/>
        <w:left w:val="none" w:sz="0" w:space="0" w:color="auto"/>
        <w:bottom w:val="none" w:sz="0" w:space="0" w:color="auto"/>
        <w:right w:val="none" w:sz="0" w:space="0" w:color="auto"/>
      </w:divBdr>
    </w:div>
    <w:div w:id="1908298719">
      <w:bodyDiv w:val="1"/>
      <w:marLeft w:val="0"/>
      <w:marRight w:val="0"/>
      <w:marTop w:val="0"/>
      <w:marBottom w:val="0"/>
      <w:divBdr>
        <w:top w:val="none" w:sz="0" w:space="0" w:color="auto"/>
        <w:left w:val="none" w:sz="0" w:space="0" w:color="auto"/>
        <w:bottom w:val="none" w:sz="0" w:space="0" w:color="auto"/>
        <w:right w:val="none" w:sz="0" w:space="0" w:color="auto"/>
      </w:divBdr>
    </w:div>
    <w:div w:id="1908419287">
      <w:bodyDiv w:val="1"/>
      <w:marLeft w:val="0"/>
      <w:marRight w:val="0"/>
      <w:marTop w:val="0"/>
      <w:marBottom w:val="0"/>
      <w:divBdr>
        <w:top w:val="none" w:sz="0" w:space="0" w:color="auto"/>
        <w:left w:val="none" w:sz="0" w:space="0" w:color="auto"/>
        <w:bottom w:val="none" w:sz="0" w:space="0" w:color="auto"/>
        <w:right w:val="none" w:sz="0" w:space="0" w:color="auto"/>
      </w:divBdr>
    </w:div>
    <w:div w:id="1918401554">
      <w:bodyDiv w:val="1"/>
      <w:marLeft w:val="0"/>
      <w:marRight w:val="0"/>
      <w:marTop w:val="0"/>
      <w:marBottom w:val="0"/>
      <w:divBdr>
        <w:top w:val="none" w:sz="0" w:space="0" w:color="auto"/>
        <w:left w:val="none" w:sz="0" w:space="0" w:color="auto"/>
        <w:bottom w:val="none" w:sz="0" w:space="0" w:color="auto"/>
        <w:right w:val="none" w:sz="0" w:space="0" w:color="auto"/>
      </w:divBdr>
    </w:div>
    <w:div w:id="1961297740">
      <w:bodyDiv w:val="1"/>
      <w:marLeft w:val="0"/>
      <w:marRight w:val="0"/>
      <w:marTop w:val="0"/>
      <w:marBottom w:val="0"/>
      <w:divBdr>
        <w:top w:val="none" w:sz="0" w:space="0" w:color="auto"/>
        <w:left w:val="none" w:sz="0" w:space="0" w:color="auto"/>
        <w:bottom w:val="none" w:sz="0" w:space="0" w:color="auto"/>
        <w:right w:val="none" w:sz="0" w:space="0" w:color="auto"/>
      </w:divBdr>
    </w:div>
    <w:div w:id="1997100296">
      <w:bodyDiv w:val="1"/>
      <w:marLeft w:val="0"/>
      <w:marRight w:val="0"/>
      <w:marTop w:val="0"/>
      <w:marBottom w:val="0"/>
      <w:divBdr>
        <w:top w:val="none" w:sz="0" w:space="0" w:color="auto"/>
        <w:left w:val="none" w:sz="0" w:space="0" w:color="auto"/>
        <w:bottom w:val="none" w:sz="0" w:space="0" w:color="auto"/>
        <w:right w:val="none" w:sz="0" w:space="0" w:color="auto"/>
      </w:divBdr>
    </w:div>
    <w:div w:id="2014332537">
      <w:bodyDiv w:val="1"/>
      <w:marLeft w:val="0"/>
      <w:marRight w:val="0"/>
      <w:marTop w:val="0"/>
      <w:marBottom w:val="0"/>
      <w:divBdr>
        <w:top w:val="none" w:sz="0" w:space="0" w:color="auto"/>
        <w:left w:val="none" w:sz="0" w:space="0" w:color="auto"/>
        <w:bottom w:val="none" w:sz="0" w:space="0" w:color="auto"/>
        <w:right w:val="none" w:sz="0" w:space="0" w:color="auto"/>
      </w:divBdr>
    </w:div>
    <w:div w:id="2016303342">
      <w:bodyDiv w:val="1"/>
      <w:marLeft w:val="0"/>
      <w:marRight w:val="0"/>
      <w:marTop w:val="0"/>
      <w:marBottom w:val="0"/>
      <w:divBdr>
        <w:top w:val="none" w:sz="0" w:space="0" w:color="auto"/>
        <w:left w:val="none" w:sz="0" w:space="0" w:color="auto"/>
        <w:bottom w:val="none" w:sz="0" w:space="0" w:color="auto"/>
        <w:right w:val="none" w:sz="0" w:space="0" w:color="auto"/>
      </w:divBdr>
    </w:div>
    <w:div w:id="2027247661">
      <w:bodyDiv w:val="1"/>
      <w:marLeft w:val="0"/>
      <w:marRight w:val="0"/>
      <w:marTop w:val="0"/>
      <w:marBottom w:val="0"/>
      <w:divBdr>
        <w:top w:val="none" w:sz="0" w:space="0" w:color="auto"/>
        <w:left w:val="none" w:sz="0" w:space="0" w:color="auto"/>
        <w:bottom w:val="none" w:sz="0" w:space="0" w:color="auto"/>
        <w:right w:val="none" w:sz="0" w:space="0" w:color="auto"/>
      </w:divBdr>
    </w:div>
    <w:div w:id="2031300000">
      <w:bodyDiv w:val="1"/>
      <w:marLeft w:val="0"/>
      <w:marRight w:val="0"/>
      <w:marTop w:val="0"/>
      <w:marBottom w:val="0"/>
      <w:divBdr>
        <w:top w:val="none" w:sz="0" w:space="0" w:color="auto"/>
        <w:left w:val="none" w:sz="0" w:space="0" w:color="auto"/>
        <w:bottom w:val="none" w:sz="0" w:space="0" w:color="auto"/>
        <w:right w:val="none" w:sz="0" w:space="0" w:color="auto"/>
      </w:divBdr>
    </w:div>
    <w:div w:id="2053654276">
      <w:bodyDiv w:val="1"/>
      <w:marLeft w:val="0"/>
      <w:marRight w:val="0"/>
      <w:marTop w:val="0"/>
      <w:marBottom w:val="0"/>
      <w:divBdr>
        <w:top w:val="none" w:sz="0" w:space="0" w:color="auto"/>
        <w:left w:val="none" w:sz="0" w:space="0" w:color="auto"/>
        <w:bottom w:val="none" w:sz="0" w:space="0" w:color="auto"/>
        <w:right w:val="none" w:sz="0" w:space="0" w:color="auto"/>
      </w:divBdr>
    </w:div>
    <w:div w:id="20752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3.colonialfirststate.com.au/firsttech/topics/super/strategic-updates/personal-deductible-contributions-tips-and-traps.html" TargetMode="External"/><Relationship Id="rId2" Type="http://schemas.openxmlformats.org/officeDocument/2006/relationships/hyperlink" Target="https://www.superannuation.asn.au/resources/retirement-standard" TargetMode="External"/><Relationship Id="rId1" Type="http://schemas.openxmlformats.org/officeDocument/2006/relationships/hyperlink" Target="http://www.multpl.com/s-p-500-dividend-yield/" TargetMode="External"/><Relationship Id="rId5" Type="http://schemas.openxmlformats.org/officeDocument/2006/relationships/hyperlink" Target="https://www.quandl.com/data/RBA/F05-Indicator-Lending-Rates" TargetMode="External"/><Relationship Id="rId4" Type="http://schemas.openxmlformats.org/officeDocument/2006/relationships/hyperlink" Target="https://www.ato.gov.au/rates/key-superannuation-rates-and-thresholds/?page=30"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351C7-EC40-463C-9D68-DA12A26D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98</Pages>
  <Words>33700</Words>
  <Characters>192094</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&lt;:if str($client</vt:lpstr>
    </vt:vector>
  </TitlesOfParts>
  <Company>Toshiba</Company>
  <LinksUpToDate>false</LinksUpToDate>
  <CharactersWithSpaces>225344</CharactersWithSpaces>
  <SharedDoc>false</SharedDoc>
  <HLinks>
    <vt:vector size="168" baseType="variant">
      <vt:variant>
        <vt:i4>1114163</vt:i4>
      </vt:variant>
      <vt:variant>
        <vt:i4>164</vt:i4>
      </vt:variant>
      <vt:variant>
        <vt:i4>0</vt:i4>
      </vt:variant>
      <vt:variant>
        <vt:i4>5</vt:i4>
      </vt:variant>
      <vt:variant>
        <vt:lpwstr/>
      </vt:variant>
      <vt:variant>
        <vt:lpwstr>_Toc473018592</vt:lpwstr>
      </vt:variant>
      <vt:variant>
        <vt:i4>1114163</vt:i4>
      </vt:variant>
      <vt:variant>
        <vt:i4>158</vt:i4>
      </vt:variant>
      <vt:variant>
        <vt:i4>0</vt:i4>
      </vt:variant>
      <vt:variant>
        <vt:i4>5</vt:i4>
      </vt:variant>
      <vt:variant>
        <vt:lpwstr/>
      </vt:variant>
      <vt:variant>
        <vt:lpwstr>_Toc473018591</vt:lpwstr>
      </vt:variant>
      <vt:variant>
        <vt:i4>1114163</vt:i4>
      </vt:variant>
      <vt:variant>
        <vt:i4>152</vt:i4>
      </vt:variant>
      <vt:variant>
        <vt:i4>0</vt:i4>
      </vt:variant>
      <vt:variant>
        <vt:i4>5</vt:i4>
      </vt:variant>
      <vt:variant>
        <vt:lpwstr/>
      </vt:variant>
      <vt:variant>
        <vt:lpwstr>_Toc473018590</vt:lpwstr>
      </vt:variant>
      <vt:variant>
        <vt:i4>1048627</vt:i4>
      </vt:variant>
      <vt:variant>
        <vt:i4>146</vt:i4>
      </vt:variant>
      <vt:variant>
        <vt:i4>0</vt:i4>
      </vt:variant>
      <vt:variant>
        <vt:i4>5</vt:i4>
      </vt:variant>
      <vt:variant>
        <vt:lpwstr/>
      </vt:variant>
      <vt:variant>
        <vt:lpwstr>_Toc473018589</vt:lpwstr>
      </vt:variant>
      <vt:variant>
        <vt:i4>1048627</vt:i4>
      </vt:variant>
      <vt:variant>
        <vt:i4>140</vt:i4>
      </vt:variant>
      <vt:variant>
        <vt:i4>0</vt:i4>
      </vt:variant>
      <vt:variant>
        <vt:i4>5</vt:i4>
      </vt:variant>
      <vt:variant>
        <vt:lpwstr/>
      </vt:variant>
      <vt:variant>
        <vt:lpwstr>_Toc473018588</vt:lpwstr>
      </vt:variant>
      <vt:variant>
        <vt:i4>1048627</vt:i4>
      </vt:variant>
      <vt:variant>
        <vt:i4>134</vt:i4>
      </vt:variant>
      <vt:variant>
        <vt:i4>0</vt:i4>
      </vt:variant>
      <vt:variant>
        <vt:i4>5</vt:i4>
      </vt:variant>
      <vt:variant>
        <vt:lpwstr/>
      </vt:variant>
      <vt:variant>
        <vt:lpwstr>_Toc473018587</vt:lpwstr>
      </vt:variant>
      <vt:variant>
        <vt:i4>1048627</vt:i4>
      </vt:variant>
      <vt:variant>
        <vt:i4>128</vt:i4>
      </vt:variant>
      <vt:variant>
        <vt:i4>0</vt:i4>
      </vt:variant>
      <vt:variant>
        <vt:i4>5</vt:i4>
      </vt:variant>
      <vt:variant>
        <vt:lpwstr/>
      </vt:variant>
      <vt:variant>
        <vt:lpwstr>_Toc473018586</vt:lpwstr>
      </vt:variant>
      <vt:variant>
        <vt:i4>1048627</vt:i4>
      </vt:variant>
      <vt:variant>
        <vt:i4>122</vt:i4>
      </vt:variant>
      <vt:variant>
        <vt:i4>0</vt:i4>
      </vt:variant>
      <vt:variant>
        <vt:i4>5</vt:i4>
      </vt:variant>
      <vt:variant>
        <vt:lpwstr/>
      </vt:variant>
      <vt:variant>
        <vt:lpwstr>_Toc473018585</vt:lpwstr>
      </vt:variant>
      <vt:variant>
        <vt:i4>1048627</vt:i4>
      </vt:variant>
      <vt:variant>
        <vt:i4>116</vt:i4>
      </vt:variant>
      <vt:variant>
        <vt:i4>0</vt:i4>
      </vt:variant>
      <vt:variant>
        <vt:i4>5</vt:i4>
      </vt:variant>
      <vt:variant>
        <vt:lpwstr/>
      </vt:variant>
      <vt:variant>
        <vt:lpwstr>_Toc473018584</vt:lpwstr>
      </vt:variant>
      <vt:variant>
        <vt:i4>1048627</vt:i4>
      </vt:variant>
      <vt:variant>
        <vt:i4>110</vt:i4>
      </vt:variant>
      <vt:variant>
        <vt:i4>0</vt:i4>
      </vt:variant>
      <vt:variant>
        <vt:i4>5</vt:i4>
      </vt:variant>
      <vt:variant>
        <vt:lpwstr/>
      </vt:variant>
      <vt:variant>
        <vt:lpwstr>_Toc473018583</vt:lpwstr>
      </vt:variant>
      <vt:variant>
        <vt:i4>1048627</vt:i4>
      </vt:variant>
      <vt:variant>
        <vt:i4>104</vt:i4>
      </vt:variant>
      <vt:variant>
        <vt:i4>0</vt:i4>
      </vt:variant>
      <vt:variant>
        <vt:i4>5</vt:i4>
      </vt:variant>
      <vt:variant>
        <vt:lpwstr/>
      </vt:variant>
      <vt:variant>
        <vt:lpwstr>_Toc473018582</vt:lpwstr>
      </vt:variant>
      <vt:variant>
        <vt:i4>1048627</vt:i4>
      </vt:variant>
      <vt:variant>
        <vt:i4>98</vt:i4>
      </vt:variant>
      <vt:variant>
        <vt:i4>0</vt:i4>
      </vt:variant>
      <vt:variant>
        <vt:i4>5</vt:i4>
      </vt:variant>
      <vt:variant>
        <vt:lpwstr/>
      </vt:variant>
      <vt:variant>
        <vt:lpwstr>_Toc473018581</vt:lpwstr>
      </vt:variant>
      <vt:variant>
        <vt:i4>1048627</vt:i4>
      </vt:variant>
      <vt:variant>
        <vt:i4>92</vt:i4>
      </vt:variant>
      <vt:variant>
        <vt:i4>0</vt:i4>
      </vt:variant>
      <vt:variant>
        <vt:i4>5</vt:i4>
      </vt:variant>
      <vt:variant>
        <vt:lpwstr/>
      </vt:variant>
      <vt:variant>
        <vt:lpwstr>_Toc473018580</vt:lpwstr>
      </vt:variant>
      <vt:variant>
        <vt:i4>2031667</vt:i4>
      </vt:variant>
      <vt:variant>
        <vt:i4>86</vt:i4>
      </vt:variant>
      <vt:variant>
        <vt:i4>0</vt:i4>
      </vt:variant>
      <vt:variant>
        <vt:i4>5</vt:i4>
      </vt:variant>
      <vt:variant>
        <vt:lpwstr/>
      </vt:variant>
      <vt:variant>
        <vt:lpwstr>_Toc473018579</vt:lpwstr>
      </vt:variant>
      <vt:variant>
        <vt:i4>2031667</vt:i4>
      </vt:variant>
      <vt:variant>
        <vt:i4>80</vt:i4>
      </vt:variant>
      <vt:variant>
        <vt:i4>0</vt:i4>
      </vt:variant>
      <vt:variant>
        <vt:i4>5</vt:i4>
      </vt:variant>
      <vt:variant>
        <vt:lpwstr/>
      </vt:variant>
      <vt:variant>
        <vt:lpwstr>_Toc473018578</vt:lpwstr>
      </vt:variant>
      <vt:variant>
        <vt:i4>2031667</vt:i4>
      </vt:variant>
      <vt:variant>
        <vt:i4>74</vt:i4>
      </vt:variant>
      <vt:variant>
        <vt:i4>0</vt:i4>
      </vt:variant>
      <vt:variant>
        <vt:i4>5</vt:i4>
      </vt:variant>
      <vt:variant>
        <vt:lpwstr/>
      </vt:variant>
      <vt:variant>
        <vt:lpwstr>_Toc473018577</vt:lpwstr>
      </vt:variant>
      <vt:variant>
        <vt:i4>2031667</vt:i4>
      </vt:variant>
      <vt:variant>
        <vt:i4>68</vt:i4>
      </vt:variant>
      <vt:variant>
        <vt:i4>0</vt:i4>
      </vt:variant>
      <vt:variant>
        <vt:i4>5</vt:i4>
      </vt:variant>
      <vt:variant>
        <vt:lpwstr/>
      </vt:variant>
      <vt:variant>
        <vt:lpwstr>_Toc473018576</vt:lpwstr>
      </vt:variant>
      <vt:variant>
        <vt:i4>2031667</vt:i4>
      </vt:variant>
      <vt:variant>
        <vt:i4>62</vt:i4>
      </vt:variant>
      <vt:variant>
        <vt:i4>0</vt:i4>
      </vt:variant>
      <vt:variant>
        <vt:i4>5</vt:i4>
      </vt:variant>
      <vt:variant>
        <vt:lpwstr/>
      </vt:variant>
      <vt:variant>
        <vt:lpwstr>_Toc473018575</vt:lpwstr>
      </vt:variant>
      <vt:variant>
        <vt:i4>2031667</vt:i4>
      </vt:variant>
      <vt:variant>
        <vt:i4>56</vt:i4>
      </vt:variant>
      <vt:variant>
        <vt:i4>0</vt:i4>
      </vt:variant>
      <vt:variant>
        <vt:i4>5</vt:i4>
      </vt:variant>
      <vt:variant>
        <vt:lpwstr/>
      </vt:variant>
      <vt:variant>
        <vt:lpwstr>_Toc473018574</vt:lpwstr>
      </vt:variant>
      <vt:variant>
        <vt:i4>2031667</vt:i4>
      </vt:variant>
      <vt:variant>
        <vt:i4>50</vt:i4>
      </vt:variant>
      <vt:variant>
        <vt:i4>0</vt:i4>
      </vt:variant>
      <vt:variant>
        <vt:i4>5</vt:i4>
      </vt:variant>
      <vt:variant>
        <vt:lpwstr/>
      </vt:variant>
      <vt:variant>
        <vt:lpwstr>_Toc473018573</vt:lpwstr>
      </vt:variant>
      <vt:variant>
        <vt:i4>2031667</vt:i4>
      </vt:variant>
      <vt:variant>
        <vt:i4>44</vt:i4>
      </vt:variant>
      <vt:variant>
        <vt:i4>0</vt:i4>
      </vt:variant>
      <vt:variant>
        <vt:i4>5</vt:i4>
      </vt:variant>
      <vt:variant>
        <vt:lpwstr/>
      </vt:variant>
      <vt:variant>
        <vt:lpwstr>_Toc473018572</vt:lpwstr>
      </vt:variant>
      <vt:variant>
        <vt:i4>2031667</vt:i4>
      </vt:variant>
      <vt:variant>
        <vt:i4>38</vt:i4>
      </vt:variant>
      <vt:variant>
        <vt:i4>0</vt:i4>
      </vt:variant>
      <vt:variant>
        <vt:i4>5</vt:i4>
      </vt:variant>
      <vt:variant>
        <vt:lpwstr/>
      </vt:variant>
      <vt:variant>
        <vt:lpwstr>_Toc473018571</vt:lpwstr>
      </vt:variant>
      <vt:variant>
        <vt:i4>2031667</vt:i4>
      </vt:variant>
      <vt:variant>
        <vt:i4>32</vt:i4>
      </vt:variant>
      <vt:variant>
        <vt:i4>0</vt:i4>
      </vt:variant>
      <vt:variant>
        <vt:i4>5</vt:i4>
      </vt:variant>
      <vt:variant>
        <vt:lpwstr/>
      </vt:variant>
      <vt:variant>
        <vt:lpwstr>_Toc473018570</vt:lpwstr>
      </vt:variant>
      <vt:variant>
        <vt:i4>1966131</vt:i4>
      </vt:variant>
      <vt:variant>
        <vt:i4>26</vt:i4>
      </vt:variant>
      <vt:variant>
        <vt:i4>0</vt:i4>
      </vt:variant>
      <vt:variant>
        <vt:i4>5</vt:i4>
      </vt:variant>
      <vt:variant>
        <vt:lpwstr/>
      </vt:variant>
      <vt:variant>
        <vt:lpwstr>_Toc473018569</vt:lpwstr>
      </vt:variant>
      <vt:variant>
        <vt:i4>1966131</vt:i4>
      </vt:variant>
      <vt:variant>
        <vt:i4>20</vt:i4>
      </vt:variant>
      <vt:variant>
        <vt:i4>0</vt:i4>
      </vt:variant>
      <vt:variant>
        <vt:i4>5</vt:i4>
      </vt:variant>
      <vt:variant>
        <vt:lpwstr/>
      </vt:variant>
      <vt:variant>
        <vt:lpwstr>_Toc473018568</vt:lpwstr>
      </vt:variant>
      <vt:variant>
        <vt:i4>1966131</vt:i4>
      </vt:variant>
      <vt:variant>
        <vt:i4>14</vt:i4>
      </vt:variant>
      <vt:variant>
        <vt:i4>0</vt:i4>
      </vt:variant>
      <vt:variant>
        <vt:i4>5</vt:i4>
      </vt:variant>
      <vt:variant>
        <vt:lpwstr/>
      </vt:variant>
      <vt:variant>
        <vt:lpwstr>_Toc473018567</vt:lpwstr>
      </vt:variant>
      <vt:variant>
        <vt:i4>1966131</vt:i4>
      </vt:variant>
      <vt:variant>
        <vt:i4>8</vt:i4>
      </vt:variant>
      <vt:variant>
        <vt:i4>0</vt:i4>
      </vt:variant>
      <vt:variant>
        <vt:i4>5</vt:i4>
      </vt:variant>
      <vt:variant>
        <vt:lpwstr/>
      </vt:variant>
      <vt:variant>
        <vt:lpwstr>_Toc473018566</vt:lpwstr>
      </vt:variant>
      <vt:variant>
        <vt:i4>1966131</vt:i4>
      </vt:variant>
      <vt:variant>
        <vt:i4>2</vt:i4>
      </vt:variant>
      <vt:variant>
        <vt:i4>0</vt:i4>
      </vt:variant>
      <vt:variant>
        <vt:i4>5</vt:i4>
      </vt:variant>
      <vt:variant>
        <vt:lpwstr/>
      </vt:variant>
      <vt:variant>
        <vt:lpwstr>_Toc473018565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&lt;:if str($client</dc:title>
  <dc:subject/>
  <dc:creator>Courtney Youngblutt</dc:creator>
  <cp:keywords/>
  <dc:description/>
  <cp:lastModifiedBy>Shane Miller</cp:lastModifiedBy>
  <cp:revision>54</cp:revision>
  <cp:lastPrinted>2015-07-09T05:29:00Z</cp:lastPrinted>
  <dcterms:created xsi:type="dcterms:W3CDTF">2020-07-15T01:01:00Z</dcterms:created>
  <dcterms:modified xsi:type="dcterms:W3CDTF">2020-07-21T22:09:00Z</dcterms:modified>
</cp:coreProperties>
</file>